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618C606" w14:textId="77777777">
        <w:trPr>
          <w:cantSplit/>
          <w:trHeight w:val="20"/>
        </w:trPr>
        <w:tc>
          <w:tcPr>
            <w:tcW w:w="861" w:type="dxa"/>
            <w:vMerge w:val="restart"/>
          </w:tcPr>
          <w:p w14:paraId="72134807" w14:textId="7C7E92F2" w:rsidR="002401D0" w:rsidRDefault="003611E9">
            <w:pPr>
              <w:pStyle w:val="xLedtext"/>
              <w:rPr>
                <w:noProof/>
              </w:rPr>
            </w:pPr>
            <w:bookmarkStart w:id="0" w:name="_top"/>
            <w:bookmarkEnd w:id="0"/>
            <w:r>
              <w:rPr>
                <w:noProof/>
              </w:rPr>
              <w:drawing>
                <wp:inline distT="0" distB="0" distL="0" distR="0" wp14:anchorId="261CD093" wp14:editId="5EA50A0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8BF186C" w14:textId="2C6C6AE4" w:rsidR="002401D0" w:rsidRDefault="003611E9">
            <w:pPr>
              <w:pStyle w:val="xMellanrum"/>
            </w:pPr>
            <w:r>
              <w:rPr>
                <w:noProof/>
              </w:rPr>
              <w:drawing>
                <wp:inline distT="0" distB="0" distL="0" distR="0" wp14:anchorId="3A7A6C72" wp14:editId="2E3B1A4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3992FA6F" w14:textId="77777777">
        <w:trPr>
          <w:cantSplit/>
          <w:trHeight w:val="299"/>
        </w:trPr>
        <w:tc>
          <w:tcPr>
            <w:tcW w:w="861" w:type="dxa"/>
            <w:vMerge/>
          </w:tcPr>
          <w:p w14:paraId="7F717F09" w14:textId="77777777" w:rsidR="002401D0" w:rsidRDefault="002401D0">
            <w:pPr>
              <w:pStyle w:val="xLedtext"/>
            </w:pPr>
          </w:p>
        </w:tc>
        <w:tc>
          <w:tcPr>
            <w:tcW w:w="4448" w:type="dxa"/>
            <w:vAlign w:val="bottom"/>
          </w:tcPr>
          <w:p w14:paraId="40237893" w14:textId="77777777" w:rsidR="002401D0" w:rsidRDefault="002401D0">
            <w:pPr>
              <w:pStyle w:val="xAvsandare1"/>
            </w:pPr>
            <w:r>
              <w:t>Ålands lagting</w:t>
            </w:r>
          </w:p>
        </w:tc>
        <w:tc>
          <w:tcPr>
            <w:tcW w:w="4288" w:type="dxa"/>
            <w:gridSpan w:val="2"/>
            <w:vAlign w:val="bottom"/>
          </w:tcPr>
          <w:p w14:paraId="2BD5866E" w14:textId="7EE9E91C" w:rsidR="002401D0" w:rsidRDefault="002401D0" w:rsidP="00B36A8F">
            <w:pPr>
              <w:pStyle w:val="xDokTypNr"/>
            </w:pPr>
            <w:r>
              <w:t xml:space="preserve">BETÄNKANDE nr </w:t>
            </w:r>
            <w:r w:rsidR="00D80A4C">
              <w:t>17</w:t>
            </w:r>
            <w:r>
              <w:t>/</w:t>
            </w:r>
            <w:proofErr w:type="gramStart"/>
            <w:r>
              <w:t>20</w:t>
            </w:r>
            <w:r w:rsidR="00022E9D">
              <w:t>22</w:t>
            </w:r>
            <w:r w:rsidR="0015337C">
              <w:t>-20</w:t>
            </w:r>
            <w:r w:rsidR="00022E9D">
              <w:t>23</w:t>
            </w:r>
            <w:proofErr w:type="gramEnd"/>
          </w:p>
        </w:tc>
      </w:tr>
      <w:tr w:rsidR="002401D0" w14:paraId="69A85AA2" w14:textId="77777777">
        <w:trPr>
          <w:cantSplit/>
          <w:trHeight w:val="238"/>
        </w:trPr>
        <w:tc>
          <w:tcPr>
            <w:tcW w:w="861" w:type="dxa"/>
            <w:vMerge/>
          </w:tcPr>
          <w:p w14:paraId="569E514F" w14:textId="77777777" w:rsidR="002401D0" w:rsidRDefault="002401D0">
            <w:pPr>
              <w:pStyle w:val="xLedtext"/>
            </w:pPr>
          </w:p>
        </w:tc>
        <w:tc>
          <w:tcPr>
            <w:tcW w:w="4448" w:type="dxa"/>
            <w:vAlign w:val="bottom"/>
          </w:tcPr>
          <w:p w14:paraId="12A22D80" w14:textId="77777777" w:rsidR="002401D0" w:rsidRDefault="002401D0">
            <w:pPr>
              <w:pStyle w:val="xLedtext"/>
            </w:pPr>
          </w:p>
        </w:tc>
        <w:tc>
          <w:tcPr>
            <w:tcW w:w="1725" w:type="dxa"/>
            <w:vAlign w:val="bottom"/>
          </w:tcPr>
          <w:p w14:paraId="72B84D41" w14:textId="77777777" w:rsidR="002401D0" w:rsidRDefault="002401D0">
            <w:pPr>
              <w:pStyle w:val="xLedtext"/>
            </w:pPr>
            <w:r>
              <w:t>Datum</w:t>
            </w:r>
          </w:p>
        </w:tc>
        <w:tc>
          <w:tcPr>
            <w:tcW w:w="2563" w:type="dxa"/>
            <w:vAlign w:val="bottom"/>
          </w:tcPr>
          <w:p w14:paraId="2378BAF0" w14:textId="77777777" w:rsidR="002401D0" w:rsidRDefault="002401D0">
            <w:pPr>
              <w:pStyle w:val="xLedtext"/>
            </w:pPr>
          </w:p>
        </w:tc>
      </w:tr>
      <w:tr w:rsidR="002401D0" w14:paraId="2E43EADB" w14:textId="77777777">
        <w:trPr>
          <w:cantSplit/>
          <w:trHeight w:val="238"/>
        </w:trPr>
        <w:tc>
          <w:tcPr>
            <w:tcW w:w="861" w:type="dxa"/>
            <w:vMerge/>
          </w:tcPr>
          <w:p w14:paraId="7AA9E3B2" w14:textId="77777777" w:rsidR="002401D0" w:rsidRDefault="002401D0">
            <w:pPr>
              <w:pStyle w:val="xAvsandare2"/>
            </w:pPr>
          </w:p>
        </w:tc>
        <w:tc>
          <w:tcPr>
            <w:tcW w:w="4448" w:type="dxa"/>
            <w:vAlign w:val="center"/>
          </w:tcPr>
          <w:p w14:paraId="6291249D" w14:textId="7E9DC4A7" w:rsidR="002401D0" w:rsidRDefault="003611E9">
            <w:pPr>
              <w:pStyle w:val="xAvsandare2"/>
            </w:pPr>
            <w:r>
              <w:t>Social- och miljö</w:t>
            </w:r>
            <w:r w:rsidR="002401D0">
              <w:t>utskottet</w:t>
            </w:r>
          </w:p>
        </w:tc>
        <w:tc>
          <w:tcPr>
            <w:tcW w:w="1725" w:type="dxa"/>
            <w:vAlign w:val="center"/>
          </w:tcPr>
          <w:p w14:paraId="75368C19" w14:textId="1D28BCDA" w:rsidR="002401D0" w:rsidRDefault="002401D0">
            <w:pPr>
              <w:pStyle w:val="xDatum1"/>
            </w:pPr>
            <w:r>
              <w:t>20</w:t>
            </w:r>
            <w:r w:rsidR="00022E9D">
              <w:t>23-09-</w:t>
            </w:r>
            <w:r w:rsidR="00B41A3D">
              <w:t>19</w:t>
            </w:r>
          </w:p>
        </w:tc>
        <w:tc>
          <w:tcPr>
            <w:tcW w:w="2563" w:type="dxa"/>
            <w:vAlign w:val="center"/>
          </w:tcPr>
          <w:p w14:paraId="48A99EF5" w14:textId="77777777" w:rsidR="002401D0" w:rsidRDefault="002401D0">
            <w:pPr>
              <w:pStyle w:val="xBeteckning1"/>
            </w:pPr>
          </w:p>
        </w:tc>
      </w:tr>
      <w:tr w:rsidR="002401D0" w14:paraId="68BAB3D5" w14:textId="77777777">
        <w:trPr>
          <w:cantSplit/>
          <w:trHeight w:val="238"/>
        </w:trPr>
        <w:tc>
          <w:tcPr>
            <w:tcW w:w="861" w:type="dxa"/>
            <w:vMerge/>
          </w:tcPr>
          <w:p w14:paraId="7E95A2D4" w14:textId="77777777" w:rsidR="002401D0" w:rsidRDefault="002401D0">
            <w:pPr>
              <w:pStyle w:val="xLedtext"/>
            </w:pPr>
          </w:p>
        </w:tc>
        <w:tc>
          <w:tcPr>
            <w:tcW w:w="4448" w:type="dxa"/>
            <w:vAlign w:val="bottom"/>
          </w:tcPr>
          <w:p w14:paraId="4D94A5F6" w14:textId="77777777" w:rsidR="002401D0" w:rsidRDefault="002401D0">
            <w:pPr>
              <w:pStyle w:val="xLedtext"/>
            </w:pPr>
          </w:p>
        </w:tc>
        <w:tc>
          <w:tcPr>
            <w:tcW w:w="1725" w:type="dxa"/>
            <w:vAlign w:val="bottom"/>
          </w:tcPr>
          <w:p w14:paraId="5AAFAD73" w14:textId="77777777" w:rsidR="002401D0" w:rsidRDefault="002401D0">
            <w:pPr>
              <w:pStyle w:val="xLedtext"/>
            </w:pPr>
          </w:p>
        </w:tc>
        <w:tc>
          <w:tcPr>
            <w:tcW w:w="2563" w:type="dxa"/>
            <w:vAlign w:val="bottom"/>
          </w:tcPr>
          <w:p w14:paraId="209E01E0" w14:textId="77777777" w:rsidR="002401D0" w:rsidRDefault="002401D0">
            <w:pPr>
              <w:pStyle w:val="xLedtext"/>
            </w:pPr>
          </w:p>
        </w:tc>
      </w:tr>
      <w:tr w:rsidR="002401D0" w14:paraId="1D0A9D60" w14:textId="77777777">
        <w:trPr>
          <w:cantSplit/>
          <w:trHeight w:val="238"/>
        </w:trPr>
        <w:tc>
          <w:tcPr>
            <w:tcW w:w="861" w:type="dxa"/>
            <w:vMerge/>
            <w:tcBorders>
              <w:bottom w:val="single" w:sz="4" w:space="0" w:color="auto"/>
            </w:tcBorders>
          </w:tcPr>
          <w:p w14:paraId="5D91DAD4" w14:textId="77777777" w:rsidR="002401D0" w:rsidRDefault="002401D0">
            <w:pPr>
              <w:pStyle w:val="xAvsandare3"/>
            </w:pPr>
          </w:p>
        </w:tc>
        <w:tc>
          <w:tcPr>
            <w:tcW w:w="4448" w:type="dxa"/>
            <w:tcBorders>
              <w:bottom w:val="single" w:sz="4" w:space="0" w:color="auto"/>
            </w:tcBorders>
            <w:vAlign w:val="center"/>
          </w:tcPr>
          <w:p w14:paraId="3F84D8CC" w14:textId="77777777" w:rsidR="002401D0" w:rsidRDefault="002401D0">
            <w:pPr>
              <w:pStyle w:val="xAvsandare3"/>
            </w:pPr>
          </w:p>
        </w:tc>
        <w:tc>
          <w:tcPr>
            <w:tcW w:w="1725" w:type="dxa"/>
            <w:tcBorders>
              <w:bottom w:val="single" w:sz="4" w:space="0" w:color="auto"/>
            </w:tcBorders>
            <w:vAlign w:val="center"/>
          </w:tcPr>
          <w:p w14:paraId="667DE585" w14:textId="77777777" w:rsidR="002401D0" w:rsidRDefault="002401D0">
            <w:pPr>
              <w:pStyle w:val="xDatum2"/>
            </w:pPr>
          </w:p>
        </w:tc>
        <w:tc>
          <w:tcPr>
            <w:tcW w:w="2563" w:type="dxa"/>
            <w:tcBorders>
              <w:bottom w:val="single" w:sz="4" w:space="0" w:color="auto"/>
            </w:tcBorders>
            <w:vAlign w:val="center"/>
          </w:tcPr>
          <w:p w14:paraId="06DB103D" w14:textId="77777777" w:rsidR="002401D0" w:rsidRDefault="002401D0">
            <w:pPr>
              <w:pStyle w:val="xBeteckning2"/>
            </w:pPr>
          </w:p>
        </w:tc>
      </w:tr>
      <w:tr w:rsidR="002401D0" w14:paraId="21467E39" w14:textId="77777777">
        <w:trPr>
          <w:cantSplit/>
          <w:trHeight w:val="238"/>
        </w:trPr>
        <w:tc>
          <w:tcPr>
            <w:tcW w:w="861" w:type="dxa"/>
            <w:tcBorders>
              <w:top w:val="single" w:sz="4" w:space="0" w:color="auto"/>
            </w:tcBorders>
            <w:vAlign w:val="bottom"/>
          </w:tcPr>
          <w:p w14:paraId="3B441B9B" w14:textId="77777777" w:rsidR="002401D0" w:rsidRDefault="002401D0">
            <w:pPr>
              <w:pStyle w:val="xLedtext"/>
            </w:pPr>
          </w:p>
        </w:tc>
        <w:tc>
          <w:tcPr>
            <w:tcW w:w="4448" w:type="dxa"/>
            <w:tcBorders>
              <w:top w:val="single" w:sz="4" w:space="0" w:color="auto"/>
            </w:tcBorders>
            <w:vAlign w:val="bottom"/>
          </w:tcPr>
          <w:p w14:paraId="3EE3D7D5" w14:textId="77777777" w:rsidR="002401D0" w:rsidRDefault="002401D0">
            <w:pPr>
              <w:pStyle w:val="xLedtext"/>
            </w:pPr>
          </w:p>
        </w:tc>
        <w:tc>
          <w:tcPr>
            <w:tcW w:w="4288" w:type="dxa"/>
            <w:gridSpan w:val="2"/>
            <w:tcBorders>
              <w:top w:val="single" w:sz="4" w:space="0" w:color="auto"/>
            </w:tcBorders>
            <w:vAlign w:val="bottom"/>
          </w:tcPr>
          <w:p w14:paraId="45DBEE01" w14:textId="77777777" w:rsidR="002401D0" w:rsidRDefault="002401D0">
            <w:pPr>
              <w:pStyle w:val="xLedtext"/>
            </w:pPr>
          </w:p>
        </w:tc>
      </w:tr>
      <w:tr w:rsidR="002401D0" w14:paraId="2A23BFA3" w14:textId="77777777">
        <w:trPr>
          <w:cantSplit/>
          <w:trHeight w:val="238"/>
        </w:trPr>
        <w:tc>
          <w:tcPr>
            <w:tcW w:w="861" w:type="dxa"/>
          </w:tcPr>
          <w:p w14:paraId="28650CBA" w14:textId="77777777" w:rsidR="002401D0" w:rsidRDefault="002401D0">
            <w:pPr>
              <w:pStyle w:val="xCelltext"/>
            </w:pPr>
          </w:p>
        </w:tc>
        <w:tc>
          <w:tcPr>
            <w:tcW w:w="4448" w:type="dxa"/>
            <w:vMerge w:val="restart"/>
          </w:tcPr>
          <w:p w14:paraId="47A60201" w14:textId="77777777" w:rsidR="002401D0" w:rsidRDefault="002401D0">
            <w:pPr>
              <w:pStyle w:val="xMottagare1"/>
            </w:pPr>
            <w:r>
              <w:t>Till Ålands lagting</w:t>
            </w:r>
          </w:p>
        </w:tc>
        <w:tc>
          <w:tcPr>
            <w:tcW w:w="4288" w:type="dxa"/>
            <w:gridSpan w:val="2"/>
            <w:vMerge w:val="restart"/>
          </w:tcPr>
          <w:p w14:paraId="46A7B050" w14:textId="77777777" w:rsidR="002401D0" w:rsidRDefault="002401D0">
            <w:pPr>
              <w:pStyle w:val="xMottagare1"/>
              <w:tabs>
                <w:tab w:val="left" w:pos="2349"/>
              </w:tabs>
            </w:pPr>
          </w:p>
        </w:tc>
      </w:tr>
      <w:tr w:rsidR="002401D0" w14:paraId="61FF0791" w14:textId="77777777">
        <w:trPr>
          <w:cantSplit/>
          <w:trHeight w:val="238"/>
        </w:trPr>
        <w:tc>
          <w:tcPr>
            <w:tcW w:w="861" w:type="dxa"/>
          </w:tcPr>
          <w:p w14:paraId="387B8A23" w14:textId="77777777" w:rsidR="002401D0" w:rsidRDefault="002401D0">
            <w:pPr>
              <w:pStyle w:val="xCelltext"/>
            </w:pPr>
          </w:p>
        </w:tc>
        <w:tc>
          <w:tcPr>
            <w:tcW w:w="4448" w:type="dxa"/>
            <w:vMerge/>
            <w:vAlign w:val="center"/>
          </w:tcPr>
          <w:p w14:paraId="766F23D9" w14:textId="77777777" w:rsidR="002401D0" w:rsidRDefault="002401D0">
            <w:pPr>
              <w:pStyle w:val="xCelltext"/>
            </w:pPr>
          </w:p>
        </w:tc>
        <w:tc>
          <w:tcPr>
            <w:tcW w:w="4288" w:type="dxa"/>
            <w:gridSpan w:val="2"/>
            <w:vMerge/>
            <w:vAlign w:val="center"/>
          </w:tcPr>
          <w:p w14:paraId="20BF3272" w14:textId="77777777" w:rsidR="002401D0" w:rsidRDefault="002401D0">
            <w:pPr>
              <w:pStyle w:val="xCelltext"/>
            </w:pPr>
          </w:p>
        </w:tc>
      </w:tr>
      <w:tr w:rsidR="002401D0" w14:paraId="091A88AF" w14:textId="77777777">
        <w:trPr>
          <w:cantSplit/>
          <w:trHeight w:val="238"/>
        </w:trPr>
        <w:tc>
          <w:tcPr>
            <w:tcW w:w="861" w:type="dxa"/>
          </w:tcPr>
          <w:p w14:paraId="0FD242CF" w14:textId="77777777" w:rsidR="002401D0" w:rsidRDefault="002401D0">
            <w:pPr>
              <w:pStyle w:val="xCelltext"/>
            </w:pPr>
          </w:p>
        </w:tc>
        <w:tc>
          <w:tcPr>
            <w:tcW w:w="4448" w:type="dxa"/>
            <w:vMerge/>
            <w:vAlign w:val="center"/>
          </w:tcPr>
          <w:p w14:paraId="1059BFB7" w14:textId="77777777" w:rsidR="002401D0" w:rsidRDefault="002401D0">
            <w:pPr>
              <w:pStyle w:val="xCelltext"/>
            </w:pPr>
          </w:p>
        </w:tc>
        <w:tc>
          <w:tcPr>
            <w:tcW w:w="4288" w:type="dxa"/>
            <w:gridSpan w:val="2"/>
            <w:vMerge/>
            <w:vAlign w:val="center"/>
          </w:tcPr>
          <w:p w14:paraId="5E1C9204" w14:textId="77777777" w:rsidR="002401D0" w:rsidRDefault="002401D0">
            <w:pPr>
              <w:pStyle w:val="xCelltext"/>
            </w:pPr>
          </w:p>
        </w:tc>
      </w:tr>
      <w:tr w:rsidR="002401D0" w14:paraId="7DBDA603" w14:textId="77777777">
        <w:trPr>
          <w:cantSplit/>
          <w:trHeight w:val="238"/>
        </w:trPr>
        <w:tc>
          <w:tcPr>
            <w:tcW w:w="861" w:type="dxa"/>
          </w:tcPr>
          <w:p w14:paraId="59FA6442" w14:textId="77777777" w:rsidR="002401D0" w:rsidRDefault="002401D0">
            <w:pPr>
              <w:pStyle w:val="xCelltext"/>
            </w:pPr>
          </w:p>
        </w:tc>
        <w:tc>
          <w:tcPr>
            <w:tcW w:w="4448" w:type="dxa"/>
            <w:vMerge/>
            <w:vAlign w:val="center"/>
          </w:tcPr>
          <w:p w14:paraId="75E52B23" w14:textId="77777777" w:rsidR="002401D0" w:rsidRDefault="002401D0">
            <w:pPr>
              <w:pStyle w:val="xCelltext"/>
            </w:pPr>
          </w:p>
        </w:tc>
        <w:tc>
          <w:tcPr>
            <w:tcW w:w="4288" w:type="dxa"/>
            <w:gridSpan w:val="2"/>
            <w:vMerge/>
            <w:vAlign w:val="center"/>
          </w:tcPr>
          <w:p w14:paraId="73B4E4E2" w14:textId="77777777" w:rsidR="002401D0" w:rsidRDefault="002401D0">
            <w:pPr>
              <w:pStyle w:val="xCelltext"/>
            </w:pPr>
          </w:p>
        </w:tc>
      </w:tr>
      <w:tr w:rsidR="002401D0" w14:paraId="0E3BE3D4" w14:textId="77777777">
        <w:trPr>
          <w:cantSplit/>
          <w:trHeight w:val="238"/>
        </w:trPr>
        <w:tc>
          <w:tcPr>
            <w:tcW w:w="861" w:type="dxa"/>
          </w:tcPr>
          <w:p w14:paraId="6F96C14A" w14:textId="77777777" w:rsidR="002401D0" w:rsidRDefault="002401D0">
            <w:pPr>
              <w:pStyle w:val="xCelltext"/>
            </w:pPr>
          </w:p>
        </w:tc>
        <w:tc>
          <w:tcPr>
            <w:tcW w:w="4448" w:type="dxa"/>
            <w:vMerge/>
            <w:vAlign w:val="center"/>
          </w:tcPr>
          <w:p w14:paraId="05822BFF" w14:textId="77777777" w:rsidR="002401D0" w:rsidRDefault="002401D0">
            <w:pPr>
              <w:pStyle w:val="xCelltext"/>
            </w:pPr>
          </w:p>
        </w:tc>
        <w:tc>
          <w:tcPr>
            <w:tcW w:w="4288" w:type="dxa"/>
            <w:gridSpan w:val="2"/>
            <w:vMerge/>
            <w:vAlign w:val="center"/>
          </w:tcPr>
          <w:p w14:paraId="6DDE8FB4" w14:textId="77777777" w:rsidR="002401D0" w:rsidRDefault="002401D0">
            <w:pPr>
              <w:pStyle w:val="xCelltext"/>
            </w:pPr>
          </w:p>
        </w:tc>
      </w:tr>
    </w:tbl>
    <w:p w14:paraId="2AA0042C"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7CCE2C0" w14:textId="36850114" w:rsidR="002401D0" w:rsidRDefault="00022E9D">
      <w:pPr>
        <w:pStyle w:val="ArendeOverRubrik"/>
      </w:pPr>
      <w:r>
        <w:t>Social- och miljö</w:t>
      </w:r>
      <w:r w:rsidR="002401D0">
        <w:t>utskottets betänkande</w:t>
      </w:r>
    </w:p>
    <w:p w14:paraId="6A23C6A0" w14:textId="37761328" w:rsidR="002401D0" w:rsidRDefault="00022E9D">
      <w:pPr>
        <w:pStyle w:val="ArendeRubrik"/>
      </w:pPr>
      <w:r>
        <w:t>Ny skyddshemslag</w:t>
      </w:r>
    </w:p>
    <w:p w14:paraId="7987D105" w14:textId="04114866" w:rsidR="002401D0" w:rsidRDefault="00022E9D">
      <w:pPr>
        <w:pStyle w:val="ArendeUnderRubrik"/>
      </w:pPr>
      <w:r>
        <w:t>Landskapsregeringens lagförslag LF 39/</w:t>
      </w:r>
      <w:proofErr w:type="gramStart"/>
      <w:r>
        <w:t>2022-2023</w:t>
      </w:r>
      <w:proofErr w:type="gramEnd"/>
    </w:p>
    <w:p w14:paraId="6A6AB868" w14:textId="77777777" w:rsidR="002401D0" w:rsidRDefault="002401D0">
      <w:pPr>
        <w:pStyle w:val="ANormal"/>
      </w:pPr>
    </w:p>
    <w:p w14:paraId="1B3156E9" w14:textId="77777777" w:rsidR="002401D0" w:rsidRDefault="002401D0">
      <w:pPr>
        <w:pStyle w:val="Innehll1"/>
      </w:pPr>
      <w:r>
        <w:t>INNEHÅLL</w:t>
      </w:r>
    </w:p>
    <w:p w14:paraId="4D8502FE" w14:textId="5DC74632" w:rsidR="00E75CC1"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46010352" w:history="1">
        <w:r w:rsidR="00E75CC1" w:rsidRPr="00490D86">
          <w:rPr>
            <w:rStyle w:val="Hyperlnk"/>
          </w:rPr>
          <w:t>Sammanfattning</w:t>
        </w:r>
        <w:r w:rsidR="00E75CC1">
          <w:rPr>
            <w:webHidden/>
          </w:rPr>
          <w:tab/>
        </w:r>
        <w:r w:rsidR="00E75CC1">
          <w:rPr>
            <w:webHidden/>
          </w:rPr>
          <w:fldChar w:fldCharType="begin"/>
        </w:r>
        <w:r w:rsidR="00E75CC1">
          <w:rPr>
            <w:webHidden/>
          </w:rPr>
          <w:instrText xml:space="preserve"> PAGEREF _Toc146010352 \h </w:instrText>
        </w:r>
        <w:r w:rsidR="00E75CC1">
          <w:rPr>
            <w:webHidden/>
          </w:rPr>
        </w:r>
        <w:r w:rsidR="00E75CC1">
          <w:rPr>
            <w:webHidden/>
          </w:rPr>
          <w:fldChar w:fldCharType="separate"/>
        </w:r>
        <w:r w:rsidR="002E50AF">
          <w:rPr>
            <w:webHidden/>
          </w:rPr>
          <w:t>1</w:t>
        </w:r>
        <w:r w:rsidR="00E75CC1">
          <w:rPr>
            <w:webHidden/>
          </w:rPr>
          <w:fldChar w:fldCharType="end"/>
        </w:r>
      </w:hyperlink>
    </w:p>
    <w:p w14:paraId="02D0B427" w14:textId="19183D38" w:rsidR="00E75CC1" w:rsidRDefault="002B336C">
      <w:pPr>
        <w:pStyle w:val="Innehll2"/>
        <w:rPr>
          <w:rFonts w:asciiTheme="minorHAnsi" w:eastAsiaTheme="minorEastAsia" w:hAnsiTheme="minorHAnsi" w:cstheme="minorBidi"/>
          <w:kern w:val="2"/>
          <w:sz w:val="22"/>
          <w:szCs w:val="22"/>
          <w:lang w:val="sv-FI" w:eastAsia="sv-FI"/>
          <w14:ligatures w14:val="standardContextual"/>
        </w:rPr>
      </w:pPr>
      <w:hyperlink w:anchor="_Toc146010353" w:history="1">
        <w:r w:rsidR="00E75CC1" w:rsidRPr="00490D86">
          <w:rPr>
            <w:rStyle w:val="Hyperlnk"/>
          </w:rPr>
          <w:t>Landskasregeringens förslag</w:t>
        </w:r>
        <w:r w:rsidR="00E75CC1">
          <w:rPr>
            <w:webHidden/>
          </w:rPr>
          <w:tab/>
        </w:r>
        <w:r w:rsidR="00E75CC1">
          <w:rPr>
            <w:webHidden/>
          </w:rPr>
          <w:fldChar w:fldCharType="begin"/>
        </w:r>
        <w:r w:rsidR="00E75CC1">
          <w:rPr>
            <w:webHidden/>
          </w:rPr>
          <w:instrText xml:space="preserve"> PAGEREF _Toc146010353 \h </w:instrText>
        </w:r>
        <w:r w:rsidR="00E75CC1">
          <w:rPr>
            <w:webHidden/>
          </w:rPr>
        </w:r>
        <w:r w:rsidR="00E75CC1">
          <w:rPr>
            <w:webHidden/>
          </w:rPr>
          <w:fldChar w:fldCharType="separate"/>
        </w:r>
        <w:r w:rsidR="002E50AF">
          <w:rPr>
            <w:webHidden/>
          </w:rPr>
          <w:t>1</w:t>
        </w:r>
        <w:r w:rsidR="00E75CC1">
          <w:rPr>
            <w:webHidden/>
          </w:rPr>
          <w:fldChar w:fldCharType="end"/>
        </w:r>
      </w:hyperlink>
    </w:p>
    <w:p w14:paraId="1B9BE289" w14:textId="2EB830D1" w:rsidR="00E75CC1" w:rsidRDefault="002B336C">
      <w:pPr>
        <w:pStyle w:val="Innehll2"/>
        <w:rPr>
          <w:rFonts w:asciiTheme="minorHAnsi" w:eastAsiaTheme="minorEastAsia" w:hAnsiTheme="minorHAnsi" w:cstheme="minorBidi"/>
          <w:kern w:val="2"/>
          <w:sz w:val="22"/>
          <w:szCs w:val="22"/>
          <w:lang w:val="sv-FI" w:eastAsia="sv-FI"/>
          <w14:ligatures w14:val="standardContextual"/>
        </w:rPr>
      </w:pPr>
      <w:hyperlink w:anchor="_Toc146010354" w:history="1">
        <w:r w:rsidR="00E75CC1" w:rsidRPr="00490D86">
          <w:rPr>
            <w:rStyle w:val="Hyperlnk"/>
          </w:rPr>
          <w:t>Utskottets förslag</w:t>
        </w:r>
        <w:r w:rsidR="00E75CC1">
          <w:rPr>
            <w:webHidden/>
          </w:rPr>
          <w:tab/>
        </w:r>
        <w:r w:rsidR="00E75CC1">
          <w:rPr>
            <w:webHidden/>
          </w:rPr>
          <w:fldChar w:fldCharType="begin"/>
        </w:r>
        <w:r w:rsidR="00E75CC1">
          <w:rPr>
            <w:webHidden/>
          </w:rPr>
          <w:instrText xml:space="preserve"> PAGEREF _Toc146010354 \h </w:instrText>
        </w:r>
        <w:r w:rsidR="00E75CC1">
          <w:rPr>
            <w:webHidden/>
          </w:rPr>
        </w:r>
        <w:r w:rsidR="00E75CC1">
          <w:rPr>
            <w:webHidden/>
          </w:rPr>
          <w:fldChar w:fldCharType="separate"/>
        </w:r>
        <w:r w:rsidR="002E50AF">
          <w:rPr>
            <w:webHidden/>
          </w:rPr>
          <w:t>1</w:t>
        </w:r>
        <w:r w:rsidR="00E75CC1">
          <w:rPr>
            <w:webHidden/>
          </w:rPr>
          <w:fldChar w:fldCharType="end"/>
        </w:r>
      </w:hyperlink>
    </w:p>
    <w:p w14:paraId="464E553F" w14:textId="00D0F4F6" w:rsidR="00E75CC1" w:rsidRDefault="002B336C">
      <w:pPr>
        <w:pStyle w:val="Innehll1"/>
        <w:rPr>
          <w:rFonts w:asciiTheme="minorHAnsi" w:eastAsiaTheme="minorEastAsia" w:hAnsiTheme="minorHAnsi" w:cstheme="minorBidi"/>
          <w:kern w:val="2"/>
          <w:sz w:val="22"/>
          <w:szCs w:val="22"/>
          <w:lang w:val="sv-FI" w:eastAsia="sv-FI"/>
          <w14:ligatures w14:val="standardContextual"/>
        </w:rPr>
      </w:pPr>
      <w:hyperlink w:anchor="_Toc146010355" w:history="1">
        <w:r w:rsidR="00E75CC1" w:rsidRPr="00490D86">
          <w:rPr>
            <w:rStyle w:val="Hyperlnk"/>
          </w:rPr>
          <w:t>Utskottets synpunkter</w:t>
        </w:r>
        <w:r w:rsidR="00E75CC1">
          <w:rPr>
            <w:webHidden/>
          </w:rPr>
          <w:tab/>
        </w:r>
        <w:r w:rsidR="00E75CC1">
          <w:rPr>
            <w:webHidden/>
          </w:rPr>
          <w:fldChar w:fldCharType="begin"/>
        </w:r>
        <w:r w:rsidR="00E75CC1">
          <w:rPr>
            <w:webHidden/>
          </w:rPr>
          <w:instrText xml:space="preserve"> PAGEREF _Toc146010355 \h </w:instrText>
        </w:r>
        <w:r w:rsidR="00E75CC1">
          <w:rPr>
            <w:webHidden/>
          </w:rPr>
        </w:r>
        <w:r w:rsidR="00E75CC1">
          <w:rPr>
            <w:webHidden/>
          </w:rPr>
          <w:fldChar w:fldCharType="separate"/>
        </w:r>
        <w:r w:rsidR="002E50AF">
          <w:rPr>
            <w:webHidden/>
          </w:rPr>
          <w:t>1</w:t>
        </w:r>
        <w:r w:rsidR="00E75CC1">
          <w:rPr>
            <w:webHidden/>
          </w:rPr>
          <w:fldChar w:fldCharType="end"/>
        </w:r>
      </w:hyperlink>
    </w:p>
    <w:p w14:paraId="46293A90" w14:textId="48E23540" w:rsidR="00E75CC1" w:rsidRDefault="002B336C">
      <w:pPr>
        <w:pStyle w:val="Innehll2"/>
        <w:rPr>
          <w:rFonts w:asciiTheme="minorHAnsi" w:eastAsiaTheme="minorEastAsia" w:hAnsiTheme="minorHAnsi" w:cstheme="minorBidi"/>
          <w:kern w:val="2"/>
          <w:sz w:val="22"/>
          <w:szCs w:val="22"/>
          <w:lang w:val="sv-FI" w:eastAsia="sv-FI"/>
          <w14:ligatures w14:val="standardContextual"/>
        </w:rPr>
      </w:pPr>
      <w:hyperlink w:anchor="_Toc146010356" w:history="1">
        <w:r w:rsidR="00E75CC1" w:rsidRPr="00490D86">
          <w:rPr>
            <w:rStyle w:val="Hyperlnk"/>
          </w:rPr>
          <w:t>Allmän motivering</w:t>
        </w:r>
        <w:r w:rsidR="00E75CC1">
          <w:rPr>
            <w:webHidden/>
          </w:rPr>
          <w:tab/>
        </w:r>
        <w:r w:rsidR="00E75CC1">
          <w:rPr>
            <w:webHidden/>
          </w:rPr>
          <w:fldChar w:fldCharType="begin"/>
        </w:r>
        <w:r w:rsidR="00E75CC1">
          <w:rPr>
            <w:webHidden/>
          </w:rPr>
          <w:instrText xml:space="preserve"> PAGEREF _Toc146010356 \h </w:instrText>
        </w:r>
        <w:r w:rsidR="00E75CC1">
          <w:rPr>
            <w:webHidden/>
          </w:rPr>
        </w:r>
        <w:r w:rsidR="00E75CC1">
          <w:rPr>
            <w:webHidden/>
          </w:rPr>
          <w:fldChar w:fldCharType="separate"/>
        </w:r>
        <w:r w:rsidR="002E50AF">
          <w:rPr>
            <w:webHidden/>
          </w:rPr>
          <w:t>1</w:t>
        </w:r>
        <w:r w:rsidR="00E75CC1">
          <w:rPr>
            <w:webHidden/>
          </w:rPr>
          <w:fldChar w:fldCharType="end"/>
        </w:r>
      </w:hyperlink>
    </w:p>
    <w:p w14:paraId="36B876A3" w14:textId="0B837BFF" w:rsidR="00E75CC1" w:rsidRDefault="002B336C">
      <w:pPr>
        <w:pStyle w:val="Innehll2"/>
        <w:rPr>
          <w:rFonts w:asciiTheme="minorHAnsi" w:eastAsiaTheme="minorEastAsia" w:hAnsiTheme="minorHAnsi" w:cstheme="minorBidi"/>
          <w:kern w:val="2"/>
          <w:sz w:val="22"/>
          <w:szCs w:val="22"/>
          <w:lang w:val="sv-FI" w:eastAsia="sv-FI"/>
          <w14:ligatures w14:val="standardContextual"/>
        </w:rPr>
      </w:pPr>
      <w:hyperlink w:anchor="_Toc146010357" w:history="1">
        <w:r w:rsidR="00E75CC1" w:rsidRPr="00490D86">
          <w:rPr>
            <w:rStyle w:val="Hyperlnk"/>
          </w:rPr>
          <w:t>Detaljmotivering</w:t>
        </w:r>
        <w:r w:rsidR="00E75CC1">
          <w:rPr>
            <w:webHidden/>
          </w:rPr>
          <w:tab/>
        </w:r>
        <w:r w:rsidR="00E75CC1">
          <w:rPr>
            <w:webHidden/>
          </w:rPr>
          <w:fldChar w:fldCharType="begin"/>
        </w:r>
        <w:r w:rsidR="00E75CC1">
          <w:rPr>
            <w:webHidden/>
          </w:rPr>
          <w:instrText xml:space="preserve"> PAGEREF _Toc146010357 \h </w:instrText>
        </w:r>
        <w:r w:rsidR="00E75CC1">
          <w:rPr>
            <w:webHidden/>
          </w:rPr>
        </w:r>
        <w:r w:rsidR="00E75CC1">
          <w:rPr>
            <w:webHidden/>
          </w:rPr>
          <w:fldChar w:fldCharType="separate"/>
        </w:r>
        <w:r w:rsidR="002E50AF">
          <w:rPr>
            <w:webHidden/>
          </w:rPr>
          <w:t>4</w:t>
        </w:r>
        <w:r w:rsidR="00E75CC1">
          <w:rPr>
            <w:webHidden/>
          </w:rPr>
          <w:fldChar w:fldCharType="end"/>
        </w:r>
      </w:hyperlink>
    </w:p>
    <w:p w14:paraId="5DAC1A43" w14:textId="6FBAD826" w:rsidR="00E75CC1" w:rsidRDefault="002B336C">
      <w:pPr>
        <w:pStyle w:val="Innehll1"/>
        <w:rPr>
          <w:rFonts w:asciiTheme="minorHAnsi" w:eastAsiaTheme="minorEastAsia" w:hAnsiTheme="minorHAnsi" w:cstheme="minorBidi"/>
          <w:kern w:val="2"/>
          <w:sz w:val="22"/>
          <w:szCs w:val="22"/>
          <w:lang w:val="sv-FI" w:eastAsia="sv-FI"/>
          <w14:ligatures w14:val="standardContextual"/>
        </w:rPr>
      </w:pPr>
      <w:hyperlink w:anchor="_Toc146010358" w:history="1">
        <w:r w:rsidR="00E75CC1" w:rsidRPr="00490D86">
          <w:rPr>
            <w:rStyle w:val="Hyperlnk"/>
          </w:rPr>
          <w:t>Ärendets behandling</w:t>
        </w:r>
        <w:r w:rsidR="00E75CC1">
          <w:rPr>
            <w:webHidden/>
          </w:rPr>
          <w:tab/>
        </w:r>
        <w:r w:rsidR="00E75CC1">
          <w:rPr>
            <w:webHidden/>
          </w:rPr>
          <w:fldChar w:fldCharType="begin"/>
        </w:r>
        <w:r w:rsidR="00E75CC1">
          <w:rPr>
            <w:webHidden/>
          </w:rPr>
          <w:instrText xml:space="preserve"> PAGEREF _Toc146010358 \h </w:instrText>
        </w:r>
        <w:r w:rsidR="00E75CC1">
          <w:rPr>
            <w:webHidden/>
          </w:rPr>
        </w:r>
        <w:r w:rsidR="00E75CC1">
          <w:rPr>
            <w:webHidden/>
          </w:rPr>
          <w:fldChar w:fldCharType="separate"/>
        </w:r>
        <w:r w:rsidR="002E50AF">
          <w:rPr>
            <w:webHidden/>
          </w:rPr>
          <w:t>4</w:t>
        </w:r>
        <w:r w:rsidR="00E75CC1">
          <w:rPr>
            <w:webHidden/>
          </w:rPr>
          <w:fldChar w:fldCharType="end"/>
        </w:r>
      </w:hyperlink>
    </w:p>
    <w:p w14:paraId="2E786E62" w14:textId="07D47E7B" w:rsidR="00E75CC1" w:rsidRDefault="002B336C">
      <w:pPr>
        <w:pStyle w:val="Innehll1"/>
        <w:rPr>
          <w:rFonts w:asciiTheme="minorHAnsi" w:eastAsiaTheme="minorEastAsia" w:hAnsiTheme="minorHAnsi" w:cstheme="minorBidi"/>
          <w:kern w:val="2"/>
          <w:sz w:val="22"/>
          <w:szCs w:val="22"/>
          <w:lang w:val="sv-FI" w:eastAsia="sv-FI"/>
          <w14:ligatures w14:val="standardContextual"/>
        </w:rPr>
      </w:pPr>
      <w:hyperlink w:anchor="_Toc146010359" w:history="1">
        <w:r w:rsidR="00E75CC1" w:rsidRPr="00490D86">
          <w:rPr>
            <w:rStyle w:val="Hyperlnk"/>
          </w:rPr>
          <w:t>Utskottets förslag</w:t>
        </w:r>
        <w:r w:rsidR="00E75CC1">
          <w:rPr>
            <w:webHidden/>
          </w:rPr>
          <w:tab/>
        </w:r>
        <w:r w:rsidR="00E75CC1">
          <w:rPr>
            <w:webHidden/>
          </w:rPr>
          <w:fldChar w:fldCharType="begin"/>
        </w:r>
        <w:r w:rsidR="00E75CC1">
          <w:rPr>
            <w:webHidden/>
          </w:rPr>
          <w:instrText xml:space="preserve"> PAGEREF _Toc146010359 \h </w:instrText>
        </w:r>
        <w:r w:rsidR="00E75CC1">
          <w:rPr>
            <w:webHidden/>
          </w:rPr>
        </w:r>
        <w:r w:rsidR="00E75CC1">
          <w:rPr>
            <w:webHidden/>
          </w:rPr>
          <w:fldChar w:fldCharType="separate"/>
        </w:r>
        <w:r w:rsidR="002E50AF">
          <w:rPr>
            <w:webHidden/>
          </w:rPr>
          <w:t>4</w:t>
        </w:r>
        <w:r w:rsidR="00E75CC1">
          <w:rPr>
            <w:webHidden/>
          </w:rPr>
          <w:fldChar w:fldCharType="end"/>
        </w:r>
      </w:hyperlink>
    </w:p>
    <w:p w14:paraId="5BFB3627" w14:textId="5D2F6A9C" w:rsidR="002401D0" w:rsidRDefault="002401D0">
      <w:pPr>
        <w:pStyle w:val="ANormal"/>
        <w:rPr>
          <w:noProof/>
        </w:rPr>
      </w:pPr>
      <w:r>
        <w:rPr>
          <w:rFonts w:ascii="Verdana" w:hAnsi="Verdana"/>
          <w:noProof/>
          <w:sz w:val="16"/>
          <w:szCs w:val="36"/>
        </w:rPr>
        <w:fldChar w:fldCharType="end"/>
      </w:r>
    </w:p>
    <w:p w14:paraId="4F5954CD" w14:textId="77777777" w:rsidR="002401D0" w:rsidRDefault="002401D0">
      <w:pPr>
        <w:pStyle w:val="ANormal"/>
      </w:pPr>
    </w:p>
    <w:p w14:paraId="3117261F" w14:textId="77777777" w:rsidR="002401D0" w:rsidRDefault="002401D0">
      <w:pPr>
        <w:pStyle w:val="RubrikA"/>
      </w:pPr>
      <w:bookmarkStart w:id="1" w:name="_Toc529800932"/>
      <w:bookmarkStart w:id="2" w:name="_Toc146010352"/>
      <w:r>
        <w:t>Sammanfattning</w:t>
      </w:r>
      <w:bookmarkEnd w:id="1"/>
      <w:bookmarkEnd w:id="2"/>
    </w:p>
    <w:p w14:paraId="601E5172" w14:textId="77777777" w:rsidR="002401D0" w:rsidRDefault="002401D0">
      <w:pPr>
        <w:pStyle w:val="Rubrikmellanrum"/>
      </w:pPr>
    </w:p>
    <w:p w14:paraId="0627689F" w14:textId="676F39E5" w:rsidR="002401D0" w:rsidRDefault="00022E9D">
      <w:pPr>
        <w:pStyle w:val="RubrikB"/>
      </w:pPr>
      <w:bookmarkStart w:id="3" w:name="_Toc529800933"/>
      <w:bookmarkStart w:id="4" w:name="_Toc146010353"/>
      <w:r>
        <w:t>Landska</w:t>
      </w:r>
      <w:r w:rsidR="002B336C">
        <w:t>p</w:t>
      </w:r>
      <w:r>
        <w:t>sregeringens</w:t>
      </w:r>
      <w:r w:rsidR="002401D0">
        <w:t xml:space="preserve"> förslag</w:t>
      </w:r>
      <w:bookmarkEnd w:id="3"/>
      <w:bookmarkEnd w:id="4"/>
    </w:p>
    <w:p w14:paraId="30E545F3" w14:textId="77777777" w:rsidR="002401D0" w:rsidRDefault="002401D0">
      <w:pPr>
        <w:pStyle w:val="Rubrikmellanrum"/>
      </w:pPr>
    </w:p>
    <w:p w14:paraId="20FEE20F" w14:textId="2210A92A" w:rsidR="00022E9D" w:rsidRDefault="00022E9D" w:rsidP="00022E9D">
      <w:pPr>
        <w:pStyle w:val="ANormal"/>
      </w:pPr>
      <w:r>
        <w:t>Landskapsregeringen föreslår att en ny skyddshemslag antas. Den föreslagna skyddshemslagen utgår från den nuvarande skyddshemslagen med vissa ändringar. Ändringarna gäller organiseringsansvaret som föreslås överföras från landskapsregeringen till K</w:t>
      </w:r>
      <w:r w:rsidR="008455E2">
        <w:t>ommunernas socialtjänst k.f.</w:t>
      </w:r>
      <w:r w:rsidR="00625581">
        <w:t>, s</w:t>
      </w:r>
      <w:r>
        <w:t xml:space="preserve">å att </w:t>
      </w:r>
      <w:r w:rsidR="00625581">
        <w:t>Kommunernas socialtjänst k.f. i</w:t>
      </w:r>
      <w:r>
        <w:t xml:space="preserve"> fortsättningen ansvarar för produktionen av skyddshemstjänster. Bestämmelser om finansieringen, ersättningsgrunderna och utbetalning föreslås intas på lagnivå. Av lagtekniska skäl för enhetlighet skulle enligt förslaget en ny lag antas i stället för att göra en mängd ändringar i nuvarande skyddshemslag.</w:t>
      </w:r>
    </w:p>
    <w:p w14:paraId="66B938DE" w14:textId="4CF930C1" w:rsidR="002401D0" w:rsidRDefault="00022E9D">
      <w:pPr>
        <w:pStyle w:val="ANormal"/>
      </w:pPr>
      <w:r>
        <w:tab/>
      </w:r>
    </w:p>
    <w:p w14:paraId="02DF96A7" w14:textId="77777777" w:rsidR="002401D0" w:rsidRDefault="002401D0">
      <w:pPr>
        <w:pStyle w:val="RubrikB"/>
      </w:pPr>
      <w:bookmarkStart w:id="5" w:name="_Toc529800934"/>
      <w:bookmarkStart w:id="6" w:name="_Toc146010354"/>
      <w:r>
        <w:t>Utskottets förslag</w:t>
      </w:r>
      <w:bookmarkEnd w:id="5"/>
      <w:bookmarkEnd w:id="6"/>
    </w:p>
    <w:p w14:paraId="56A338BE" w14:textId="77777777" w:rsidR="002401D0" w:rsidRDefault="002401D0">
      <w:pPr>
        <w:pStyle w:val="Rubrikmellanrum"/>
      </w:pPr>
    </w:p>
    <w:p w14:paraId="4EC4B415" w14:textId="19D41ECC" w:rsidR="002401D0" w:rsidRDefault="00F67FE5">
      <w:pPr>
        <w:pStyle w:val="ANormal"/>
      </w:pPr>
      <w:r>
        <w:t xml:space="preserve">Utskottet föreslår att lagförslaget antas med några mindre ändringar som framgår av betänkandet. </w:t>
      </w:r>
    </w:p>
    <w:p w14:paraId="6B3D590D" w14:textId="77777777" w:rsidR="002401D0" w:rsidRDefault="002401D0">
      <w:pPr>
        <w:pStyle w:val="ANormal"/>
      </w:pPr>
    </w:p>
    <w:p w14:paraId="2B8E363E" w14:textId="77777777" w:rsidR="002401D0" w:rsidRDefault="002401D0">
      <w:pPr>
        <w:pStyle w:val="RubrikA"/>
      </w:pPr>
      <w:bookmarkStart w:id="7" w:name="_Toc529800935"/>
      <w:bookmarkStart w:id="8" w:name="_Toc146010355"/>
      <w:r>
        <w:t>Utskottets synpunkter</w:t>
      </w:r>
      <w:bookmarkEnd w:id="7"/>
      <w:bookmarkEnd w:id="8"/>
    </w:p>
    <w:p w14:paraId="09C3BF5E" w14:textId="77777777" w:rsidR="002401D0" w:rsidRDefault="002401D0">
      <w:pPr>
        <w:pStyle w:val="Rubrikmellanrum"/>
      </w:pPr>
    </w:p>
    <w:p w14:paraId="46411B41" w14:textId="77777777" w:rsidR="007848F2" w:rsidRDefault="007848F2" w:rsidP="007848F2">
      <w:pPr>
        <w:pStyle w:val="RubrikB"/>
      </w:pPr>
      <w:bookmarkStart w:id="9" w:name="_Toc146010356"/>
      <w:r>
        <w:t>Allmän motivering</w:t>
      </w:r>
      <w:bookmarkEnd w:id="9"/>
    </w:p>
    <w:p w14:paraId="64C70E18" w14:textId="77777777" w:rsidR="001C3408" w:rsidRDefault="001C3408" w:rsidP="001C3408">
      <w:pPr>
        <w:pStyle w:val="Rubrikmellanrum"/>
      </w:pPr>
    </w:p>
    <w:p w14:paraId="5B102402" w14:textId="6FC911F0" w:rsidR="0027259E" w:rsidRDefault="001C3408" w:rsidP="001C3408">
      <w:pPr>
        <w:pStyle w:val="ANormal"/>
      </w:pPr>
      <w:r>
        <w:t xml:space="preserve">Utskottet tillstyrker lagförslaget med följande </w:t>
      </w:r>
      <w:r w:rsidR="00F84F70">
        <w:t xml:space="preserve">kommentarer och </w:t>
      </w:r>
      <w:r>
        <w:t>synpunkter</w:t>
      </w:r>
      <w:r w:rsidR="00F84F70">
        <w:t>.</w:t>
      </w:r>
    </w:p>
    <w:p w14:paraId="665F99D4" w14:textId="77777777" w:rsidR="006D6F46" w:rsidRDefault="006D6F46" w:rsidP="001C3408">
      <w:pPr>
        <w:pStyle w:val="ANormal"/>
      </w:pPr>
    </w:p>
    <w:p w14:paraId="368A8258" w14:textId="268F9A59" w:rsidR="006D6F46" w:rsidRDefault="006D6F46" w:rsidP="001C3408">
      <w:pPr>
        <w:pStyle w:val="ANormal"/>
        <w:rPr>
          <w:i/>
          <w:iCs/>
        </w:rPr>
      </w:pPr>
      <w:r w:rsidRPr="006D6F46">
        <w:rPr>
          <w:i/>
          <w:iCs/>
        </w:rPr>
        <w:t xml:space="preserve">Allmänt </w:t>
      </w:r>
    </w:p>
    <w:p w14:paraId="1070D826" w14:textId="77777777" w:rsidR="0067578A" w:rsidRDefault="0067578A" w:rsidP="001C3408">
      <w:pPr>
        <w:pStyle w:val="ANormal"/>
        <w:rPr>
          <w:i/>
          <w:iCs/>
          <w:sz w:val="10"/>
          <w:szCs w:val="10"/>
        </w:rPr>
      </w:pPr>
    </w:p>
    <w:p w14:paraId="355CCCC6" w14:textId="7C594697" w:rsidR="005820F6" w:rsidRDefault="00B535D0" w:rsidP="001C3408">
      <w:pPr>
        <w:pStyle w:val="ANormal"/>
        <w:rPr>
          <w:szCs w:val="22"/>
        </w:rPr>
      </w:pPr>
      <w:r>
        <w:rPr>
          <w:szCs w:val="22"/>
        </w:rPr>
        <w:t xml:space="preserve">Forskning visar att våld i nära relationer fortsättningsvis är ett betydande samhällsproblem. </w:t>
      </w:r>
      <w:r w:rsidR="008455E2" w:rsidRPr="008455E2">
        <w:rPr>
          <w:szCs w:val="22"/>
        </w:rPr>
        <w:t xml:space="preserve">Ett långsiktigt, systematiskt och kunskapsbaserat arbete för att förebygga våld är </w:t>
      </w:r>
      <w:r>
        <w:rPr>
          <w:szCs w:val="22"/>
        </w:rPr>
        <w:t xml:space="preserve">därför </w:t>
      </w:r>
      <w:r w:rsidR="008455E2" w:rsidRPr="008455E2">
        <w:rPr>
          <w:szCs w:val="22"/>
        </w:rPr>
        <w:t xml:space="preserve">en nödvändighet. </w:t>
      </w:r>
      <w:r w:rsidRPr="00B535D0">
        <w:rPr>
          <w:szCs w:val="22"/>
        </w:rPr>
        <w:t xml:space="preserve">Berörda myndigheter och verksamheter behöver </w:t>
      </w:r>
      <w:r>
        <w:rPr>
          <w:szCs w:val="22"/>
        </w:rPr>
        <w:t xml:space="preserve">kontinuerligt </w:t>
      </w:r>
      <w:r w:rsidRPr="00B535D0">
        <w:rPr>
          <w:szCs w:val="22"/>
        </w:rPr>
        <w:t>se över sina rutiner, strukturer</w:t>
      </w:r>
      <w:r>
        <w:rPr>
          <w:szCs w:val="22"/>
        </w:rPr>
        <w:t xml:space="preserve"> o</w:t>
      </w:r>
      <w:r w:rsidRPr="00B535D0">
        <w:rPr>
          <w:szCs w:val="22"/>
        </w:rPr>
        <w:t xml:space="preserve">ch metoder gällande hanteringen av våld i nära relationer. Dessutom krävs </w:t>
      </w:r>
      <w:r w:rsidR="005820F6">
        <w:rPr>
          <w:szCs w:val="22"/>
        </w:rPr>
        <w:t xml:space="preserve">strukturerad evidensbaserad samverkan mellan berörda myndigheter och verksamheter. Särskilt fokus behöver </w:t>
      </w:r>
      <w:r w:rsidR="00BA01C6">
        <w:rPr>
          <w:szCs w:val="22"/>
        </w:rPr>
        <w:t xml:space="preserve">enligt utskottet </w:t>
      </w:r>
      <w:r w:rsidR="005820F6">
        <w:rPr>
          <w:szCs w:val="22"/>
        </w:rPr>
        <w:t xml:space="preserve">läggas på barnrättsperspektivet. </w:t>
      </w:r>
    </w:p>
    <w:p w14:paraId="63B38CAE" w14:textId="77777777" w:rsidR="005820F6" w:rsidRDefault="005820F6" w:rsidP="001C3408">
      <w:pPr>
        <w:pStyle w:val="ANormal"/>
        <w:rPr>
          <w:szCs w:val="22"/>
        </w:rPr>
      </w:pPr>
    </w:p>
    <w:p w14:paraId="3EE6333A" w14:textId="77777777" w:rsidR="00CB0C1D" w:rsidRDefault="00CB0C1D" w:rsidP="001C3408">
      <w:pPr>
        <w:pStyle w:val="ANormal"/>
        <w:rPr>
          <w:i/>
          <w:iCs/>
        </w:rPr>
      </w:pPr>
    </w:p>
    <w:p w14:paraId="050F89E9" w14:textId="77777777" w:rsidR="00CB0C1D" w:rsidRDefault="00CB0C1D" w:rsidP="001C3408">
      <w:pPr>
        <w:pStyle w:val="ANormal"/>
        <w:rPr>
          <w:i/>
          <w:iCs/>
        </w:rPr>
      </w:pPr>
    </w:p>
    <w:p w14:paraId="0C1099ED" w14:textId="2047FF08" w:rsidR="0027259E" w:rsidRDefault="0027259E" w:rsidP="001C3408">
      <w:pPr>
        <w:pStyle w:val="ANormal"/>
        <w:rPr>
          <w:i/>
          <w:iCs/>
        </w:rPr>
      </w:pPr>
      <w:r w:rsidRPr="0027259E">
        <w:rPr>
          <w:i/>
          <w:iCs/>
        </w:rPr>
        <w:t xml:space="preserve">Landskapsregeringens roll </w:t>
      </w:r>
    </w:p>
    <w:p w14:paraId="199AD696" w14:textId="77777777" w:rsidR="0027259E" w:rsidRDefault="0027259E" w:rsidP="001C3408">
      <w:pPr>
        <w:pStyle w:val="ANormal"/>
        <w:rPr>
          <w:i/>
          <w:iCs/>
          <w:sz w:val="10"/>
          <w:szCs w:val="10"/>
        </w:rPr>
      </w:pPr>
    </w:p>
    <w:p w14:paraId="27F8E92F" w14:textId="5DAE2F01" w:rsidR="002C3EEF" w:rsidRPr="002C3EEF" w:rsidRDefault="006610CB" w:rsidP="002C3EEF">
      <w:pPr>
        <w:pStyle w:val="ANormal"/>
        <w:rPr>
          <w:szCs w:val="22"/>
        </w:rPr>
      </w:pPr>
      <w:r>
        <w:rPr>
          <w:szCs w:val="22"/>
        </w:rPr>
        <w:t xml:space="preserve">Landskapsregeringen har i enlighet med konventionen om förebyggande och bekämpning av våld </w:t>
      </w:r>
      <w:r w:rsidR="00A01E3B">
        <w:rPr>
          <w:szCs w:val="22"/>
        </w:rPr>
        <w:t xml:space="preserve">mot kvinnor och våld </w:t>
      </w:r>
      <w:r>
        <w:rPr>
          <w:szCs w:val="22"/>
        </w:rPr>
        <w:t xml:space="preserve">i hemmet </w:t>
      </w:r>
      <w:r w:rsidRPr="006610CB">
        <w:rPr>
          <w:i/>
          <w:iCs/>
          <w:szCs w:val="22"/>
        </w:rPr>
        <w:t>(Istanbulkonvention)</w:t>
      </w:r>
      <w:r>
        <w:rPr>
          <w:i/>
          <w:iCs/>
          <w:szCs w:val="22"/>
        </w:rPr>
        <w:t xml:space="preserve">, </w:t>
      </w:r>
      <w:r w:rsidRPr="00872B19">
        <w:rPr>
          <w:szCs w:val="22"/>
        </w:rPr>
        <w:t>till v</w:t>
      </w:r>
      <w:r w:rsidR="00872B19" w:rsidRPr="00872B19">
        <w:rPr>
          <w:szCs w:val="22"/>
        </w:rPr>
        <w:t xml:space="preserve">ars ikraftträdande </w:t>
      </w:r>
      <w:r w:rsidRPr="00872B19">
        <w:rPr>
          <w:szCs w:val="22"/>
        </w:rPr>
        <w:t>lagtinget g</w:t>
      </w:r>
      <w:r w:rsidR="00872B19" w:rsidRPr="00872B19">
        <w:rPr>
          <w:szCs w:val="22"/>
        </w:rPr>
        <w:t>ett</w:t>
      </w:r>
      <w:r w:rsidRPr="00872B19">
        <w:rPr>
          <w:szCs w:val="22"/>
        </w:rPr>
        <w:t xml:space="preserve"> sitt </w:t>
      </w:r>
      <w:r w:rsidR="00872B19" w:rsidRPr="00872B19">
        <w:rPr>
          <w:szCs w:val="22"/>
        </w:rPr>
        <w:t>bifall, det övergripande ansvaret</w:t>
      </w:r>
      <w:r w:rsidR="00872B19">
        <w:rPr>
          <w:i/>
          <w:iCs/>
          <w:szCs w:val="22"/>
        </w:rPr>
        <w:t xml:space="preserve"> </w:t>
      </w:r>
      <w:r>
        <w:rPr>
          <w:szCs w:val="22"/>
        </w:rPr>
        <w:t xml:space="preserve">för att implementera och följa upp </w:t>
      </w:r>
      <w:r w:rsidR="00872B19">
        <w:rPr>
          <w:szCs w:val="22"/>
        </w:rPr>
        <w:t>Istanbul</w:t>
      </w:r>
      <w:r>
        <w:rPr>
          <w:szCs w:val="22"/>
        </w:rPr>
        <w:t>konventionen</w:t>
      </w:r>
      <w:r w:rsidR="00872B19">
        <w:rPr>
          <w:szCs w:val="22"/>
        </w:rPr>
        <w:t xml:space="preserve">. </w:t>
      </w:r>
      <w:r w:rsidR="00C95A08" w:rsidRPr="00C95A08">
        <w:rPr>
          <w:szCs w:val="22"/>
        </w:rPr>
        <w:t>Av lagförslaget framgår</w:t>
      </w:r>
      <w:r w:rsidR="00C95A08">
        <w:rPr>
          <w:szCs w:val="22"/>
        </w:rPr>
        <w:t xml:space="preserve"> </w:t>
      </w:r>
      <w:r w:rsidR="00872B19">
        <w:rPr>
          <w:szCs w:val="22"/>
        </w:rPr>
        <w:t xml:space="preserve">följdriktigt </w:t>
      </w:r>
      <w:r w:rsidR="00B86A4D">
        <w:rPr>
          <w:szCs w:val="22"/>
        </w:rPr>
        <w:t xml:space="preserve">att </w:t>
      </w:r>
      <w:r w:rsidR="00C95A08">
        <w:rPr>
          <w:szCs w:val="22"/>
        </w:rPr>
        <w:t>landskapsregeringen</w:t>
      </w:r>
      <w:r w:rsidR="00B86A4D">
        <w:rPr>
          <w:szCs w:val="22"/>
        </w:rPr>
        <w:t xml:space="preserve"> fortsättningsvis ansvarar för den övergripande styrningen, planeringen och utvecklingen av skyddshemsverksamheten. Utskottet konstaterar således att l</w:t>
      </w:r>
      <w:r w:rsidR="002C3EEF">
        <w:rPr>
          <w:szCs w:val="22"/>
        </w:rPr>
        <w:t xml:space="preserve">andskapsregeringen har </w:t>
      </w:r>
      <w:r w:rsidR="00B86A4D">
        <w:rPr>
          <w:szCs w:val="22"/>
        </w:rPr>
        <w:t>de roll</w:t>
      </w:r>
      <w:r w:rsidR="00F84F70">
        <w:rPr>
          <w:szCs w:val="22"/>
        </w:rPr>
        <w:t xml:space="preserve">er </w:t>
      </w:r>
      <w:r w:rsidR="00B86A4D">
        <w:rPr>
          <w:szCs w:val="22"/>
        </w:rPr>
        <w:t xml:space="preserve">som på rikssidan hör till social- och hälsovårdsministeriet </w:t>
      </w:r>
      <w:r w:rsidR="002C3EEF">
        <w:rPr>
          <w:szCs w:val="22"/>
        </w:rPr>
        <w:t>och Institutet för hälsa och välfärd</w:t>
      </w:r>
      <w:r w:rsidR="00B86A4D">
        <w:rPr>
          <w:szCs w:val="22"/>
        </w:rPr>
        <w:t xml:space="preserve">, vilket </w:t>
      </w:r>
      <w:r w:rsidR="002C3EEF">
        <w:rPr>
          <w:szCs w:val="22"/>
        </w:rPr>
        <w:t xml:space="preserve">bland annat innebär att det är landskapsregeringen som </w:t>
      </w:r>
      <w:r w:rsidR="00C06F6D" w:rsidRPr="00C06F6D">
        <w:rPr>
          <w:szCs w:val="22"/>
        </w:rPr>
        <w:t>ut</w:t>
      </w:r>
      <w:r w:rsidR="00053AD4">
        <w:rPr>
          <w:szCs w:val="22"/>
        </w:rPr>
        <w:t xml:space="preserve">färdar </w:t>
      </w:r>
      <w:r w:rsidR="00A65AD4">
        <w:rPr>
          <w:szCs w:val="22"/>
        </w:rPr>
        <w:t xml:space="preserve">behövliga </w:t>
      </w:r>
      <w:r w:rsidR="00C06F6D" w:rsidRPr="00C06F6D">
        <w:rPr>
          <w:szCs w:val="22"/>
        </w:rPr>
        <w:t>anvisningar och kvalitetsrekommendationer</w:t>
      </w:r>
      <w:r w:rsidR="00A65AD4">
        <w:rPr>
          <w:szCs w:val="22"/>
        </w:rPr>
        <w:t xml:space="preserve">, som </w:t>
      </w:r>
      <w:r w:rsidR="00C65B7E">
        <w:rPr>
          <w:szCs w:val="22"/>
        </w:rPr>
        <w:t xml:space="preserve">följer upp, </w:t>
      </w:r>
      <w:r w:rsidR="00C06F6D">
        <w:rPr>
          <w:szCs w:val="22"/>
        </w:rPr>
        <w:t xml:space="preserve">utvärderar och utvecklar verksamheten samt </w:t>
      </w:r>
      <w:r w:rsidR="00F84F70" w:rsidRPr="00F84F70">
        <w:rPr>
          <w:szCs w:val="22"/>
        </w:rPr>
        <w:t xml:space="preserve">ger råd åt </w:t>
      </w:r>
      <w:r w:rsidR="00053AD4">
        <w:rPr>
          <w:szCs w:val="22"/>
        </w:rPr>
        <w:t>producenten av skyddshemstjänster</w:t>
      </w:r>
      <w:r w:rsidR="00C06F6D">
        <w:rPr>
          <w:szCs w:val="22"/>
        </w:rPr>
        <w:t xml:space="preserve"> i frågor </w:t>
      </w:r>
      <w:r w:rsidR="00F84F70" w:rsidRPr="00F84F70">
        <w:rPr>
          <w:szCs w:val="22"/>
        </w:rPr>
        <w:t xml:space="preserve">som gäller </w:t>
      </w:r>
      <w:r w:rsidR="00C06F6D">
        <w:rPr>
          <w:szCs w:val="22"/>
        </w:rPr>
        <w:t xml:space="preserve">tolkningen </w:t>
      </w:r>
      <w:r w:rsidR="00A65AD4">
        <w:rPr>
          <w:szCs w:val="22"/>
        </w:rPr>
        <w:t xml:space="preserve">av </w:t>
      </w:r>
      <w:r w:rsidR="00F84F70" w:rsidRPr="00F84F70">
        <w:rPr>
          <w:szCs w:val="22"/>
        </w:rPr>
        <w:t>la</w:t>
      </w:r>
      <w:r w:rsidR="00C06F6D">
        <w:rPr>
          <w:szCs w:val="22"/>
        </w:rPr>
        <w:t xml:space="preserve">ndskapslagen </w:t>
      </w:r>
      <w:r w:rsidR="00F84F70" w:rsidRPr="00F84F70">
        <w:rPr>
          <w:szCs w:val="22"/>
        </w:rPr>
        <w:t>om skyddshem och det praktiska genomförandet av skyddshemstjänsten</w:t>
      </w:r>
      <w:r w:rsidR="00C06F6D">
        <w:rPr>
          <w:szCs w:val="22"/>
        </w:rPr>
        <w:t xml:space="preserve">.  </w:t>
      </w:r>
    </w:p>
    <w:p w14:paraId="4BE7FF02" w14:textId="13167E4D" w:rsidR="00C95A08" w:rsidRDefault="00C95A08" w:rsidP="001C3408">
      <w:pPr>
        <w:pStyle w:val="ANormal"/>
        <w:rPr>
          <w:szCs w:val="22"/>
        </w:rPr>
      </w:pPr>
    </w:p>
    <w:p w14:paraId="79462A65" w14:textId="6360328A" w:rsidR="0027259E" w:rsidRDefault="00932C75" w:rsidP="001C3408">
      <w:pPr>
        <w:pStyle w:val="ANormal"/>
        <w:rPr>
          <w:i/>
          <w:iCs/>
          <w:szCs w:val="22"/>
        </w:rPr>
      </w:pPr>
      <w:r>
        <w:rPr>
          <w:i/>
          <w:iCs/>
          <w:szCs w:val="22"/>
        </w:rPr>
        <w:t>Utbildning och f</w:t>
      </w:r>
      <w:r w:rsidR="0027259E" w:rsidRPr="0027259E">
        <w:rPr>
          <w:i/>
          <w:iCs/>
          <w:szCs w:val="22"/>
        </w:rPr>
        <w:t>ortbildning</w:t>
      </w:r>
    </w:p>
    <w:p w14:paraId="024F5E62" w14:textId="77777777" w:rsidR="001975F4" w:rsidRDefault="001975F4" w:rsidP="001C3408">
      <w:pPr>
        <w:pStyle w:val="ANormal"/>
        <w:rPr>
          <w:i/>
          <w:iCs/>
          <w:sz w:val="10"/>
          <w:szCs w:val="10"/>
        </w:rPr>
      </w:pPr>
    </w:p>
    <w:p w14:paraId="2F95A63F" w14:textId="7A1DB42E" w:rsidR="00432CDB" w:rsidRDefault="00CA0EEA" w:rsidP="001C3408">
      <w:pPr>
        <w:pStyle w:val="ANormal"/>
        <w:rPr>
          <w:szCs w:val="22"/>
        </w:rPr>
      </w:pPr>
      <w:r>
        <w:rPr>
          <w:szCs w:val="22"/>
        </w:rPr>
        <w:t xml:space="preserve">Enligt 2 § </w:t>
      </w:r>
      <w:r w:rsidRPr="00CA0EEA">
        <w:rPr>
          <w:szCs w:val="22"/>
        </w:rPr>
        <w:t>i landskapsförordningen (2015:118) om skyddshemspersonal</w:t>
      </w:r>
      <w:r>
        <w:rPr>
          <w:szCs w:val="22"/>
        </w:rPr>
        <w:t xml:space="preserve"> ska </w:t>
      </w:r>
      <w:r w:rsidR="00053AD4">
        <w:rPr>
          <w:szCs w:val="22"/>
        </w:rPr>
        <w:t>den som producerar skyddshemstjänster</w:t>
      </w:r>
      <w:r w:rsidRPr="00CA0EEA">
        <w:rPr>
          <w:szCs w:val="22"/>
        </w:rPr>
        <w:t xml:space="preserve"> </w:t>
      </w:r>
      <w:r>
        <w:rPr>
          <w:szCs w:val="22"/>
        </w:rPr>
        <w:t xml:space="preserve">göra upp en </w:t>
      </w:r>
      <w:r w:rsidRPr="00CA0EEA">
        <w:rPr>
          <w:szCs w:val="22"/>
        </w:rPr>
        <w:t>fortbildningsplan i samarbete med landskapsregeringen</w:t>
      </w:r>
      <w:r>
        <w:rPr>
          <w:szCs w:val="22"/>
        </w:rPr>
        <w:t xml:space="preserve">. I föreliggande </w:t>
      </w:r>
      <w:r w:rsidR="0097019D">
        <w:rPr>
          <w:szCs w:val="22"/>
        </w:rPr>
        <w:t xml:space="preserve">lagförslag föreslås att kravet på </w:t>
      </w:r>
      <w:bookmarkStart w:id="10" w:name="_Hlk145442483"/>
      <w:r w:rsidR="0097019D">
        <w:rPr>
          <w:szCs w:val="22"/>
        </w:rPr>
        <w:t xml:space="preserve">att göra upp en fortbildningsplan </w:t>
      </w:r>
      <w:bookmarkEnd w:id="10"/>
      <w:r>
        <w:rPr>
          <w:szCs w:val="22"/>
        </w:rPr>
        <w:t>slopas. Ändringen motiveras med att det av landskapslagen (2020:24) om yrkesutbildade personer inom socialvården följer ett krav på att upprätthålla yrkeskompetensen.</w:t>
      </w:r>
      <w:r w:rsidR="002E3B8C">
        <w:rPr>
          <w:szCs w:val="22"/>
        </w:rPr>
        <w:t xml:space="preserve"> </w:t>
      </w:r>
      <w:r w:rsidR="007E7D48">
        <w:rPr>
          <w:szCs w:val="22"/>
        </w:rPr>
        <w:t xml:space="preserve">Utskottet har erfarit att </w:t>
      </w:r>
      <w:r w:rsidR="00F01618">
        <w:rPr>
          <w:szCs w:val="22"/>
        </w:rPr>
        <w:t xml:space="preserve">aktuell och uppdaterad kunskap om våld i nära relationer och krisarbete är viktigt för att </w:t>
      </w:r>
      <w:r w:rsidR="00011B96">
        <w:rPr>
          <w:szCs w:val="22"/>
        </w:rPr>
        <w:t xml:space="preserve">adekvat och </w:t>
      </w:r>
      <w:r w:rsidR="00F01618">
        <w:rPr>
          <w:szCs w:val="22"/>
        </w:rPr>
        <w:t xml:space="preserve">professionellt kunna möta och stöda våldsutsatta personer.  Ny kunskap utifrån aktuell forskning och utveckling på området behöver därför </w:t>
      </w:r>
      <w:r w:rsidR="00011B96">
        <w:rPr>
          <w:szCs w:val="22"/>
        </w:rPr>
        <w:t xml:space="preserve">regelbundet inhämtas. </w:t>
      </w:r>
      <w:r w:rsidR="005A5EA0">
        <w:rPr>
          <w:szCs w:val="22"/>
        </w:rPr>
        <w:t xml:space="preserve">I </w:t>
      </w:r>
      <w:r w:rsidR="00360841">
        <w:rPr>
          <w:szCs w:val="22"/>
        </w:rPr>
        <w:t xml:space="preserve">rapporten </w:t>
      </w:r>
      <w:bookmarkStart w:id="11" w:name="_Hlk145581117"/>
      <w:r w:rsidR="00360841">
        <w:rPr>
          <w:i/>
          <w:iCs/>
          <w:szCs w:val="22"/>
        </w:rPr>
        <w:t>Våld i nära relationer på Åland 2017</w:t>
      </w:r>
      <w:r w:rsidR="005A5EA0">
        <w:rPr>
          <w:i/>
          <w:iCs/>
          <w:szCs w:val="22"/>
        </w:rPr>
        <w:t xml:space="preserve">, Undersökning om förekomst av våld i nära relationer </w:t>
      </w:r>
      <w:bookmarkEnd w:id="11"/>
      <w:r w:rsidR="00360841">
        <w:rPr>
          <w:szCs w:val="22"/>
        </w:rPr>
        <w:t>fram</w:t>
      </w:r>
      <w:r w:rsidR="005A5EA0">
        <w:rPr>
          <w:szCs w:val="22"/>
        </w:rPr>
        <w:t xml:space="preserve">kom </w:t>
      </w:r>
      <w:bookmarkStart w:id="12" w:name="_Hlk145582500"/>
      <w:r w:rsidR="00360841">
        <w:rPr>
          <w:szCs w:val="22"/>
        </w:rPr>
        <w:t xml:space="preserve">att </w:t>
      </w:r>
      <w:r w:rsidR="005A5EA0">
        <w:rPr>
          <w:szCs w:val="22"/>
        </w:rPr>
        <w:t>c</w:t>
      </w:r>
      <w:r w:rsidR="005A5EA0" w:rsidRPr="005A5EA0">
        <w:rPr>
          <w:szCs w:val="22"/>
        </w:rPr>
        <w:t xml:space="preserve">irka var femte (18,8 </w:t>
      </w:r>
      <w:r w:rsidR="00A65AD4">
        <w:rPr>
          <w:szCs w:val="22"/>
        </w:rPr>
        <w:t>procent)</w:t>
      </w:r>
      <w:r w:rsidR="005A5EA0" w:rsidRPr="005A5EA0">
        <w:rPr>
          <w:szCs w:val="22"/>
        </w:rPr>
        <w:t xml:space="preserve"> av de </w:t>
      </w:r>
      <w:r w:rsidR="005A5EA0">
        <w:rPr>
          <w:szCs w:val="22"/>
        </w:rPr>
        <w:t xml:space="preserve">som </w:t>
      </w:r>
      <w:r w:rsidR="00ED7B86">
        <w:rPr>
          <w:szCs w:val="22"/>
        </w:rPr>
        <w:t xml:space="preserve">sökt hjälp på Tallbacken och </w:t>
      </w:r>
      <w:r w:rsidR="00146DBA">
        <w:rPr>
          <w:szCs w:val="22"/>
        </w:rPr>
        <w:t xml:space="preserve">då </w:t>
      </w:r>
      <w:r w:rsidR="005A5EA0">
        <w:rPr>
          <w:szCs w:val="22"/>
        </w:rPr>
        <w:t>n</w:t>
      </w:r>
      <w:r w:rsidR="005A5EA0" w:rsidRPr="005A5EA0">
        <w:rPr>
          <w:szCs w:val="22"/>
        </w:rPr>
        <w:t xml:space="preserve">yligen </w:t>
      </w:r>
      <w:r w:rsidR="005A5EA0">
        <w:rPr>
          <w:szCs w:val="22"/>
        </w:rPr>
        <w:t xml:space="preserve">varit </w:t>
      </w:r>
      <w:r w:rsidR="005A5EA0" w:rsidRPr="005A5EA0">
        <w:rPr>
          <w:szCs w:val="22"/>
        </w:rPr>
        <w:t xml:space="preserve">utsatta </w:t>
      </w:r>
      <w:r w:rsidR="007E7D48">
        <w:rPr>
          <w:szCs w:val="22"/>
        </w:rPr>
        <w:t xml:space="preserve">för våld i nära relationer </w:t>
      </w:r>
      <w:r w:rsidR="00ED7B86">
        <w:rPr>
          <w:szCs w:val="22"/>
        </w:rPr>
        <w:t>upplevde att de</w:t>
      </w:r>
      <w:r w:rsidR="005E33CD">
        <w:rPr>
          <w:szCs w:val="22"/>
        </w:rPr>
        <w:t xml:space="preserve"> </w:t>
      </w:r>
      <w:r w:rsidR="005A5EA0">
        <w:rPr>
          <w:szCs w:val="22"/>
        </w:rPr>
        <w:t xml:space="preserve">hade blivit dåligt eller mycket dåligt </w:t>
      </w:r>
      <w:r w:rsidR="005A5EA0" w:rsidRPr="005A5EA0">
        <w:rPr>
          <w:szCs w:val="22"/>
        </w:rPr>
        <w:t xml:space="preserve">bemötta </w:t>
      </w:r>
      <w:r w:rsidR="007E7D48">
        <w:rPr>
          <w:szCs w:val="22"/>
        </w:rPr>
        <w:t>på</w:t>
      </w:r>
      <w:r w:rsidR="005A5EA0" w:rsidRPr="005A5EA0">
        <w:rPr>
          <w:szCs w:val="22"/>
        </w:rPr>
        <w:t xml:space="preserve"> Tallbacken</w:t>
      </w:r>
      <w:bookmarkEnd w:id="12"/>
      <w:r w:rsidR="005A5EA0" w:rsidRPr="005A5EA0">
        <w:rPr>
          <w:szCs w:val="22"/>
        </w:rPr>
        <w:t xml:space="preserve">. </w:t>
      </w:r>
      <w:r w:rsidR="009B5F4F">
        <w:rPr>
          <w:szCs w:val="22"/>
        </w:rPr>
        <w:t>De missnöjda svarande efterlyste mer professionell hjälp på Tallbacken.</w:t>
      </w:r>
      <w:r w:rsidR="00D17168">
        <w:rPr>
          <w:szCs w:val="22"/>
        </w:rPr>
        <w:t xml:space="preserve"> </w:t>
      </w:r>
    </w:p>
    <w:p w14:paraId="1BDB3FF3" w14:textId="0340AAEA" w:rsidR="005A5EA0" w:rsidRPr="00AD4418" w:rsidRDefault="00432CDB" w:rsidP="001C3408">
      <w:pPr>
        <w:pStyle w:val="ANormal"/>
        <w:rPr>
          <w:color w:val="FF0000"/>
          <w:szCs w:val="22"/>
        </w:rPr>
      </w:pPr>
      <w:r>
        <w:rPr>
          <w:szCs w:val="22"/>
        </w:rPr>
        <w:tab/>
      </w:r>
      <w:r w:rsidR="009B5F4F">
        <w:rPr>
          <w:szCs w:val="22"/>
        </w:rPr>
        <w:t xml:space="preserve">Utskottet konstaterar </w:t>
      </w:r>
      <w:r w:rsidR="00ED7B86">
        <w:rPr>
          <w:szCs w:val="22"/>
        </w:rPr>
        <w:t xml:space="preserve">mot bakgrund av det ovan sagda </w:t>
      </w:r>
      <w:r w:rsidR="00011B96">
        <w:rPr>
          <w:szCs w:val="22"/>
        </w:rPr>
        <w:t xml:space="preserve">att det fortsättningsvis finns behov av kontinuerliga fortbildningsinsatser på området och anser </w:t>
      </w:r>
      <w:r w:rsidRPr="003F3472">
        <w:rPr>
          <w:szCs w:val="22"/>
        </w:rPr>
        <w:t xml:space="preserve">därför </w:t>
      </w:r>
      <w:r w:rsidR="00011B96" w:rsidRPr="003F3472">
        <w:rPr>
          <w:szCs w:val="22"/>
        </w:rPr>
        <w:t>att</w:t>
      </w:r>
      <w:r w:rsidR="00D17168" w:rsidRPr="003F3472">
        <w:rPr>
          <w:szCs w:val="22"/>
        </w:rPr>
        <w:t xml:space="preserve"> </w:t>
      </w:r>
      <w:r w:rsidR="00AD4418" w:rsidRPr="003F3472">
        <w:rPr>
          <w:szCs w:val="22"/>
        </w:rPr>
        <w:t xml:space="preserve">2 § i landskapsförordningen (2015:118) om skyddshemspersonal ska förbli </w:t>
      </w:r>
      <w:proofErr w:type="gramStart"/>
      <w:r w:rsidR="00AD4418" w:rsidRPr="003F3472">
        <w:rPr>
          <w:szCs w:val="22"/>
        </w:rPr>
        <w:t>ikraft</w:t>
      </w:r>
      <w:proofErr w:type="gramEnd"/>
      <w:r w:rsidR="00D17168" w:rsidRPr="003F3472">
        <w:rPr>
          <w:szCs w:val="22"/>
        </w:rPr>
        <w:t xml:space="preserve">. </w:t>
      </w:r>
      <w:r w:rsidR="009B5F4F" w:rsidRPr="003F3472">
        <w:rPr>
          <w:szCs w:val="22"/>
        </w:rPr>
        <w:t xml:space="preserve"> </w:t>
      </w:r>
    </w:p>
    <w:p w14:paraId="089CC83F" w14:textId="77777777" w:rsidR="005A5EA0" w:rsidRPr="00AD4418" w:rsidRDefault="005A5EA0" w:rsidP="001C3408">
      <w:pPr>
        <w:pStyle w:val="ANormal"/>
        <w:rPr>
          <w:color w:val="FF0000"/>
          <w:szCs w:val="22"/>
        </w:rPr>
      </w:pPr>
    </w:p>
    <w:p w14:paraId="592F1C80" w14:textId="73F98B1A" w:rsidR="0027259E" w:rsidRDefault="0027259E" w:rsidP="001C3408">
      <w:pPr>
        <w:pStyle w:val="ANormal"/>
        <w:rPr>
          <w:i/>
          <w:iCs/>
          <w:szCs w:val="22"/>
        </w:rPr>
      </w:pPr>
      <w:r w:rsidRPr="0027259E">
        <w:rPr>
          <w:i/>
          <w:iCs/>
          <w:szCs w:val="22"/>
        </w:rPr>
        <w:t>Utvärdering</w:t>
      </w:r>
      <w:r w:rsidR="00EB46A5">
        <w:rPr>
          <w:i/>
          <w:iCs/>
          <w:szCs w:val="22"/>
        </w:rPr>
        <w:t xml:space="preserve"> och uppföljning av skyddshemsverksamheten</w:t>
      </w:r>
    </w:p>
    <w:p w14:paraId="72F09952" w14:textId="77777777" w:rsidR="00EB46A5" w:rsidRDefault="00EB46A5" w:rsidP="001C3408">
      <w:pPr>
        <w:pStyle w:val="ANormal"/>
        <w:rPr>
          <w:i/>
          <w:iCs/>
          <w:sz w:val="10"/>
          <w:szCs w:val="10"/>
        </w:rPr>
      </w:pPr>
    </w:p>
    <w:p w14:paraId="6C378957" w14:textId="141D0C77" w:rsidR="00EB46A5" w:rsidRDefault="00EB46A5" w:rsidP="001C3408">
      <w:pPr>
        <w:pStyle w:val="ANormal"/>
        <w:rPr>
          <w:szCs w:val="22"/>
        </w:rPr>
      </w:pPr>
      <w:r>
        <w:rPr>
          <w:szCs w:val="22"/>
        </w:rPr>
        <w:t xml:space="preserve">I rapporten </w:t>
      </w:r>
      <w:r w:rsidRPr="00EB46A5">
        <w:rPr>
          <w:i/>
          <w:iCs/>
          <w:szCs w:val="22"/>
        </w:rPr>
        <w:t>Våld i nära relationer på Åland 2017, Undersökning om förekomst av våld i nära relationer</w:t>
      </w:r>
      <w:r>
        <w:rPr>
          <w:szCs w:val="22"/>
        </w:rPr>
        <w:t xml:space="preserve"> </w:t>
      </w:r>
      <w:r w:rsidR="001E5CF0">
        <w:rPr>
          <w:szCs w:val="22"/>
        </w:rPr>
        <w:t>framg</w:t>
      </w:r>
      <w:r w:rsidR="00D62E7C">
        <w:rPr>
          <w:szCs w:val="22"/>
        </w:rPr>
        <w:t>ick</w:t>
      </w:r>
      <w:r w:rsidR="001E5CF0">
        <w:rPr>
          <w:szCs w:val="22"/>
        </w:rPr>
        <w:t xml:space="preserve"> att 11,2 procent av de som blivit utsatta för våld hade sökt hjälp hos skyddshemmet Tallbacken. </w:t>
      </w:r>
      <w:r w:rsidR="00B1090B">
        <w:rPr>
          <w:szCs w:val="22"/>
        </w:rPr>
        <w:t>D</w:t>
      </w:r>
      <w:r w:rsidR="001E5CF0">
        <w:rPr>
          <w:szCs w:val="22"/>
        </w:rPr>
        <w:t>e som hade blivit utsatta för våld i nära relationer hade i större utsträckning sökt sig till hälso- och sjukvården, polisen och rättssystemet samt social</w:t>
      </w:r>
      <w:r w:rsidR="00B1090B">
        <w:rPr>
          <w:szCs w:val="22"/>
        </w:rPr>
        <w:t>a</w:t>
      </w:r>
      <w:r w:rsidR="001E5CF0">
        <w:rPr>
          <w:szCs w:val="22"/>
        </w:rPr>
        <w:t xml:space="preserve"> myndigheter. </w:t>
      </w:r>
      <w:r w:rsidR="00B1090B" w:rsidRPr="00B1090B">
        <w:rPr>
          <w:szCs w:val="22"/>
          <w:lang w:val="sv-FI"/>
        </w:rPr>
        <w:t xml:space="preserve">Av kvinnorna som under de senaste fem åren </w:t>
      </w:r>
      <w:r w:rsidR="00B1090B">
        <w:rPr>
          <w:szCs w:val="22"/>
          <w:lang w:val="sv-FI"/>
        </w:rPr>
        <w:t xml:space="preserve">hade </w:t>
      </w:r>
      <w:r w:rsidR="00B1090B" w:rsidRPr="00B1090B">
        <w:rPr>
          <w:szCs w:val="22"/>
          <w:lang w:val="sv-FI"/>
        </w:rPr>
        <w:t>upplevt våld av sin partner svarade 13</w:t>
      </w:r>
      <w:r w:rsidR="00B1090B">
        <w:rPr>
          <w:szCs w:val="22"/>
          <w:lang w:val="sv-FI"/>
        </w:rPr>
        <w:t xml:space="preserve"> procent a</w:t>
      </w:r>
      <w:r w:rsidR="00B1090B" w:rsidRPr="00B1090B">
        <w:rPr>
          <w:szCs w:val="22"/>
          <w:lang w:val="sv-FI"/>
        </w:rPr>
        <w:t>tt de inte sökt sig till ett skyddshem även om det skulle ha funnits behov. Motsvarande andel för männen var 1</w:t>
      </w:r>
      <w:r w:rsidR="00B1090B">
        <w:rPr>
          <w:szCs w:val="22"/>
          <w:lang w:val="sv-FI"/>
        </w:rPr>
        <w:t xml:space="preserve"> procent</w:t>
      </w:r>
      <w:r w:rsidR="00B1090B" w:rsidRPr="00B1090B">
        <w:rPr>
          <w:szCs w:val="22"/>
          <w:lang w:val="sv-FI"/>
        </w:rPr>
        <w:t>. Av kvinnorna hade 73</w:t>
      </w:r>
      <w:r w:rsidR="00B1090B">
        <w:rPr>
          <w:szCs w:val="22"/>
          <w:lang w:val="sv-FI"/>
        </w:rPr>
        <w:t xml:space="preserve"> procent </w:t>
      </w:r>
      <w:r w:rsidR="00B1090B" w:rsidRPr="00B1090B">
        <w:rPr>
          <w:szCs w:val="22"/>
          <w:lang w:val="sv-FI"/>
        </w:rPr>
        <w:t>hört om skyddshemmens tjänsteutbud och 63</w:t>
      </w:r>
      <w:r w:rsidR="00B1090B">
        <w:rPr>
          <w:szCs w:val="22"/>
          <w:lang w:val="sv-FI"/>
        </w:rPr>
        <w:t xml:space="preserve"> procent </w:t>
      </w:r>
      <w:r w:rsidR="00B1090B" w:rsidRPr="00B1090B">
        <w:rPr>
          <w:szCs w:val="22"/>
          <w:lang w:val="sv-FI"/>
        </w:rPr>
        <w:t>av männen. Personer under 25 år hade mer sällan hört om skyddshemstjänsterna jämfört med äldre åldersgrupper. Detsamma gällde personer med ett främmande språk</w:t>
      </w:r>
      <w:r w:rsidR="00B1090B">
        <w:rPr>
          <w:szCs w:val="22"/>
          <w:lang w:val="sv-FI"/>
        </w:rPr>
        <w:t>.</w:t>
      </w:r>
      <w:r>
        <w:rPr>
          <w:szCs w:val="22"/>
        </w:rPr>
        <w:t xml:space="preserve"> </w:t>
      </w:r>
      <w:r w:rsidR="00146DBA">
        <w:rPr>
          <w:szCs w:val="22"/>
        </w:rPr>
        <w:t xml:space="preserve">Av de som sökt hjälp hos skyddshemmet Tallbacken upplevde som redogjorts för ovan cirka 18,8 procent att de </w:t>
      </w:r>
      <w:r w:rsidR="00D62E7C">
        <w:rPr>
          <w:szCs w:val="22"/>
        </w:rPr>
        <w:t xml:space="preserve">hade </w:t>
      </w:r>
      <w:r w:rsidR="00146DBA">
        <w:rPr>
          <w:szCs w:val="22"/>
        </w:rPr>
        <w:t>blivit dåligt eller mycket dåligt bemötta</w:t>
      </w:r>
      <w:r w:rsidR="003F3472">
        <w:rPr>
          <w:szCs w:val="22"/>
        </w:rPr>
        <w:t>.</w:t>
      </w:r>
      <w:r w:rsidR="00146DBA">
        <w:rPr>
          <w:szCs w:val="22"/>
        </w:rPr>
        <w:t xml:space="preserve"> </w:t>
      </w:r>
    </w:p>
    <w:p w14:paraId="43494268" w14:textId="361D73B6" w:rsidR="00B1090B" w:rsidRDefault="00B1090B" w:rsidP="001C3408">
      <w:pPr>
        <w:pStyle w:val="ANormal"/>
        <w:rPr>
          <w:szCs w:val="22"/>
        </w:rPr>
      </w:pPr>
      <w:r>
        <w:rPr>
          <w:szCs w:val="22"/>
        </w:rPr>
        <w:tab/>
        <w:t xml:space="preserve">Utskottet konstaterar att </w:t>
      </w:r>
      <w:r w:rsidR="00146DBA">
        <w:rPr>
          <w:szCs w:val="22"/>
        </w:rPr>
        <w:t xml:space="preserve">undersökningen </w:t>
      </w:r>
      <w:r>
        <w:rPr>
          <w:szCs w:val="22"/>
        </w:rPr>
        <w:t>visa</w:t>
      </w:r>
      <w:r w:rsidR="00807EA4">
        <w:rPr>
          <w:szCs w:val="22"/>
        </w:rPr>
        <w:t xml:space="preserve">de att det </w:t>
      </w:r>
      <w:r w:rsidR="0049270E">
        <w:rPr>
          <w:szCs w:val="22"/>
        </w:rPr>
        <w:t>finns</w:t>
      </w:r>
      <w:r w:rsidR="00807EA4">
        <w:rPr>
          <w:szCs w:val="22"/>
        </w:rPr>
        <w:t xml:space="preserve"> u</w:t>
      </w:r>
      <w:r>
        <w:rPr>
          <w:szCs w:val="22"/>
        </w:rPr>
        <w:t>trymme för förbät</w:t>
      </w:r>
      <w:r w:rsidR="00807EA4">
        <w:rPr>
          <w:szCs w:val="22"/>
        </w:rPr>
        <w:t>tr</w:t>
      </w:r>
      <w:r>
        <w:rPr>
          <w:szCs w:val="22"/>
        </w:rPr>
        <w:t xml:space="preserve">ing </w:t>
      </w:r>
      <w:r w:rsidR="00146DBA">
        <w:rPr>
          <w:szCs w:val="22"/>
        </w:rPr>
        <w:t xml:space="preserve">av och mer information om </w:t>
      </w:r>
      <w:r>
        <w:rPr>
          <w:szCs w:val="22"/>
        </w:rPr>
        <w:t>skyddshemsverksamheten.</w:t>
      </w:r>
      <w:r w:rsidR="00807EA4">
        <w:rPr>
          <w:szCs w:val="22"/>
        </w:rPr>
        <w:t xml:space="preserve"> Eftersom </w:t>
      </w:r>
      <w:r w:rsidR="00807EA4">
        <w:rPr>
          <w:szCs w:val="22"/>
        </w:rPr>
        <w:lastRenderedPageBreak/>
        <w:t xml:space="preserve">det är mer än sex år sedan undersökningen </w:t>
      </w:r>
      <w:r w:rsidR="00D62E7C">
        <w:rPr>
          <w:szCs w:val="22"/>
        </w:rPr>
        <w:t>genomfördes</w:t>
      </w:r>
      <w:r w:rsidR="00807EA4">
        <w:rPr>
          <w:szCs w:val="22"/>
        </w:rPr>
        <w:t xml:space="preserve"> anser utskottet att en uppföljning och utvärdering av skyddshemsverksamheten behöver göras för att få en bild av nuläget och utgående från de</w:t>
      </w:r>
      <w:r w:rsidR="00146DBA">
        <w:rPr>
          <w:szCs w:val="22"/>
        </w:rPr>
        <w:t>n</w:t>
      </w:r>
      <w:r w:rsidR="00807EA4">
        <w:rPr>
          <w:szCs w:val="22"/>
        </w:rPr>
        <w:t xml:space="preserve"> en uppfattning om vilka åtgärder som behöver vidtas för att stärka </w:t>
      </w:r>
      <w:r w:rsidR="00146DBA">
        <w:rPr>
          <w:szCs w:val="22"/>
        </w:rPr>
        <w:t xml:space="preserve">skyddshemmets </w:t>
      </w:r>
      <w:r w:rsidR="00807EA4">
        <w:rPr>
          <w:szCs w:val="22"/>
        </w:rPr>
        <w:t>verksamhetsförutsättninga</w:t>
      </w:r>
      <w:r w:rsidR="00146DBA">
        <w:rPr>
          <w:szCs w:val="22"/>
        </w:rPr>
        <w:t>r</w:t>
      </w:r>
      <w:r w:rsidR="00807EA4">
        <w:rPr>
          <w:szCs w:val="22"/>
        </w:rPr>
        <w:t xml:space="preserve"> och personalens kompetens. </w:t>
      </w:r>
      <w:r>
        <w:rPr>
          <w:szCs w:val="22"/>
        </w:rPr>
        <w:t xml:space="preserve">   </w:t>
      </w:r>
    </w:p>
    <w:p w14:paraId="65B72CB4" w14:textId="77777777" w:rsidR="001B1145" w:rsidRDefault="001B1145" w:rsidP="001C3408">
      <w:pPr>
        <w:pStyle w:val="ANormal"/>
        <w:rPr>
          <w:szCs w:val="22"/>
        </w:rPr>
      </w:pPr>
    </w:p>
    <w:p w14:paraId="60DA3D60" w14:textId="0A0A8038" w:rsidR="001B1145" w:rsidRPr="001B1145" w:rsidRDefault="001B1145" w:rsidP="001B1145">
      <w:pPr>
        <w:pStyle w:val="ANormal"/>
        <w:rPr>
          <w:i/>
          <w:iCs/>
          <w:szCs w:val="22"/>
        </w:rPr>
      </w:pPr>
      <w:r w:rsidRPr="001B1145">
        <w:rPr>
          <w:i/>
          <w:iCs/>
          <w:szCs w:val="22"/>
        </w:rPr>
        <w:t xml:space="preserve">Ekonomiska konsekvenser </w:t>
      </w:r>
    </w:p>
    <w:p w14:paraId="2F7170CE" w14:textId="77777777" w:rsidR="001B1145" w:rsidRDefault="001B1145" w:rsidP="001B1145">
      <w:pPr>
        <w:pStyle w:val="ANormal"/>
        <w:rPr>
          <w:i/>
          <w:iCs/>
          <w:sz w:val="10"/>
          <w:szCs w:val="10"/>
        </w:rPr>
      </w:pPr>
    </w:p>
    <w:p w14:paraId="74D15F7C" w14:textId="77777777" w:rsidR="00D62E7C" w:rsidRDefault="00D636C9" w:rsidP="005740D2">
      <w:pPr>
        <w:pStyle w:val="ANormal"/>
        <w:rPr>
          <w:szCs w:val="22"/>
        </w:rPr>
      </w:pPr>
      <w:r>
        <w:rPr>
          <w:szCs w:val="22"/>
        </w:rPr>
        <w:t xml:space="preserve">Enligt lagförslaget ska </w:t>
      </w:r>
      <w:r w:rsidR="00A528CE">
        <w:rPr>
          <w:szCs w:val="22"/>
        </w:rPr>
        <w:t xml:space="preserve">producenten av skyddshemstjänster Kommunernas socialtjänst k.f. erhålla ersättning </w:t>
      </w:r>
      <w:r w:rsidR="00D62E7C">
        <w:rPr>
          <w:szCs w:val="22"/>
        </w:rPr>
        <w:t xml:space="preserve">av landskapsregeringen </w:t>
      </w:r>
      <w:r w:rsidR="00A528CE">
        <w:rPr>
          <w:szCs w:val="22"/>
        </w:rPr>
        <w:t>för godtagbara kostnader</w:t>
      </w:r>
      <w:r>
        <w:rPr>
          <w:szCs w:val="22"/>
        </w:rPr>
        <w:t>. S</w:t>
      </w:r>
      <w:r w:rsidR="001B1145" w:rsidRPr="001B1145">
        <w:rPr>
          <w:szCs w:val="22"/>
          <w:lang w:val="sv-FI"/>
        </w:rPr>
        <w:t>kärpta krav på att bokföringen för produktionen av skyddshemstjänster ska vara separat från annan bokföring</w:t>
      </w:r>
      <w:r>
        <w:rPr>
          <w:szCs w:val="22"/>
          <w:lang w:val="sv-FI"/>
        </w:rPr>
        <w:t xml:space="preserve"> föreslås införas. </w:t>
      </w:r>
      <w:r w:rsidR="001B1145" w:rsidRPr="001B1145">
        <w:rPr>
          <w:szCs w:val="22"/>
          <w:lang w:val="sv-FI"/>
        </w:rPr>
        <w:t xml:space="preserve">Separat bokföring </w:t>
      </w:r>
      <w:r w:rsidR="005740D2">
        <w:rPr>
          <w:szCs w:val="22"/>
          <w:lang w:val="sv-FI"/>
        </w:rPr>
        <w:t xml:space="preserve">ska vara </w:t>
      </w:r>
      <w:r w:rsidR="001B1145" w:rsidRPr="001B1145">
        <w:rPr>
          <w:szCs w:val="22"/>
          <w:lang w:val="sv-FI"/>
        </w:rPr>
        <w:t>en förutsättning för att produktionskostnaderna ska ses som godtagbara kostnader.</w:t>
      </w:r>
      <w:r w:rsidR="005740D2">
        <w:rPr>
          <w:szCs w:val="22"/>
          <w:lang w:val="sv-FI"/>
        </w:rPr>
        <w:t xml:space="preserve"> Godtagbar kostnad för lokalhyra föreslås vara</w:t>
      </w:r>
      <w:r>
        <w:rPr>
          <w:szCs w:val="22"/>
          <w:lang w:val="sv-FI"/>
        </w:rPr>
        <w:t xml:space="preserve"> </w:t>
      </w:r>
      <w:r w:rsidR="005740D2">
        <w:rPr>
          <w:szCs w:val="22"/>
          <w:lang w:val="sv-FI"/>
        </w:rPr>
        <w:t xml:space="preserve">den senast </w:t>
      </w:r>
      <w:r w:rsidR="005740D2" w:rsidRPr="005740D2">
        <w:rPr>
          <w:szCs w:val="22"/>
        </w:rPr>
        <w:t xml:space="preserve">högst uträknade medelhyran för bostäder i kommunen enligt uppgift från Ålands statistik- och utredningsbyrå. Hyran </w:t>
      </w:r>
      <w:r w:rsidR="005740D2">
        <w:rPr>
          <w:szCs w:val="22"/>
        </w:rPr>
        <w:t xml:space="preserve">ska </w:t>
      </w:r>
      <w:r w:rsidR="005740D2" w:rsidRPr="005740D2">
        <w:rPr>
          <w:szCs w:val="22"/>
        </w:rPr>
        <w:t>indexjusteras årligen med den ändring av konsumentprisindex som Ålands statistik- och utredningsbyrå fastställt för det föregående kalenderåret.</w:t>
      </w:r>
      <w:r w:rsidR="005740D2">
        <w:rPr>
          <w:szCs w:val="22"/>
        </w:rPr>
        <w:t xml:space="preserve"> </w:t>
      </w:r>
    </w:p>
    <w:p w14:paraId="68C1FCF4" w14:textId="3AD11FD9" w:rsidR="005740D2" w:rsidRPr="005740D2" w:rsidRDefault="00D62E7C" w:rsidP="005740D2">
      <w:pPr>
        <w:pStyle w:val="ANormal"/>
        <w:rPr>
          <w:szCs w:val="22"/>
        </w:rPr>
      </w:pPr>
      <w:r>
        <w:rPr>
          <w:szCs w:val="22"/>
        </w:rPr>
        <w:tab/>
      </w:r>
      <w:r w:rsidR="005740D2">
        <w:rPr>
          <w:szCs w:val="22"/>
        </w:rPr>
        <w:t xml:space="preserve">Utskottet har erfarit att </w:t>
      </w:r>
      <w:r w:rsidR="00D636C9">
        <w:rPr>
          <w:szCs w:val="22"/>
        </w:rPr>
        <w:t xml:space="preserve">separat bokföring bedöms leda till en kraftigt ökad administration för Kommunernas socialtjänst k.f. </w:t>
      </w:r>
      <w:r w:rsidR="00D51EDD">
        <w:rPr>
          <w:szCs w:val="22"/>
        </w:rPr>
        <w:t>U</w:t>
      </w:r>
      <w:r w:rsidR="00EE7155">
        <w:rPr>
          <w:szCs w:val="22"/>
        </w:rPr>
        <w:t xml:space="preserve">tskottet har även </w:t>
      </w:r>
      <w:r w:rsidR="00D51EDD">
        <w:rPr>
          <w:szCs w:val="22"/>
        </w:rPr>
        <w:t>informerats om att den</w:t>
      </w:r>
      <w:r w:rsidR="005740D2">
        <w:rPr>
          <w:szCs w:val="22"/>
        </w:rPr>
        <w:t xml:space="preserve"> hyra som i dagsläget erläggs för Tallbacken </w:t>
      </w:r>
      <w:r w:rsidR="00D51EDD">
        <w:rPr>
          <w:szCs w:val="22"/>
        </w:rPr>
        <w:t xml:space="preserve">redan idag </w:t>
      </w:r>
      <w:r w:rsidR="005740D2">
        <w:rPr>
          <w:szCs w:val="22"/>
        </w:rPr>
        <w:t xml:space="preserve">överstiger den medelhyra som räknas ut på </w:t>
      </w:r>
      <w:r w:rsidR="00D636C9">
        <w:rPr>
          <w:szCs w:val="22"/>
        </w:rPr>
        <w:t xml:space="preserve">ovan </w:t>
      </w:r>
      <w:r w:rsidR="005740D2">
        <w:rPr>
          <w:szCs w:val="22"/>
        </w:rPr>
        <w:t xml:space="preserve">beskrivet sätt. </w:t>
      </w:r>
      <w:r w:rsidR="007D6E73">
        <w:rPr>
          <w:szCs w:val="22"/>
        </w:rPr>
        <w:t>Enligt utskottet är det viktigt att de ekonomiska mellanhavandena mellan landskapsregeringen och Kommunernas socialtjänst</w:t>
      </w:r>
      <w:r w:rsidR="003F3472">
        <w:rPr>
          <w:szCs w:val="22"/>
        </w:rPr>
        <w:t xml:space="preserve"> </w:t>
      </w:r>
      <w:proofErr w:type="spellStart"/>
      <w:r w:rsidR="003F3472">
        <w:rPr>
          <w:szCs w:val="22"/>
        </w:rPr>
        <w:t>k.f</w:t>
      </w:r>
      <w:proofErr w:type="spellEnd"/>
      <w:r w:rsidR="003F3472">
        <w:rPr>
          <w:szCs w:val="22"/>
        </w:rPr>
        <w:t>.</w:t>
      </w:r>
      <w:r w:rsidR="007D6E73">
        <w:rPr>
          <w:szCs w:val="22"/>
        </w:rPr>
        <w:t xml:space="preserve"> kan skötas på ett smidigt sätt med minsta möjliga byråkrati. </w:t>
      </w:r>
      <w:r w:rsidR="00AD4418" w:rsidRPr="003F3472">
        <w:rPr>
          <w:szCs w:val="22"/>
        </w:rPr>
        <w:t>Utskottet anser även att landskapsregeringen behöver tillse att kostnadstäckningen för lokalhyran är rimlig utgående från lokalhyror för m</w:t>
      </w:r>
      <w:r w:rsidR="0037721E" w:rsidRPr="003F3472">
        <w:rPr>
          <w:szCs w:val="22"/>
        </w:rPr>
        <w:t>o</w:t>
      </w:r>
      <w:r w:rsidR="00AD4418" w:rsidRPr="003F3472">
        <w:rPr>
          <w:szCs w:val="22"/>
        </w:rPr>
        <w:t>tsvarande lokaler</w:t>
      </w:r>
      <w:r w:rsidR="003F3472" w:rsidRPr="003F3472">
        <w:rPr>
          <w:szCs w:val="22"/>
        </w:rPr>
        <w:t>,</w:t>
      </w:r>
      <w:r w:rsidR="00AD4418" w:rsidRPr="003F3472">
        <w:rPr>
          <w:szCs w:val="22"/>
        </w:rPr>
        <w:t xml:space="preserve"> inte </w:t>
      </w:r>
      <w:r w:rsidR="0037721E" w:rsidRPr="003F3472">
        <w:rPr>
          <w:szCs w:val="22"/>
        </w:rPr>
        <w:t xml:space="preserve">utgående </w:t>
      </w:r>
      <w:r w:rsidR="00AD4418" w:rsidRPr="003F3472">
        <w:rPr>
          <w:szCs w:val="22"/>
        </w:rPr>
        <w:t>f</w:t>
      </w:r>
      <w:r w:rsidR="003F3472" w:rsidRPr="003F3472">
        <w:rPr>
          <w:szCs w:val="22"/>
        </w:rPr>
        <w:t>rån</w:t>
      </w:r>
      <w:r w:rsidR="00AD4418" w:rsidRPr="003F3472">
        <w:rPr>
          <w:szCs w:val="22"/>
        </w:rPr>
        <w:t xml:space="preserve"> </w:t>
      </w:r>
      <w:r w:rsidR="0037721E" w:rsidRPr="003F3472">
        <w:rPr>
          <w:szCs w:val="22"/>
        </w:rPr>
        <w:t xml:space="preserve">hyran för </w:t>
      </w:r>
      <w:r w:rsidR="00AD4418" w:rsidRPr="003F3472">
        <w:rPr>
          <w:szCs w:val="22"/>
        </w:rPr>
        <w:t>bostäder</w:t>
      </w:r>
      <w:r w:rsidR="0037721E" w:rsidRPr="003F3472">
        <w:rPr>
          <w:szCs w:val="22"/>
        </w:rPr>
        <w:t>.</w:t>
      </w:r>
      <w:r w:rsidR="00AD4418" w:rsidRPr="003F3472">
        <w:rPr>
          <w:szCs w:val="22"/>
        </w:rPr>
        <w:t xml:space="preserve"> </w:t>
      </w:r>
      <w:r w:rsidR="007D6E73">
        <w:rPr>
          <w:szCs w:val="22"/>
        </w:rPr>
        <w:t>Utskottet anser att en utvärdering av hur ersättningssystemet fungera</w:t>
      </w:r>
      <w:r>
        <w:rPr>
          <w:szCs w:val="22"/>
        </w:rPr>
        <w:t>r</w:t>
      </w:r>
      <w:r w:rsidR="007D6E73">
        <w:rPr>
          <w:szCs w:val="22"/>
        </w:rPr>
        <w:t xml:space="preserve"> bör ingå i den uppföljning och utvärdering av skyddshemsverksamheten som utskottet efterlyser. </w:t>
      </w:r>
    </w:p>
    <w:p w14:paraId="50016706" w14:textId="75121ECA" w:rsidR="001B1145" w:rsidRPr="00EB46A5" w:rsidRDefault="001B1145" w:rsidP="001C3408">
      <w:pPr>
        <w:pStyle w:val="ANormal"/>
        <w:rPr>
          <w:szCs w:val="22"/>
        </w:rPr>
      </w:pPr>
    </w:p>
    <w:p w14:paraId="03FF1B6F" w14:textId="5BBC20A0" w:rsidR="0027259E" w:rsidRDefault="0027259E" w:rsidP="001C3408">
      <w:pPr>
        <w:pStyle w:val="ANormal"/>
        <w:rPr>
          <w:i/>
          <w:iCs/>
          <w:szCs w:val="22"/>
        </w:rPr>
      </w:pPr>
      <w:r w:rsidRPr="0027259E">
        <w:rPr>
          <w:i/>
          <w:iCs/>
          <w:szCs w:val="22"/>
        </w:rPr>
        <w:t>Barn</w:t>
      </w:r>
      <w:r w:rsidR="00764335">
        <w:rPr>
          <w:i/>
          <w:iCs/>
          <w:szCs w:val="22"/>
        </w:rPr>
        <w:t>konsekvensanalyser</w:t>
      </w:r>
    </w:p>
    <w:p w14:paraId="2D69569A" w14:textId="77777777" w:rsidR="0034013D" w:rsidRDefault="0034013D" w:rsidP="001C3408">
      <w:pPr>
        <w:pStyle w:val="ANormal"/>
        <w:rPr>
          <w:i/>
          <w:iCs/>
          <w:sz w:val="10"/>
          <w:szCs w:val="10"/>
        </w:rPr>
      </w:pPr>
    </w:p>
    <w:p w14:paraId="5FD2D1D6" w14:textId="77777777" w:rsidR="00B806D1" w:rsidRDefault="0034013D" w:rsidP="001C3408">
      <w:pPr>
        <w:pStyle w:val="ANormal"/>
        <w:rPr>
          <w:szCs w:val="22"/>
          <w:lang w:val="sv-FI"/>
        </w:rPr>
      </w:pPr>
      <w:r>
        <w:rPr>
          <w:szCs w:val="22"/>
        </w:rPr>
        <w:t xml:space="preserve">Utskottet har vid flera tillfällen understrukit vikten av att barnkonsekvensanalyser görs av lagförslag. I föreliggande lagförslag </w:t>
      </w:r>
      <w:r w:rsidR="006E6212">
        <w:rPr>
          <w:szCs w:val="22"/>
        </w:rPr>
        <w:t xml:space="preserve">under rubriken </w:t>
      </w:r>
      <w:r w:rsidR="006E6212">
        <w:rPr>
          <w:i/>
          <w:iCs/>
          <w:szCs w:val="22"/>
        </w:rPr>
        <w:t xml:space="preserve">5.2 Konsekvenser för jämställdhet, jämlikhet och barn </w:t>
      </w:r>
      <w:r>
        <w:rPr>
          <w:szCs w:val="22"/>
        </w:rPr>
        <w:t xml:space="preserve">beskrivs konsekvenserna av att barn upplever och bevittnar våld. </w:t>
      </w:r>
      <w:r w:rsidR="006E6212">
        <w:rPr>
          <w:szCs w:val="22"/>
        </w:rPr>
        <w:t>Vidare konstateras att ”</w:t>
      </w:r>
      <w:r w:rsidR="006E6212" w:rsidRPr="006E6212">
        <w:rPr>
          <w:szCs w:val="22"/>
          <w:lang w:val="sv-FI"/>
        </w:rPr>
        <w:t>Lagändringarna förväntas inte medföra ändringar i skyddshemstjänsterna i sig. Därför har inte ändringarna en nämnvärd effekt på jämställdheten eller för barn till någon annan del förutom att tillgången till skyddshemstjänsterna tryggas.</w:t>
      </w:r>
      <w:r w:rsidR="006E6212">
        <w:rPr>
          <w:szCs w:val="22"/>
          <w:lang w:val="sv-FI"/>
        </w:rPr>
        <w:t>”</w:t>
      </w:r>
      <w:r w:rsidR="002F3363">
        <w:rPr>
          <w:szCs w:val="22"/>
          <w:lang w:val="sv-FI"/>
        </w:rPr>
        <w:t xml:space="preserve"> </w:t>
      </w:r>
    </w:p>
    <w:p w14:paraId="2CE03E99" w14:textId="2D06321D" w:rsidR="00AE11F0" w:rsidRDefault="00B806D1" w:rsidP="001C3408">
      <w:pPr>
        <w:pStyle w:val="ANormal"/>
        <w:rPr>
          <w:szCs w:val="22"/>
          <w:lang w:val="sv-FI"/>
        </w:rPr>
      </w:pPr>
      <w:r>
        <w:rPr>
          <w:szCs w:val="22"/>
          <w:lang w:val="sv-FI"/>
        </w:rPr>
        <w:tab/>
      </w:r>
      <w:r w:rsidR="002F3363">
        <w:rPr>
          <w:szCs w:val="22"/>
          <w:lang w:val="sv-FI"/>
        </w:rPr>
        <w:t>Enligt artikel 3 i FN:s barn</w:t>
      </w:r>
      <w:r w:rsidR="00923EB7">
        <w:rPr>
          <w:szCs w:val="22"/>
          <w:lang w:val="sv-FI"/>
        </w:rPr>
        <w:t>rätts</w:t>
      </w:r>
      <w:r w:rsidR="002F3363">
        <w:rPr>
          <w:szCs w:val="22"/>
          <w:lang w:val="sv-FI"/>
        </w:rPr>
        <w:t xml:space="preserve">konvention ska barnets bästa beaktas i alla beslut </w:t>
      </w:r>
      <w:r w:rsidR="00AE11F0">
        <w:rPr>
          <w:szCs w:val="22"/>
          <w:lang w:val="sv-FI"/>
        </w:rPr>
        <w:t xml:space="preserve">och åtgärder </w:t>
      </w:r>
      <w:r w:rsidR="002F3363">
        <w:rPr>
          <w:szCs w:val="22"/>
          <w:lang w:val="sv-FI"/>
        </w:rPr>
        <w:t xml:space="preserve">som rör barn. </w:t>
      </w:r>
      <w:r w:rsidR="005A225F">
        <w:rPr>
          <w:szCs w:val="22"/>
          <w:lang w:val="sv-FI"/>
        </w:rPr>
        <w:t>FN:s kommitté för barnets rättigheter, som offentliggör kommentarer som ska betraktas som tolkningsanvisningar för konventionens principer och bestämmelser, har i kommitténs allmänna kommentar nr 14 (2013) sagt att ”Barnets rätt att få sitt bästa bedömt och i första hand beaktat bör uttryckligen finnas med i all relevant lagstiftning, och inte bara lagar som specifikt rör barn.</w:t>
      </w:r>
      <w:r w:rsidR="00AE11F0">
        <w:rPr>
          <w:szCs w:val="22"/>
          <w:lang w:val="sv-FI"/>
        </w:rPr>
        <w:t>”</w:t>
      </w:r>
      <w:r w:rsidR="005A225F">
        <w:rPr>
          <w:szCs w:val="22"/>
          <w:lang w:val="sv-FI"/>
        </w:rPr>
        <w:t xml:space="preserve"> </w:t>
      </w:r>
      <w:r>
        <w:rPr>
          <w:szCs w:val="22"/>
          <w:lang w:val="sv-FI"/>
        </w:rPr>
        <w:t xml:space="preserve">Enligt artikel 12 i FN:s barnrättskonvention har barn vidare rätt att uttrycka sin mening och höras i alla frågor som rör barnet. </w:t>
      </w:r>
      <w:r w:rsidR="00AE11F0">
        <w:rPr>
          <w:szCs w:val="22"/>
          <w:lang w:val="sv-FI"/>
        </w:rPr>
        <w:t xml:space="preserve">Utskottet </w:t>
      </w:r>
      <w:r w:rsidR="0046209F">
        <w:rPr>
          <w:szCs w:val="22"/>
          <w:lang w:val="sv-FI"/>
        </w:rPr>
        <w:t xml:space="preserve">konstaterar </w:t>
      </w:r>
      <w:r w:rsidR="00AE11F0">
        <w:rPr>
          <w:szCs w:val="22"/>
          <w:lang w:val="sv-FI"/>
        </w:rPr>
        <w:t xml:space="preserve">att </w:t>
      </w:r>
      <w:r>
        <w:rPr>
          <w:szCs w:val="22"/>
          <w:lang w:val="sv-FI"/>
        </w:rPr>
        <w:t xml:space="preserve">barn </w:t>
      </w:r>
      <w:r w:rsidR="00F64840">
        <w:rPr>
          <w:szCs w:val="22"/>
          <w:lang w:val="sv-FI"/>
        </w:rPr>
        <w:t>ska</w:t>
      </w:r>
      <w:r>
        <w:rPr>
          <w:szCs w:val="22"/>
          <w:lang w:val="sv-FI"/>
        </w:rPr>
        <w:t xml:space="preserve"> höras och barns bästa bedömas i lagberedningsprocessen. På rikssidan har </w:t>
      </w:r>
      <w:r w:rsidR="001D2C16" w:rsidRPr="001D2C16">
        <w:rPr>
          <w:i/>
          <w:iCs/>
          <w:szCs w:val="22"/>
          <w:lang w:val="sv-FI"/>
        </w:rPr>
        <w:t>Bedömning av konsekvenserna för barn i lagberedni</w:t>
      </w:r>
      <w:r w:rsidR="001D2C16">
        <w:rPr>
          <w:i/>
          <w:iCs/>
          <w:szCs w:val="22"/>
          <w:lang w:val="sv-FI"/>
        </w:rPr>
        <w:t>n</w:t>
      </w:r>
      <w:r w:rsidR="001D2C16" w:rsidRPr="001D2C16">
        <w:rPr>
          <w:i/>
          <w:iCs/>
          <w:szCs w:val="22"/>
          <w:lang w:val="sv-FI"/>
        </w:rPr>
        <w:t>gen (Statsrådets kanslis publikationsserie 2021:5)</w:t>
      </w:r>
      <w:r w:rsidR="001D2C16">
        <w:rPr>
          <w:szCs w:val="22"/>
          <w:lang w:val="sv-FI"/>
        </w:rPr>
        <w:t xml:space="preserve"> och </w:t>
      </w:r>
      <w:r w:rsidRPr="00B806D1">
        <w:rPr>
          <w:i/>
          <w:iCs/>
          <w:szCs w:val="22"/>
          <w:lang w:val="sv-FI"/>
        </w:rPr>
        <w:t>Handbok i hörande av barn för lagberedare (Statsrådets</w:t>
      </w:r>
      <w:r w:rsidR="0014146A">
        <w:rPr>
          <w:i/>
          <w:iCs/>
          <w:szCs w:val="22"/>
          <w:lang w:val="sv-FI"/>
        </w:rPr>
        <w:t xml:space="preserve"> </w:t>
      </w:r>
      <w:r w:rsidRPr="00B806D1">
        <w:rPr>
          <w:i/>
          <w:iCs/>
          <w:szCs w:val="22"/>
          <w:lang w:val="sv-FI"/>
        </w:rPr>
        <w:t xml:space="preserve">kanslis publikationsserie 2021:6) </w:t>
      </w:r>
      <w:r w:rsidR="0014146A">
        <w:rPr>
          <w:szCs w:val="22"/>
          <w:lang w:val="sv-FI"/>
        </w:rPr>
        <w:t>tagits fram</w:t>
      </w:r>
      <w:r w:rsidR="00F64840">
        <w:rPr>
          <w:szCs w:val="22"/>
          <w:lang w:val="sv-FI"/>
        </w:rPr>
        <w:t xml:space="preserve"> för att underlätta lagberedningen</w:t>
      </w:r>
      <w:r w:rsidR="001D2C16">
        <w:rPr>
          <w:szCs w:val="22"/>
          <w:lang w:val="sv-FI"/>
        </w:rPr>
        <w:t xml:space="preserve">. </w:t>
      </w:r>
      <w:r w:rsidR="0074153F">
        <w:rPr>
          <w:szCs w:val="22"/>
          <w:lang w:val="sv-FI"/>
        </w:rPr>
        <w:t xml:space="preserve"> </w:t>
      </w:r>
      <w:r w:rsidR="00A24C0D">
        <w:rPr>
          <w:szCs w:val="22"/>
          <w:lang w:val="sv-FI"/>
        </w:rPr>
        <w:t xml:space="preserve"> </w:t>
      </w:r>
      <w:r w:rsidR="00AE11F0">
        <w:rPr>
          <w:szCs w:val="22"/>
          <w:lang w:val="sv-FI"/>
        </w:rPr>
        <w:t xml:space="preserve"> </w:t>
      </w:r>
      <w:r w:rsidR="005A225F">
        <w:rPr>
          <w:szCs w:val="22"/>
          <w:lang w:val="sv-FI"/>
        </w:rPr>
        <w:t xml:space="preserve">  </w:t>
      </w:r>
    </w:p>
    <w:p w14:paraId="1677D4B8" w14:textId="77777777" w:rsidR="0027259E" w:rsidRPr="0027259E" w:rsidRDefault="0027259E" w:rsidP="001C3408">
      <w:pPr>
        <w:pStyle w:val="ANormal"/>
        <w:rPr>
          <w:i/>
          <w:iCs/>
          <w:szCs w:val="22"/>
        </w:rPr>
      </w:pPr>
    </w:p>
    <w:p w14:paraId="79818F1D" w14:textId="65794C17" w:rsidR="001975F4" w:rsidRDefault="001975F4" w:rsidP="001C3408">
      <w:pPr>
        <w:pStyle w:val="ANormal"/>
        <w:rPr>
          <w:i/>
          <w:iCs/>
          <w:szCs w:val="22"/>
        </w:rPr>
      </w:pPr>
      <w:r>
        <w:rPr>
          <w:i/>
          <w:iCs/>
          <w:szCs w:val="22"/>
        </w:rPr>
        <w:t>Lagberedningsprocessen</w:t>
      </w:r>
    </w:p>
    <w:p w14:paraId="7D5C6D85" w14:textId="77777777" w:rsidR="00A912B8" w:rsidRDefault="00A912B8" w:rsidP="001C3408">
      <w:pPr>
        <w:pStyle w:val="ANormal"/>
        <w:rPr>
          <w:i/>
          <w:iCs/>
          <w:sz w:val="10"/>
          <w:szCs w:val="10"/>
        </w:rPr>
      </w:pPr>
    </w:p>
    <w:p w14:paraId="569569B7" w14:textId="5118EB1E" w:rsidR="00A912B8" w:rsidRPr="00A912B8" w:rsidRDefault="00A912B8" w:rsidP="001C3408">
      <w:pPr>
        <w:pStyle w:val="ANormal"/>
        <w:rPr>
          <w:szCs w:val="22"/>
        </w:rPr>
      </w:pPr>
      <w:r>
        <w:rPr>
          <w:szCs w:val="22"/>
        </w:rPr>
        <w:t xml:space="preserve">Utskottet </w:t>
      </w:r>
      <w:r w:rsidR="00A75EE3">
        <w:rPr>
          <w:szCs w:val="22"/>
        </w:rPr>
        <w:t xml:space="preserve">har erfarit att landskapsregeringens specialsakkunniga i jämställdhet, kommittén för implementering och uppföljning av Istanbulkonventionen </w:t>
      </w:r>
      <w:r w:rsidR="00A75EE3">
        <w:rPr>
          <w:szCs w:val="22"/>
        </w:rPr>
        <w:lastRenderedPageBreak/>
        <w:t xml:space="preserve">och övriga sakkunniga aktörer på området inte har involverats i lagberedningsprocessen. Utskottet </w:t>
      </w:r>
      <w:r w:rsidR="00362F56">
        <w:rPr>
          <w:szCs w:val="22"/>
        </w:rPr>
        <w:t>önskar framhålla</w:t>
      </w:r>
      <w:r w:rsidR="00A75EE3">
        <w:rPr>
          <w:szCs w:val="22"/>
        </w:rPr>
        <w:t xml:space="preserve"> att nämnda aktörer besitter värdefull spetskompetens och erfarenhet som hade kunnat underlätta och varit till nytta i lagberedningsprocessen. D</w:t>
      </w:r>
      <w:r>
        <w:rPr>
          <w:szCs w:val="22"/>
        </w:rPr>
        <w:t xml:space="preserve">et hade </w:t>
      </w:r>
      <w:r w:rsidR="00A75EE3">
        <w:rPr>
          <w:szCs w:val="22"/>
        </w:rPr>
        <w:t xml:space="preserve">även enligt utskottet </w:t>
      </w:r>
      <w:r>
        <w:rPr>
          <w:szCs w:val="22"/>
        </w:rPr>
        <w:t xml:space="preserve">varit </w:t>
      </w:r>
      <w:r w:rsidR="00A75EE3">
        <w:rPr>
          <w:szCs w:val="22"/>
        </w:rPr>
        <w:t xml:space="preserve">angeläget att i ett tidigt skede involvera </w:t>
      </w:r>
      <w:r>
        <w:rPr>
          <w:szCs w:val="22"/>
        </w:rPr>
        <w:t xml:space="preserve">Kommunernas socialtjänst k.f. </w:t>
      </w:r>
      <w:r w:rsidR="00A75EE3">
        <w:rPr>
          <w:szCs w:val="22"/>
        </w:rPr>
        <w:t xml:space="preserve">i lagberedningsprocessen. </w:t>
      </w:r>
      <w:r>
        <w:rPr>
          <w:szCs w:val="22"/>
        </w:rPr>
        <w:t xml:space="preserve"> </w:t>
      </w:r>
    </w:p>
    <w:p w14:paraId="57701EB9" w14:textId="77777777" w:rsidR="00B93E5C" w:rsidRPr="0027259E" w:rsidRDefault="00B93E5C" w:rsidP="001C3408">
      <w:pPr>
        <w:pStyle w:val="ANormal"/>
        <w:rPr>
          <w:i/>
          <w:iCs/>
        </w:rPr>
      </w:pPr>
    </w:p>
    <w:p w14:paraId="359140A2" w14:textId="47D20E8E" w:rsidR="002401D0" w:rsidRDefault="007848F2" w:rsidP="007848F2">
      <w:pPr>
        <w:pStyle w:val="RubrikB"/>
      </w:pPr>
      <w:bookmarkStart w:id="13" w:name="_Toc146010357"/>
      <w:r>
        <w:t>Detaljmotivering</w:t>
      </w:r>
      <w:bookmarkEnd w:id="13"/>
    </w:p>
    <w:p w14:paraId="1BF5B497" w14:textId="77777777" w:rsidR="00754BA3" w:rsidRDefault="00754BA3" w:rsidP="00754BA3">
      <w:pPr>
        <w:pStyle w:val="Rubrikmellanrum"/>
      </w:pPr>
    </w:p>
    <w:p w14:paraId="5CD913AB" w14:textId="0206681E" w:rsidR="00754BA3" w:rsidRPr="00754BA3" w:rsidRDefault="00754BA3" w:rsidP="00754BA3">
      <w:pPr>
        <w:pStyle w:val="ANormal"/>
      </w:pPr>
      <w:r w:rsidRPr="00754BA3">
        <w:rPr>
          <w:b/>
          <w:bCs/>
        </w:rPr>
        <w:t>4 §</w:t>
      </w:r>
      <w:r>
        <w:rPr>
          <w:b/>
          <w:bCs/>
        </w:rPr>
        <w:t xml:space="preserve"> 1 och 3 mom. </w:t>
      </w:r>
      <w:r>
        <w:t xml:space="preserve">Föreslås att </w:t>
      </w:r>
      <w:r w:rsidR="006C619F">
        <w:t>”</w:t>
      </w:r>
      <w:r w:rsidR="006C619F" w:rsidRPr="006C619F">
        <w:t>som skyddshemmet i akuta situationer erbjuder dem som har blivit utsatta för våld i nära relationer eller som lever under hot om sådant våld</w:t>
      </w:r>
      <w:r w:rsidR="006C619F">
        <w:t>” i 4</w:t>
      </w:r>
      <w:r>
        <w:t xml:space="preserve"> § 1 mom. </w:t>
      </w:r>
      <w:r w:rsidR="006C619F">
        <w:t>stryks</w:t>
      </w:r>
      <w:r>
        <w:t xml:space="preserve"> </w:t>
      </w:r>
      <w:r w:rsidR="00743FFA">
        <w:t>dels för att det</w:t>
      </w:r>
      <w:r>
        <w:t xml:space="preserve"> </w:t>
      </w:r>
      <w:r w:rsidR="006C619F">
        <w:t xml:space="preserve">av </w:t>
      </w:r>
      <w:r>
        <w:t xml:space="preserve">lagförslagets 5 § 1 och 2 mom. </w:t>
      </w:r>
      <w:r w:rsidR="001F4787">
        <w:t xml:space="preserve">framgår </w:t>
      </w:r>
      <w:r>
        <w:t xml:space="preserve">vem som </w:t>
      </w:r>
      <w:r w:rsidR="006C619F">
        <w:t xml:space="preserve">erbjuds </w:t>
      </w:r>
      <w:r>
        <w:t xml:space="preserve">skyddshemstjänster </w:t>
      </w:r>
      <w:r w:rsidR="00743FFA">
        <w:t xml:space="preserve">dels för att </w:t>
      </w:r>
      <w:r>
        <w:t xml:space="preserve">beskrivningen </w:t>
      </w:r>
      <w:r w:rsidR="00743FFA">
        <w:t xml:space="preserve">av </w:t>
      </w:r>
      <w:r>
        <w:t xml:space="preserve">vem som erbjuds skyddshemstjänster inte är uttömmande. </w:t>
      </w:r>
      <w:r w:rsidR="006C619F">
        <w:t xml:space="preserve">Efter </w:t>
      </w:r>
      <w:r w:rsidR="00CB0C1D">
        <w:t xml:space="preserve">önskemål från landskapsregeringen </w:t>
      </w:r>
      <w:r w:rsidR="006C619F">
        <w:t xml:space="preserve">föreslås </w:t>
      </w:r>
      <w:r w:rsidR="00C24D95">
        <w:t xml:space="preserve">även </w:t>
      </w:r>
      <w:r w:rsidR="006C619F">
        <w:t xml:space="preserve">att </w:t>
      </w:r>
      <w:r>
        <w:t xml:space="preserve">förordningsfullmakten i 3 mom. </w:t>
      </w:r>
      <w:r w:rsidR="00743FFA">
        <w:t>stryks såsom obehövlig</w:t>
      </w:r>
      <w:r w:rsidR="001F4787">
        <w:t>.</w:t>
      </w:r>
      <w:r w:rsidR="00743FFA">
        <w:t xml:space="preserve"> </w:t>
      </w:r>
      <w:r>
        <w:t xml:space="preserve">  </w:t>
      </w:r>
    </w:p>
    <w:p w14:paraId="20694545" w14:textId="77777777" w:rsidR="002401D0" w:rsidRDefault="002401D0">
      <w:pPr>
        <w:pStyle w:val="ANormal"/>
      </w:pPr>
    </w:p>
    <w:p w14:paraId="0193274F" w14:textId="77777777" w:rsidR="002401D0" w:rsidRDefault="002401D0">
      <w:pPr>
        <w:pStyle w:val="RubrikA"/>
      </w:pPr>
      <w:bookmarkStart w:id="14" w:name="_Toc529800936"/>
      <w:bookmarkStart w:id="15" w:name="_Toc146010358"/>
      <w:r>
        <w:t>Ärendets behandling</w:t>
      </w:r>
      <w:bookmarkEnd w:id="14"/>
      <w:bookmarkEnd w:id="15"/>
    </w:p>
    <w:p w14:paraId="0557C0DE" w14:textId="77777777" w:rsidR="002401D0" w:rsidRDefault="002401D0">
      <w:pPr>
        <w:pStyle w:val="Rubrikmellanrum"/>
      </w:pPr>
    </w:p>
    <w:p w14:paraId="414AF57C" w14:textId="46E3D88C" w:rsidR="00022E9D" w:rsidRDefault="00022E9D" w:rsidP="00022E9D">
      <w:pPr>
        <w:pStyle w:val="ANormal"/>
      </w:pPr>
      <w:r>
        <w:t xml:space="preserve">Lagtinget har den </w:t>
      </w:r>
      <w:r w:rsidR="00D80A4C">
        <w:t>6</w:t>
      </w:r>
      <w:r>
        <w:t xml:space="preserve"> september 2023 inbegärt social- och miljöutskottets yttrande i ärendet. </w:t>
      </w:r>
    </w:p>
    <w:p w14:paraId="73B85C67" w14:textId="50FE2B59" w:rsidR="00022E9D" w:rsidRDefault="00022E9D" w:rsidP="00022E9D">
      <w:pPr>
        <w:pStyle w:val="ANormal"/>
      </w:pPr>
      <w:r>
        <w:tab/>
        <w:t>Utskottet har i ärendet hört</w:t>
      </w:r>
      <w:r w:rsidR="00D80A4C">
        <w:t xml:space="preserve"> ministern Annette Holmberg-Jansson, </w:t>
      </w:r>
      <w:r w:rsidR="00807690">
        <w:t xml:space="preserve">vikarierande verksamhetsledaren Lotta Angergård från Rädda Barnen på Åland r.f., </w:t>
      </w:r>
      <w:r w:rsidR="00362F56">
        <w:t xml:space="preserve">områdeschefen Mikaela Brandt-Lindholm från Kommunernas socialtjänst </w:t>
      </w:r>
      <w:proofErr w:type="spellStart"/>
      <w:r w:rsidR="00362F56">
        <w:t>k.f</w:t>
      </w:r>
      <w:proofErr w:type="spellEnd"/>
      <w:r w:rsidR="00362F56">
        <w:t xml:space="preserve">., förbundsdirektören Katarina Dahlman från Kommunernas socialtjänst </w:t>
      </w:r>
      <w:proofErr w:type="spellStart"/>
      <w:r w:rsidR="00362F56">
        <w:t>k.f</w:t>
      </w:r>
      <w:proofErr w:type="spellEnd"/>
      <w:r w:rsidR="00362F56">
        <w:t xml:space="preserve">., områdeschefen Paulina Eklund från Kommunernas socialtjänst </w:t>
      </w:r>
      <w:proofErr w:type="spellStart"/>
      <w:r w:rsidR="00362F56">
        <w:t>k.f</w:t>
      </w:r>
      <w:proofErr w:type="spellEnd"/>
      <w:r w:rsidR="00362F56">
        <w:t xml:space="preserve">., </w:t>
      </w:r>
      <w:r w:rsidR="00807690">
        <w:t xml:space="preserve">sekreteraren för kommittén för implementering och uppföljning av Istanbulkonventionen Vivan Nikula och </w:t>
      </w:r>
      <w:r w:rsidR="00D80A4C">
        <w:t>specialsakkunniga Cindi Portin.</w:t>
      </w:r>
      <w:r>
        <w:t xml:space="preserve"> </w:t>
      </w:r>
    </w:p>
    <w:p w14:paraId="02BDCAC4" w14:textId="23CDC218" w:rsidR="00022E9D" w:rsidRPr="00CA0EA6" w:rsidRDefault="00022E9D" w:rsidP="00022E9D">
      <w:pPr>
        <w:pStyle w:val="ANormal"/>
        <w:rPr>
          <w:color w:val="000000"/>
        </w:rPr>
      </w:pPr>
      <w:r>
        <w:tab/>
      </w:r>
      <w:r w:rsidRPr="00CA0EA6">
        <w:rPr>
          <w:color w:val="000000"/>
        </w:rPr>
        <w:t xml:space="preserve">I ärendets avgörande behandling deltog ordföranden </w:t>
      </w:r>
      <w:r>
        <w:rPr>
          <w:color w:val="000000"/>
        </w:rPr>
        <w:t>Pernilla Söderlund</w:t>
      </w:r>
      <w:r w:rsidRPr="00CA0EA6">
        <w:rPr>
          <w:color w:val="000000"/>
        </w:rPr>
        <w:t>,</w:t>
      </w:r>
      <w:r w:rsidR="007848F2">
        <w:rPr>
          <w:color w:val="000000"/>
        </w:rPr>
        <w:t xml:space="preserve"> vice</w:t>
      </w:r>
      <w:r>
        <w:rPr>
          <w:color w:val="000000"/>
        </w:rPr>
        <w:t xml:space="preserve">ordföranden Mikael Lindholm, </w:t>
      </w:r>
      <w:r w:rsidRPr="00CA0EA6">
        <w:rPr>
          <w:color w:val="000000"/>
        </w:rPr>
        <w:t>ledamöterna</w:t>
      </w:r>
      <w:r>
        <w:rPr>
          <w:color w:val="000000"/>
        </w:rPr>
        <w:t xml:space="preserve"> Stellan Egeland, Simon Holmström, Jesper Josefsson, Simon Påvals och Wille Valve.  </w:t>
      </w:r>
    </w:p>
    <w:p w14:paraId="128EBCD9" w14:textId="4495C8F3" w:rsidR="002401D0" w:rsidRDefault="002401D0">
      <w:pPr>
        <w:pStyle w:val="ANormal"/>
      </w:pPr>
    </w:p>
    <w:p w14:paraId="6ABFDB45" w14:textId="77777777" w:rsidR="002401D0" w:rsidRDefault="002401D0">
      <w:pPr>
        <w:pStyle w:val="RubrikA"/>
      </w:pPr>
      <w:bookmarkStart w:id="16" w:name="_Toc529800937"/>
      <w:bookmarkStart w:id="17" w:name="_Toc146010359"/>
      <w:r>
        <w:t>Utskottets förslag</w:t>
      </w:r>
      <w:bookmarkEnd w:id="16"/>
      <w:bookmarkEnd w:id="17"/>
    </w:p>
    <w:p w14:paraId="5D4BD697" w14:textId="77777777" w:rsidR="002401D0" w:rsidRDefault="002401D0">
      <w:pPr>
        <w:pStyle w:val="Rubrikmellanrum"/>
      </w:pPr>
    </w:p>
    <w:p w14:paraId="417439D2" w14:textId="77777777" w:rsidR="002401D0" w:rsidRDefault="002401D0">
      <w:pPr>
        <w:pStyle w:val="ANormal"/>
      </w:pPr>
      <w:r>
        <w:t>Med hänvisning till det anförda föreslår utskottet</w:t>
      </w:r>
    </w:p>
    <w:p w14:paraId="22DAF466" w14:textId="77777777" w:rsidR="002401D0" w:rsidRDefault="002401D0">
      <w:pPr>
        <w:pStyle w:val="ANormal"/>
      </w:pPr>
    </w:p>
    <w:p w14:paraId="44DEAEFE" w14:textId="13351108" w:rsidR="002401D0" w:rsidRDefault="002401D0">
      <w:pPr>
        <w:pStyle w:val="Klam"/>
      </w:pPr>
      <w:r>
        <w:t>att lagtinget</w:t>
      </w:r>
      <w:r w:rsidR="00022E9D">
        <w:t xml:space="preserve"> antar lagförslaget i följande lydelse:</w:t>
      </w:r>
    </w:p>
    <w:p w14:paraId="027CF898" w14:textId="77777777" w:rsidR="00022E9D" w:rsidRPr="00022E9D" w:rsidRDefault="00022E9D" w:rsidP="00022E9D">
      <w:pPr>
        <w:pStyle w:val="ANormal"/>
      </w:pPr>
    </w:p>
    <w:p w14:paraId="6715129C" w14:textId="77777777" w:rsidR="00022E9D" w:rsidRPr="00D92B2A" w:rsidRDefault="00022E9D" w:rsidP="00022E9D">
      <w:pPr>
        <w:pStyle w:val="LagHuvRubr"/>
        <w:rPr>
          <w:lang w:val="en-US"/>
        </w:rPr>
      </w:pPr>
      <w:bookmarkStart w:id="18" w:name="_Toc144373074"/>
      <w:r w:rsidRPr="00D92B2A">
        <w:rPr>
          <w:lang w:val="en-US"/>
        </w:rPr>
        <w:t>L A N D S K A P S L A G</w:t>
      </w:r>
      <w:r w:rsidRPr="00D92B2A">
        <w:rPr>
          <w:lang w:val="en-US"/>
        </w:rPr>
        <w:br/>
        <w:t xml:space="preserve">om </w:t>
      </w:r>
      <w:r w:rsidRPr="00331EB6">
        <w:t>skyddshem</w:t>
      </w:r>
      <w:bookmarkEnd w:id="18"/>
    </w:p>
    <w:p w14:paraId="2E77EBC6" w14:textId="77777777" w:rsidR="00022E9D" w:rsidRPr="00D92B2A" w:rsidRDefault="00022E9D" w:rsidP="00022E9D">
      <w:pPr>
        <w:pStyle w:val="ANormal"/>
        <w:rPr>
          <w:lang w:val="en-US"/>
        </w:rPr>
      </w:pPr>
    </w:p>
    <w:p w14:paraId="499CE37F" w14:textId="77777777" w:rsidR="00022E9D" w:rsidRDefault="00022E9D" w:rsidP="00022E9D">
      <w:pPr>
        <w:pStyle w:val="ANormal"/>
      </w:pPr>
      <w:r w:rsidRPr="00D92B2A">
        <w:rPr>
          <w:lang w:val="en-US"/>
        </w:rPr>
        <w:tab/>
      </w:r>
      <w:r>
        <w:t>I enlighet med lagtingets beslut föreskrivs:</w:t>
      </w:r>
    </w:p>
    <w:p w14:paraId="22D04D70" w14:textId="77777777" w:rsidR="00022E9D" w:rsidRDefault="00022E9D" w:rsidP="00022E9D">
      <w:pPr>
        <w:pStyle w:val="ANormal"/>
      </w:pPr>
    </w:p>
    <w:p w14:paraId="2C379469" w14:textId="77777777" w:rsidR="00022E9D" w:rsidRDefault="00022E9D" w:rsidP="00022E9D">
      <w:pPr>
        <w:pStyle w:val="LagParagraf"/>
      </w:pPr>
      <w:r>
        <w:t>1 §</w:t>
      </w:r>
    </w:p>
    <w:p w14:paraId="6B454800" w14:textId="77777777" w:rsidR="00022E9D" w:rsidRPr="00D92B2A" w:rsidRDefault="00022E9D" w:rsidP="00022E9D">
      <w:pPr>
        <w:pStyle w:val="LagPararubrik"/>
      </w:pPr>
      <w:r w:rsidRPr="00D92B2A">
        <w:t>Syfte</w:t>
      </w:r>
    </w:p>
    <w:p w14:paraId="5BE80941" w14:textId="77777777" w:rsidR="00022E9D" w:rsidRDefault="00022E9D" w:rsidP="00022E9D">
      <w:pPr>
        <w:pStyle w:val="ANormal"/>
      </w:pPr>
      <w:r>
        <w:tab/>
        <w:t>Syftet med denna lag är att säkerställa högklassiga och heltäckande skyddshemstjänster för personer som är utsatta för våld i nära relationer eller som lever under hot om sådant våld.</w:t>
      </w:r>
    </w:p>
    <w:p w14:paraId="6FB7FA1F" w14:textId="77777777" w:rsidR="00022E9D" w:rsidRPr="00331EB6" w:rsidRDefault="00022E9D" w:rsidP="00022E9D">
      <w:pPr>
        <w:pStyle w:val="ANormal"/>
      </w:pPr>
    </w:p>
    <w:p w14:paraId="00036C9B" w14:textId="77777777" w:rsidR="00022E9D" w:rsidRDefault="00022E9D" w:rsidP="00022E9D">
      <w:pPr>
        <w:pStyle w:val="LagParagraf"/>
      </w:pPr>
      <w:r>
        <w:t>2 §</w:t>
      </w:r>
    </w:p>
    <w:p w14:paraId="1E6A14CF" w14:textId="77777777" w:rsidR="00022E9D" w:rsidRPr="00991487" w:rsidRDefault="00022E9D" w:rsidP="00022E9D">
      <w:pPr>
        <w:pStyle w:val="LagPararubrik"/>
      </w:pPr>
      <w:r w:rsidRPr="00991487">
        <w:t>Tillämpningsområde</w:t>
      </w:r>
    </w:p>
    <w:p w14:paraId="66ACF9E7" w14:textId="77777777" w:rsidR="00022E9D" w:rsidRDefault="00022E9D" w:rsidP="00022E9D">
      <w:pPr>
        <w:pStyle w:val="ANormal"/>
      </w:pPr>
      <w:r>
        <w:tab/>
        <w:t>Denna lag innehåller bestämmelser om skyddshemstjänster, producenter av skyddshemstjänster och de grunder som iakttas vid betalning av ersättning ur landskapets medel till dessa producenter.</w:t>
      </w:r>
    </w:p>
    <w:p w14:paraId="14FBFD22" w14:textId="77777777" w:rsidR="00022E9D" w:rsidRPr="00331EB6" w:rsidRDefault="00022E9D" w:rsidP="00022E9D">
      <w:pPr>
        <w:pStyle w:val="ANormal"/>
      </w:pPr>
    </w:p>
    <w:p w14:paraId="022E8581" w14:textId="77777777" w:rsidR="003F3472" w:rsidRDefault="003F3472" w:rsidP="00022E9D">
      <w:pPr>
        <w:pStyle w:val="LagParagraf"/>
      </w:pPr>
    </w:p>
    <w:p w14:paraId="218D523E" w14:textId="77777777" w:rsidR="00573C7E" w:rsidRDefault="00573C7E" w:rsidP="00022E9D">
      <w:pPr>
        <w:pStyle w:val="LagParagraf"/>
      </w:pPr>
    </w:p>
    <w:p w14:paraId="222AB3DB" w14:textId="735BBDCD" w:rsidR="00022E9D" w:rsidRDefault="00022E9D" w:rsidP="00022E9D">
      <w:pPr>
        <w:pStyle w:val="LagParagraf"/>
      </w:pPr>
      <w:r>
        <w:lastRenderedPageBreak/>
        <w:t>3 §</w:t>
      </w:r>
    </w:p>
    <w:p w14:paraId="5B429C5E" w14:textId="77777777" w:rsidR="00022E9D" w:rsidRPr="00D92B2A" w:rsidRDefault="00022E9D" w:rsidP="00022E9D">
      <w:pPr>
        <w:pStyle w:val="LagPararubrik"/>
      </w:pPr>
      <w:r w:rsidRPr="00D92B2A">
        <w:t>Definitioner</w:t>
      </w:r>
    </w:p>
    <w:p w14:paraId="2575AAC0" w14:textId="77777777" w:rsidR="00022E9D" w:rsidRDefault="00022E9D" w:rsidP="00022E9D">
      <w:pPr>
        <w:pStyle w:val="ANormal"/>
      </w:pPr>
      <w:r>
        <w:tab/>
        <w:t>I denna lag avses med</w:t>
      </w:r>
    </w:p>
    <w:p w14:paraId="2E24511B" w14:textId="77777777" w:rsidR="00022E9D" w:rsidRDefault="00022E9D" w:rsidP="00022E9D">
      <w:pPr>
        <w:pStyle w:val="ANormal"/>
      </w:pPr>
      <w:r>
        <w:tab/>
        <w:t xml:space="preserve">1) </w:t>
      </w:r>
      <w:r w:rsidRPr="00690FDC">
        <w:rPr>
          <w:i/>
          <w:iCs/>
        </w:rPr>
        <w:t>skyddshem</w:t>
      </w:r>
      <w:r>
        <w:rPr>
          <w:i/>
          <w:iCs/>
        </w:rPr>
        <w:t>,</w:t>
      </w:r>
      <w:r>
        <w:t xml:space="preserve"> en för klienterna avgiftsfri enhet inom krisarbete med verksamhet dygnet runt och till vilken en person eller en familj som har blivit utsatt för våld i nära relationer eller som lever under hot om sådant våld kan söka sig på eget initiativ eller på anvisning av en myndighet eller någon annan aktör, vid behov även anonymt,</w:t>
      </w:r>
    </w:p>
    <w:p w14:paraId="42484BFB" w14:textId="77777777" w:rsidR="00022E9D" w:rsidRDefault="00022E9D" w:rsidP="00022E9D">
      <w:pPr>
        <w:pStyle w:val="ANormal"/>
      </w:pPr>
      <w:r>
        <w:tab/>
        <w:t xml:space="preserve">2) </w:t>
      </w:r>
      <w:r w:rsidRPr="00E01939">
        <w:rPr>
          <w:i/>
          <w:iCs/>
        </w:rPr>
        <w:t>våld i nära relationer</w:t>
      </w:r>
      <w:r>
        <w:rPr>
          <w:i/>
          <w:iCs/>
        </w:rPr>
        <w:t>,</w:t>
      </w:r>
      <w:r>
        <w:t xml:space="preserve"> </w:t>
      </w:r>
      <w:r w:rsidRPr="00E01939">
        <w:t xml:space="preserve">händelseförlopp under vilka någon utövar våld mot en nuvarande eller före detta partner, sitt barn eller partnerns barn, sin förälder, annan nära släkting eller annan närstående. Med våld avses en otillåten kränkning som orsakar eller kan </w:t>
      </w:r>
      <w:r w:rsidRPr="00B80E8F">
        <w:t xml:space="preserve">orsaka fysisk, sexuell, psykisk eller ekonomisk skada </w:t>
      </w:r>
      <w:r>
        <w:t>eller någon annan jämförbar skada eller lidande</w:t>
      </w:r>
      <w:r w:rsidRPr="00E01939">
        <w:t xml:space="preserve"> för den som utsätts för gärningen, inbegripet hot om sådana handlingar, tvång eller godtyckligt frihetsberövand</w:t>
      </w:r>
      <w:r>
        <w:t>e,</w:t>
      </w:r>
    </w:p>
    <w:p w14:paraId="6A97A77C" w14:textId="77777777" w:rsidR="00022E9D" w:rsidRDefault="00022E9D" w:rsidP="00022E9D">
      <w:pPr>
        <w:pStyle w:val="ANormal"/>
      </w:pPr>
      <w:r>
        <w:tab/>
        <w:t xml:space="preserve">3) </w:t>
      </w:r>
      <w:r w:rsidRPr="00473055">
        <w:rPr>
          <w:i/>
          <w:iCs/>
        </w:rPr>
        <w:t>producent av skyddshemstjänster</w:t>
      </w:r>
      <w:r>
        <w:rPr>
          <w:i/>
          <w:iCs/>
        </w:rPr>
        <w:t>,</w:t>
      </w:r>
      <w:r>
        <w:t xml:space="preserve"> </w:t>
      </w:r>
      <w:r w:rsidRPr="002430A6">
        <w:t>den aktör</w:t>
      </w:r>
      <w:r>
        <w:t xml:space="preserve"> som tillhandahåller skyddshemstjänster enligt denna lag,</w:t>
      </w:r>
    </w:p>
    <w:p w14:paraId="57012EF1" w14:textId="77777777" w:rsidR="00022E9D" w:rsidRDefault="00022E9D" w:rsidP="00022E9D">
      <w:pPr>
        <w:pStyle w:val="ANormal"/>
      </w:pPr>
      <w:r>
        <w:tab/>
        <w:t>4)</w:t>
      </w:r>
      <w:r w:rsidRPr="000E0DDD">
        <w:t xml:space="preserve"> </w:t>
      </w:r>
      <w:r w:rsidRPr="000E0DDD">
        <w:rPr>
          <w:i/>
          <w:iCs/>
        </w:rPr>
        <w:t>godtagbara kostnader</w:t>
      </w:r>
      <w:r>
        <w:rPr>
          <w:i/>
          <w:iCs/>
        </w:rPr>
        <w:t>,</w:t>
      </w:r>
      <w:r w:rsidRPr="000E0DDD">
        <w:t xml:space="preserve"> kostnader som är nödvändiga för produktionen av skyddshemstjänsterna och</w:t>
      </w:r>
      <w:r>
        <w:t xml:space="preserve"> som</w:t>
      </w:r>
      <w:r w:rsidRPr="000E0DDD">
        <w:t xml:space="preserve"> har ett direkt samband med den. Kostnaderna ska basera sig på</w:t>
      </w:r>
      <w:r>
        <w:t xml:space="preserve"> separat</w:t>
      </w:r>
      <w:r w:rsidRPr="000E0DDD">
        <w:t xml:space="preserve"> bokföring</w:t>
      </w:r>
      <w:r>
        <w:t>,</w:t>
      </w:r>
    </w:p>
    <w:p w14:paraId="6372A6CB" w14:textId="77777777" w:rsidR="00022E9D" w:rsidRDefault="00022E9D" w:rsidP="00022E9D">
      <w:pPr>
        <w:pStyle w:val="ANormal"/>
      </w:pPr>
      <w:r>
        <w:tab/>
        <w:t xml:space="preserve">5) </w:t>
      </w:r>
      <w:r w:rsidRPr="00E05FC4">
        <w:rPr>
          <w:i/>
          <w:iCs/>
        </w:rPr>
        <w:t>grundbemanning</w:t>
      </w:r>
      <w:r>
        <w:rPr>
          <w:i/>
          <w:iCs/>
        </w:rPr>
        <w:t>,</w:t>
      </w:r>
      <w:r>
        <w:t xml:space="preserve"> det </w:t>
      </w:r>
      <w:r w:rsidRPr="003F06EF">
        <w:t>nödvändiga</w:t>
      </w:r>
      <w:r>
        <w:t xml:space="preserve"> personalantal </w:t>
      </w:r>
      <w:r w:rsidRPr="00A01D6B">
        <w:t>som krävs</w:t>
      </w:r>
      <w:r>
        <w:t xml:space="preserve"> för att tillhandahålla skyddshemstjänster dygnet runt,</w:t>
      </w:r>
    </w:p>
    <w:p w14:paraId="4075B262" w14:textId="77777777" w:rsidR="00022E9D" w:rsidRDefault="00022E9D" w:rsidP="00022E9D">
      <w:pPr>
        <w:pStyle w:val="ANormal"/>
      </w:pPr>
      <w:r>
        <w:tab/>
        <w:t xml:space="preserve">6) </w:t>
      </w:r>
      <w:r w:rsidRPr="00C07E51">
        <w:rPr>
          <w:i/>
          <w:iCs/>
        </w:rPr>
        <w:t>överskridande</w:t>
      </w:r>
      <w:r w:rsidRPr="00E05FC4">
        <w:rPr>
          <w:i/>
          <w:iCs/>
        </w:rPr>
        <w:t xml:space="preserve"> kostnader</w:t>
      </w:r>
      <w:r>
        <w:rPr>
          <w:i/>
          <w:iCs/>
        </w:rPr>
        <w:t>,</w:t>
      </w:r>
      <w:r>
        <w:t xml:space="preserve"> sådana kostnader som överstiger det i förskott utbetalade ersättningsbeloppet,</w:t>
      </w:r>
    </w:p>
    <w:p w14:paraId="7E491E02" w14:textId="77777777" w:rsidR="00022E9D" w:rsidRDefault="00022E9D" w:rsidP="00022E9D">
      <w:pPr>
        <w:pStyle w:val="ANormal"/>
      </w:pPr>
      <w:r>
        <w:tab/>
        <w:t xml:space="preserve">7) </w:t>
      </w:r>
      <w:r w:rsidRPr="007F2CAC">
        <w:rPr>
          <w:i/>
          <w:iCs/>
        </w:rPr>
        <w:t>verkliga produktionskostnader</w:t>
      </w:r>
      <w:r>
        <w:rPr>
          <w:i/>
          <w:iCs/>
        </w:rPr>
        <w:t>,</w:t>
      </w:r>
      <w:r>
        <w:t xml:space="preserve"> de godtagbara produktionskostnader av skyddshemstjänster som konstaterats på basis av bokföring för ett finans-år.</w:t>
      </w:r>
    </w:p>
    <w:p w14:paraId="56112CB5" w14:textId="77777777" w:rsidR="00022E9D" w:rsidRPr="00331EB6" w:rsidRDefault="00022E9D" w:rsidP="00022E9D">
      <w:pPr>
        <w:pStyle w:val="ANormal"/>
      </w:pPr>
    </w:p>
    <w:p w14:paraId="6BED10DD" w14:textId="77777777" w:rsidR="00022E9D" w:rsidRDefault="00022E9D" w:rsidP="00022E9D">
      <w:pPr>
        <w:pStyle w:val="LagParagraf"/>
      </w:pPr>
      <w:r>
        <w:t>4 §</w:t>
      </w:r>
    </w:p>
    <w:p w14:paraId="00ACEAD2" w14:textId="77777777" w:rsidR="00022E9D" w:rsidRPr="00991487" w:rsidRDefault="00022E9D" w:rsidP="00022E9D">
      <w:pPr>
        <w:pStyle w:val="LagPararubrik"/>
      </w:pPr>
      <w:r w:rsidRPr="00991487">
        <w:t>Skyddshemstjänster</w:t>
      </w:r>
    </w:p>
    <w:p w14:paraId="04B92993" w14:textId="0AB32628" w:rsidR="00022E9D" w:rsidRDefault="00022E9D" w:rsidP="00022E9D">
      <w:pPr>
        <w:pStyle w:val="ANormal"/>
      </w:pPr>
      <w:r>
        <w:tab/>
        <w:t xml:space="preserve">De tjänster som erbjuds på ett skyddshem är omedelbar krishjälp, skyddat boende dygnet runt samt psykosocialt stöd, rådgivning och vägledning </w:t>
      </w:r>
      <w:r w:rsidRPr="00185C08">
        <w:rPr>
          <w:strike/>
          <w:highlight w:val="yellow"/>
        </w:rPr>
        <w:t>som skyddshemmet i akuta situationer erbjuder dem som har blivit utsatta för våld i nära relationer</w:t>
      </w:r>
      <w:r w:rsidR="00185C08" w:rsidRPr="00185C08">
        <w:rPr>
          <w:strike/>
          <w:highlight w:val="yellow"/>
        </w:rPr>
        <w:t xml:space="preserve"> eller</w:t>
      </w:r>
      <w:r w:rsidR="00393B81" w:rsidRPr="00185C08">
        <w:rPr>
          <w:strike/>
          <w:highlight w:val="yellow"/>
        </w:rPr>
        <w:t xml:space="preserve"> s</w:t>
      </w:r>
      <w:r w:rsidRPr="00185C08">
        <w:rPr>
          <w:strike/>
          <w:highlight w:val="yellow"/>
        </w:rPr>
        <w:t>om lever under hot om sådant våld</w:t>
      </w:r>
      <w:r w:rsidR="00185C08" w:rsidRPr="00185C08">
        <w:rPr>
          <w:strike/>
          <w:highlight w:val="yellow"/>
        </w:rPr>
        <w:t>.</w:t>
      </w:r>
      <w:r w:rsidR="00185C08">
        <w:t xml:space="preserve"> </w:t>
      </w:r>
      <w:r w:rsidR="00243C63">
        <w:t xml:space="preserve">  </w:t>
      </w:r>
    </w:p>
    <w:p w14:paraId="4E7C911E" w14:textId="77777777" w:rsidR="00022E9D" w:rsidRDefault="00022E9D" w:rsidP="00022E9D">
      <w:pPr>
        <w:pStyle w:val="ANormal"/>
      </w:pPr>
      <w:r>
        <w:tab/>
      </w:r>
      <w:r w:rsidRPr="00C07E51">
        <w:t>Föreståndaren för skyddshemmet</w:t>
      </w:r>
      <w:r>
        <w:t xml:space="preserve"> bedömer tillsammans med sin personal som är specialiserad på krisarbete längden på skyddshemsperioden.</w:t>
      </w:r>
    </w:p>
    <w:p w14:paraId="1BD81163" w14:textId="77777777" w:rsidR="00022E9D" w:rsidRPr="00185C08" w:rsidRDefault="00022E9D" w:rsidP="00022E9D">
      <w:pPr>
        <w:pStyle w:val="ANormal"/>
        <w:rPr>
          <w:strike/>
        </w:rPr>
      </w:pPr>
      <w:r>
        <w:tab/>
      </w:r>
      <w:r w:rsidRPr="00185C08">
        <w:rPr>
          <w:strike/>
          <w:highlight w:val="yellow"/>
        </w:rPr>
        <w:t>Närmare bestämmelser om skyddshemstjänster kan utfärdas i landskapsförordning.</w:t>
      </w:r>
    </w:p>
    <w:p w14:paraId="4B1FC341" w14:textId="77777777" w:rsidR="00022E9D" w:rsidRPr="00331EB6" w:rsidRDefault="00022E9D" w:rsidP="00022E9D">
      <w:pPr>
        <w:pStyle w:val="ANormal"/>
      </w:pPr>
    </w:p>
    <w:p w14:paraId="1C92689C" w14:textId="77777777" w:rsidR="00022E9D" w:rsidRDefault="00022E9D" w:rsidP="00022E9D">
      <w:pPr>
        <w:pStyle w:val="LagParagraf"/>
      </w:pPr>
      <w:r>
        <w:t>5 §</w:t>
      </w:r>
    </w:p>
    <w:p w14:paraId="37C3F3E7" w14:textId="77777777" w:rsidR="00022E9D" w:rsidRPr="00CF0561" w:rsidRDefault="00022E9D" w:rsidP="00022E9D">
      <w:pPr>
        <w:pStyle w:val="LagPararubrik"/>
      </w:pPr>
      <w:r w:rsidRPr="00CF0561">
        <w:t>Klienter i skyddshemsverksamheten</w:t>
      </w:r>
    </w:p>
    <w:p w14:paraId="7370A67A" w14:textId="77777777" w:rsidR="00022E9D" w:rsidRDefault="00022E9D" w:rsidP="00022E9D">
      <w:pPr>
        <w:pStyle w:val="ANormal"/>
      </w:pPr>
      <w:r>
        <w:tab/>
      </w:r>
      <w:r w:rsidRPr="00EF2D7E">
        <w:t xml:space="preserve">Skyddshemstjänster erbjuds i första hand åt personer som har blivit utsatta </w:t>
      </w:r>
      <w:r>
        <w:t>för</w:t>
      </w:r>
      <w:r w:rsidRPr="00EF2D7E">
        <w:t xml:space="preserve"> våld i nära relationer eller som lever under hot om sådant våld och åt medföljande minderåriga barn.</w:t>
      </w:r>
    </w:p>
    <w:p w14:paraId="43AF940D" w14:textId="77777777" w:rsidR="00022E9D" w:rsidRPr="00EF2D7E" w:rsidRDefault="00022E9D" w:rsidP="00022E9D">
      <w:pPr>
        <w:pStyle w:val="ANormal"/>
      </w:pPr>
      <w:r>
        <w:tab/>
      </w:r>
      <w:r w:rsidRPr="00EF2D7E">
        <w:t xml:space="preserve">Skyddshemstjänster kan även tillhandahållas i fall som kan jämställas med våld i nära relationer för att hjälpa personer som behöver hjälp, om hjälpen motsvarar offrets behov av hjälp och om hjälpen inte orsakar skada eller medför fara för andra som befinner sig i </w:t>
      </w:r>
      <w:r w:rsidRPr="00C07E51">
        <w:t>skyddshemmet eller för andra som befinner sig i utrymmen i anslutning till skyddshemmet där det bedrivs annan verksamhet.</w:t>
      </w:r>
    </w:p>
    <w:p w14:paraId="41CF88C5" w14:textId="77777777" w:rsidR="00022E9D" w:rsidRDefault="00022E9D" w:rsidP="00022E9D">
      <w:pPr>
        <w:pStyle w:val="ANormal"/>
      </w:pPr>
    </w:p>
    <w:p w14:paraId="51BEC36F" w14:textId="77777777" w:rsidR="00022E9D" w:rsidRDefault="00022E9D" w:rsidP="00022E9D">
      <w:pPr>
        <w:pStyle w:val="LagParagraf"/>
      </w:pPr>
      <w:r>
        <w:t>6 §</w:t>
      </w:r>
    </w:p>
    <w:p w14:paraId="1E5C594F" w14:textId="77777777" w:rsidR="00022E9D" w:rsidRPr="004C5CD4" w:rsidRDefault="00022E9D" w:rsidP="00022E9D">
      <w:pPr>
        <w:pStyle w:val="LagPararubrik"/>
      </w:pPr>
      <w:r w:rsidRPr="004C5CD4">
        <w:t>Or</w:t>
      </w:r>
      <w:r>
        <w:t>ganiserings</w:t>
      </w:r>
      <w:r w:rsidRPr="004C5CD4">
        <w:t>ansva</w:t>
      </w:r>
      <w:r>
        <w:t xml:space="preserve">r </w:t>
      </w:r>
      <w:r w:rsidRPr="004C5CD4">
        <w:t>för produktion av skyddshemstjänster</w:t>
      </w:r>
    </w:p>
    <w:p w14:paraId="57DAF953" w14:textId="475B7BDE" w:rsidR="00022E9D" w:rsidRDefault="00022E9D" w:rsidP="00022E9D">
      <w:pPr>
        <w:pStyle w:val="ANormal"/>
      </w:pPr>
      <w:r>
        <w:tab/>
      </w:r>
      <w:r w:rsidRPr="00C07E51">
        <w:t xml:space="preserve">Kommunernas socialtjänst </w:t>
      </w:r>
      <w:r w:rsidR="0031255F" w:rsidRPr="0031255F">
        <w:rPr>
          <w:highlight w:val="yellow"/>
        </w:rPr>
        <w:t>k.f.</w:t>
      </w:r>
      <w:r w:rsidR="0031255F">
        <w:t xml:space="preserve"> </w:t>
      </w:r>
      <w:r w:rsidRPr="00C07E51">
        <w:t>(</w:t>
      </w:r>
      <w:r>
        <w:t>KST) svarar för ordnandet av produktionen av skyddshemstjänster så att det för invånarna i hela landskapet erbjuds och finns tillgång till tillräckligt med tjänster i förhållande till behovet.</w:t>
      </w:r>
    </w:p>
    <w:p w14:paraId="069BC5E3" w14:textId="77777777" w:rsidR="00022E9D" w:rsidRDefault="00022E9D" w:rsidP="00022E9D">
      <w:pPr>
        <w:pStyle w:val="ANormal"/>
      </w:pPr>
      <w:r>
        <w:lastRenderedPageBreak/>
        <w:tab/>
        <w:t xml:space="preserve">KST kan ingå avtal om köp av tjänster med en annan producent av skyddshemstjänster som </w:t>
      </w:r>
      <w:r w:rsidRPr="00B14CE7">
        <w:t>uppfyller de förutsättningar som föreskrivs i och med stöd av denna lag.</w:t>
      </w:r>
    </w:p>
    <w:p w14:paraId="21035C0D" w14:textId="77777777" w:rsidR="00022E9D" w:rsidRPr="0075349A" w:rsidRDefault="00022E9D" w:rsidP="00022E9D">
      <w:pPr>
        <w:pStyle w:val="ANormal"/>
      </w:pPr>
    </w:p>
    <w:p w14:paraId="18EF163F" w14:textId="03FFBE50" w:rsidR="00022E9D" w:rsidRDefault="00022E9D" w:rsidP="00022E9D">
      <w:pPr>
        <w:pStyle w:val="LagParagraf"/>
      </w:pPr>
      <w:r>
        <w:t>7 §</w:t>
      </w:r>
    </w:p>
    <w:p w14:paraId="27353938" w14:textId="77777777" w:rsidR="00022E9D" w:rsidRPr="000940FE" w:rsidRDefault="00022E9D" w:rsidP="00022E9D">
      <w:pPr>
        <w:pStyle w:val="LagPararubrik"/>
      </w:pPr>
      <w:r>
        <w:t>Förutsättningar för p</w:t>
      </w:r>
      <w:r w:rsidRPr="000940FE">
        <w:t>roducen</w:t>
      </w:r>
      <w:r>
        <w:t>t</w:t>
      </w:r>
      <w:r w:rsidRPr="000940FE">
        <w:t xml:space="preserve"> av skyddshemstjänster</w:t>
      </w:r>
    </w:p>
    <w:p w14:paraId="3FE0D403" w14:textId="77777777" w:rsidR="00022E9D" w:rsidRPr="00C07E51" w:rsidRDefault="00022E9D" w:rsidP="00022E9D">
      <w:pPr>
        <w:pStyle w:val="ANormal"/>
      </w:pPr>
      <w:r>
        <w:tab/>
        <w:t xml:space="preserve">En privat producent av skyddshemstjänster </w:t>
      </w:r>
      <w:r w:rsidRPr="00F65B91">
        <w:t>som har för avsikt att tillhandahålla skyddshemstjänster på Åland</w:t>
      </w:r>
      <w:r>
        <w:t xml:space="preserve"> ska ha ett sådant tillstånd som avses i lagen om privat socialservice (FFS 922/2011) i enlighet med landskapslagen (2012:36) om tillämpning i landskapet Åland av lagen om privat socialservice</w:t>
      </w:r>
      <w:r w:rsidRPr="00C07E51">
        <w:t>. Kommunala producenter av skyddshemstjänster ska uppfylla samma förutsättningar som de privata aktörerna.</w:t>
      </w:r>
    </w:p>
    <w:p w14:paraId="2F32598C" w14:textId="77777777" w:rsidR="00022E9D" w:rsidRPr="00C07E51" w:rsidRDefault="00022E9D" w:rsidP="00022E9D">
      <w:pPr>
        <w:pStyle w:val="ANormal"/>
      </w:pPr>
      <w:r w:rsidRPr="00C07E51">
        <w:tab/>
        <w:t>Ålands miljö- och hälsoskyddsmyndighet kontrollerar att producenten av skyddshemstjänster på Åland uppfyller förutsättningarna.</w:t>
      </w:r>
    </w:p>
    <w:p w14:paraId="39A21D43" w14:textId="77777777" w:rsidR="00022E9D" w:rsidRPr="00C07E51" w:rsidRDefault="00022E9D" w:rsidP="00022E9D">
      <w:pPr>
        <w:pStyle w:val="ANormal"/>
        <w:rPr>
          <w:lang w:val="sv-FI"/>
        </w:rPr>
      </w:pPr>
      <w:r w:rsidRPr="00C07E51">
        <w:rPr>
          <w:lang w:val="sv-FI"/>
        </w:rPr>
        <w:tab/>
        <w:t>Närmare bestämmelser om förutsättningarna för produktion av skyddshemstjänster kan utfärdas i landskapsförordning.</w:t>
      </w:r>
    </w:p>
    <w:p w14:paraId="1B495F2B" w14:textId="77777777" w:rsidR="00022E9D" w:rsidRPr="00331EB6" w:rsidRDefault="00022E9D" w:rsidP="00022E9D">
      <w:pPr>
        <w:pStyle w:val="ANormal"/>
      </w:pPr>
    </w:p>
    <w:p w14:paraId="68D4C791" w14:textId="77777777" w:rsidR="00022E9D" w:rsidRPr="00C07E51" w:rsidRDefault="00022E9D" w:rsidP="00022E9D">
      <w:pPr>
        <w:pStyle w:val="LagParagraf"/>
      </w:pPr>
      <w:r w:rsidRPr="00C07E51">
        <w:t>8</w:t>
      </w:r>
      <w:r>
        <w:t> §</w:t>
      </w:r>
    </w:p>
    <w:p w14:paraId="45F8E270" w14:textId="77777777" w:rsidR="00022E9D" w:rsidRPr="00C07E51" w:rsidRDefault="00022E9D" w:rsidP="00022E9D">
      <w:pPr>
        <w:pStyle w:val="LagPararubrik"/>
      </w:pPr>
      <w:r w:rsidRPr="00C07E51">
        <w:t>Skyddshemmets personal</w:t>
      </w:r>
    </w:p>
    <w:p w14:paraId="7813B794" w14:textId="77777777" w:rsidR="00022E9D" w:rsidRDefault="00022E9D" w:rsidP="00022E9D">
      <w:pPr>
        <w:pStyle w:val="ANormal"/>
        <w:rPr>
          <w:lang w:val="sv-FI"/>
        </w:rPr>
      </w:pPr>
      <w:r w:rsidRPr="00C07E51">
        <w:rPr>
          <w:lang w:val="sv-FI"/>
        </w:rPr>
        <w:tab/>
        <w:t>Skyddshemmets personal</w:t>
      </w:r>
      <w:r w:rsidRPr="00E8207C">
        <w:rPr>
          <w:lang w:val="sv-FI"/>
        </w:rPr>
        <w:t xml:space="preserve"> ska ha tillräcklig utbildning, arbetserfarenhet och insikt i krisarbete inom våld i nära relationer.</w:t>
      </w:r>
    </w:p>
    <w:p w14:paraId="2776A141" w14:textId="77777777" w:rsidR="00022E9D" w:rsidRPr="00BB4DD1" w:rsidRDefault="00022E9D" w:rsidP="00022E9D">
      <w:pPr>
        <w:pStyle w:val="ANormal"/>
        <w:rPr>
          <w:lang w:val="sv-FI"/>
        </w:rPr>
      </w:pPr>
      <w:r>
        <w:rPr>
          <w:lang w:val="sv-FI"/>
        </w:rPr>
        <w:tab/>
      </w:r>
      <w:r w:rsidRPr="00E8207C">
        <w:rPr>
          <w:lang w:val="sv-FI"/>
        </w:rPr>
        <w:t xml:space="preserve">Närmare bestämmelser om </w:t>
      </w:r>
      <w:r>
        <w:rPr>
          <w:lang w:val="sv-FI"/>
        </w:rPr>
        <w:t>skyddshemmets personal</w:t>
      </w:r>
      <w:r w:rsidRPr="00E8207C">
        <w:rPr>
          <w:lang w:val="sv-FI"/>
        </w:rPr>
        <w:t xml:space="preserve"> kan utfärdas i landskapsförordning.</w:t>
      </w:r>
    </w:p>
    <w:p w14:paraId="0D14F117" w14:textId="77777777" w:rsidR="00022E9D" w:rsidRDefault="00022E9D" w:rsidP="00022E9D">
      <w:pPr>
        <w:pStyle w:val="ANormal"/>
      </w:pPr>
    </w:p>
    <w:p w14:paraId="7771B4DA" w14:textId="77777777" w:rsidR="00022E9D" w:rsidRDefault="00022E9D" w:rsidP="00022E9D">
      <w:pPr>
        <w:pStyle w:val="LagParagraf"/>
      </w:pPr>
      <w:r>
        <w:t>9 §</w:t>
      </w:r>
    </w:p>
    <w:p w14:paraId="6034038F" w14:textId="77777777" w:rsidR="00022E9D" w:rsidRPr="001E7B09" w:rsidRDefault="00022E9D" w:rsidP="00022E9D">
      <w:pPr>
        <w:pStyle w:val="LagPararubrik"/>
      </w:pPr>
      <w:r w:rsidRPr="001E7B09">
        <w:t>Finansiering</w:t>
      </w:r>
    </w:p>
    <w:p w14:paraId="4679623C" w14:textId="77777777" w:rsidR="00022E9D" w:rsidRPr="00C07E51" w:rsidRDefault="00022E9D" w:rsidP="00022E9D">
      <w:pPr>
        <w:pStyle w:val="ANormal"/>
      </w:pPr>
      <w:r>
        <w:tab/>
        <w:t>Landskapsregeringen beviljar KST</w:t>
      </w:r>
      <w:r w:rsidRPr="00375AE4">
        <w:t xml:space="preserve"> </w:t>
      </w:r>
      <w:r>
        <w:t>e</w:t>
      </w:r>
      <w:r w:rsidRPr="00375AE4">
        <w:t xml:space="preserve">rsättning </w:t>
      </w:r>
      <w:r>
        <w:t xml:space="preserve">för de enligt denna lag </w:t>
      </w:r>
      <w:r w:rsidRPr="000836E1">
        <w:t xml:space="preserve">godtagbara kostnader som orsakas av produktion </w:t>
      </w:r>
      <w:r w:rsidRPr="00C07E51">
        <w:t>av skyddshemstjänster</w:t>
      </w:r>
      <w:r>
        <w:t xml:space="preserve"> under kalenderåret</w:t>
      </w:r>
      <w:r w:rsidRPr="00C07E51">
        <w:t>.</w:t>
      </w:r>
    </w:p>
    <w:p w14:paraId="39BA771B" w14:textId="77777777" w:rsidR="00022E9D" w:rsidRDefault="00022E9D" w:rsidP="00022E9D">
      <w:pPr>
        <w:pStyle w:val="ANormal"/>
      </w:pPr>
      <w:r w:rsidRPr="00C07E51">
        <w:rPr>
          <w:b/>
          <w:bCs/>
        </w:rPr>
        <w:tab/>
      </w:r>
      <w:bookmarkStart w:id="19" w:name="_Hlk137544483"/>
      <w:r w:rsidRPr="00C07E51">
        <w:t>Ersättningen betalas i förskott inom ramen för det anslag som anvisats i Ålands budget och det medelvärde beräknat från fem föregående års godtagbara produktionskostnader av skyddshemstjänster som finns till förfogande vid tidpunkten för budgeteringen av Ålands budget. En utjämning kan betalas om det i samband med redovisningen enligt 13</w:t>
      </w:r>
      <w:r>
        <w:t> §</w:t>
      </w:r>
      <w:r w:rsidRPr="00C07E51">
        <w:t xml:space="preserve"> framkommer att de verkliga produktionskostnaderna är högre än förskottsutbetalningen.</w:t>
      </w:r>
      <w:bookmarkEnd w:id="19"/>
    </w:p>
    <w:p w14:paraId="41782272" w14:textId="77777777" w:rsidR="00022E9D" w:rsidRPr="00C07E51" w:rsidRDefault="00022E9D" w:rsidP="00022E9D">
      <w:pPr>
        <w:pStyle w:val="ANormal"/>
      </w:pPr>
    </w:p>
    <w:p w14:paraId="38CE4EE0" w14:textId="77777777" w:rsidR="00022E9D" w:rsidRPr="00C07E51" w:rsidRDefault="00022E9D" w:rsidP="00022E9D">
      <w:pPr>
        <w:pStyle w:val="LagParagraf"/>
      </w:pPr>
      <w:bookmarkStart w:id="20" w:name="_Hlk143857118"/>
      <w:r w:rsidRPr="00C07E51">
        <w:t>10</w:t>
      </w:r>
      <w:r>
        <w:t> §</w:t>
      </w:r>
    </w:p>
    <w:p w14:paraId="5DB4AA96" w14:textId="77777777" w:rsidR="00022E9D" w:rsidRPr="00331EB6" w:rsidRDefault="00022E9D" w:rsidP="00022E9D">
      <w:pPr>
        <w:pStyle w:val="LagPararubrik"/>
      </w:pPr>
      <w:r w:rsidRPr="00331EB6">
        <w:t>Godtagbara kostnader</w:t>
      </w:r>
    </w:p>
    <w:p w14:paraId="770113B5" w14:textId="77777777" w:rsidR="00022E9D" w:rsidRPr="00C07E51" w:rsidRDefault="00022E9D" w:rsidP="00022E9D">
      <w:pPr>
        <w:pStyle w:val="ANormal"/>
      </w:pPr>
      <w:r w:rsidRPr="00C07E51">
        <w:tab/>
        <w:t>Godtagbara kostnader för skyddshemstjänster är personalkostnader som hänför sig till produktionen av skyddshemstjänsterna enligt vad som motsvarar den nödvändiga grundbemanningen för antalet skyddshemsplatser och enligt den arbetstid som utförts inom skyddshemsverksamheten samt lokalhyra och löpande kostnader för driften av skyddshemmet. Om fastigheten även används för annan verksamhet än skyddshemsverksamhet ersätts fastighetskostnaderna proportionellt enligt antalet skyddshemsplatser.</w:t>
      </w:r>
    </w:p>
    <w:p w14:paraId="7F5DF113" w14:textId="77777777" w:rsidR="00022E9D" w:rsidRPr="00C07E51" w:rsidRDefault="00022E9D" w:rsidP="00022E9D">
      <w:pPr>
        <w:pStyle w:val="ANormal"/>
      </w:pPr>
      <w:r w:rsidRPr="00C07E51">
        <w:tab/>
        <w:t xml:space="preserve">Hyran som ersätts är högst den senast </w:t>
      </w:r>
      <w:r>
        <w:t>uträknade</w:t>
      </w:r>
      <w:r w:rsidRPr="00C07E51">
        <w:t xml:space="preserve"> medelhyran för bostäder i kommunen enligt uppgift från Ålands statistik- och utredningsbyrå</w:t>
      </w:r>
      <w:r>
        <w:t>. Hyran indexjusteras årligen med den ändring av konsumentprisindex som Ålands statistik- och utredningsbyrå fastställt för det föregående kalenderåret.</w:t>
      </w:r>
    </w:p>
    <w:p w14:paraId="51F65C83" w14:textId="77777777" w:rsidR="00022E9D" w:rsidRDefault="00022E9D" w:rsidP="00022E9D">
      <w:pPr>
        <w:pStyle w:val="ANormal"/>
      </w:pPr>
      <w:r w:rsidRPr="00C07E51">
        <w:tab/>
        <w:t>Närmare bestämmelser om vilka kostnader som ersätts kan utfärdas i landskapsförordning.</w:t>
      </w:r>
    </w:p>
    <w:bookmarkEnd w:id="20"/>
    <w:p w14:paraId="7347FC1B" w14:textId="77777777" w:rsidR="00022E9D" w:rsidRPr="00331EB6" w:rsidRDefault="00022E9D" w:rsidP="00022E9D">
      <w:pPr>
        <w:pStyle w:val="ANormal"/>
      </w:pPr>
    </w:p>
    <w:p w14:paraId="2B9F94F1" w14:textId="77777777" w:rsidR="00022E9D" w:rsidRPr="00C07E51" w:rsidRDefault="00022E9D" w:rsidP="00022E9D">
      <w:pPr>
        <w:pStyle w:val="LagParagraf"/>
      </w:pPr>
      <w:r w:rsidRPr="00C07E51">
        <w:t>11</w:t>
      </w:r>
      <w:r>
        <w:t> §</w:t>
      </w:r>
    </w:p>
    <w:p w14:paraId="2421A237" w14:textId="77777777" w:rsidR="00022E9D" w:rsidRPr="00C07E51" w:rsidRDefault="00022E9D" w:rsidP="00022E9D">
      <w:pPr>
        <w:pStyle w:val="LagPararubrik"/>
      </w:pPr>
      <w:r w:rsidRPr="00C07E51">
        <w:t>Överskridande kostnader</w:t>
      </w:r>
    </w:p>
    <w:p w14:paraId="3958E874" w14:textId="77777777" w:rsidR="00022E9D" w:rsidRPr="00C07E51" w:rsidRDefault="00022E9D" w:rsidP="00022E9D">
      <w:pPr>
        <w:pStyle w:val="ANormal"/>
      </w:pPr>
      <w:r w:rsidRPr="00C07E51">
        <w:tab/>
        <w:t xml:space="preserve">Om kostnaderna för produktionen av skyddshemstjänsterna kommer att överskrida den i förskott utbetalda ersättningen med minst 10 procent ska KST skriftligen och utan dröjsmål meddela landskapsregeringen och lämna </w:t>
      </w:r>
      <w:r w:rsidRPr="00C07E51">
        <w:lastRenderedPageBreak/>
        <w:t>in en utredning över de överskridande kostnaderna så snart som möjligt därefter.</w:t>
      </w:r>
    </w:p>
    <w:p w14:paraId="22DA8721" w14:textId="77777777" w:rsidR="00022E9D" w:rsidRDefault="00022E9D" w:rsidP="00022E9D">
      <w:pPr>
        <w:pStyle w:val="ANormal"/>
      </w:pPr>
      <w:r w:rsidRPr="00C07E51">
        <w:tab/>
        <w:t>Överskridande kostnader ersätts enligt prövning av landskapsregeringen.</w:t>
      </w:r>
    </w:p>
    <w:p w14:paraId="347EC06D" w14:textId="77777777" w:rsidR="00022E9D" w:rsidRPr="00331EB6" w:rsidRDefault="00022E9D" w:rsidP="00022E9D">
      <w:pPr>
        <w:pStyle w:val="ANormal"/>
      </w:pPr>
    </w:p>
    <w:p w14:paraId="7DA8DB5A" w14:textId="77777777" w:rsidR="00022E9D" w:rsidRPr="00C07E51" w:rsidRDefault="00022E9D" w:rsidP="00022E9D">
      <w:pPr>
        <w:pStyle w:val="LagParagraf"/>
      </w:pPr>
      <w:r w:rsidRPr="00C07E51">
        <w:t>12</w:t>
      </w:r>
      <w:r>
        <w:t> §</w:t>
      </w:r>
    </w:p>
    <w:p w14:paraId="51F41005" w14:textId="77777777" w:rsidR="00022E9D" w:rsidRPr="00C07E51" w:rsidRDefault="00022E9D" w:rsidP="00022E9D">
      <w:pPr>
        <w:pStyle w:val="LagPararubrik"/>
      </w:pPr>
      <w:r w:rsidRPr="00C07E51">
        <w:t>Utbetalning</w:t>
      </w:r>
    </w:p>
    <w:p w14:paraId="1B176144" w14:textId="77777777" w:rsidR="00022E9D" w:rsidRPr="00C07E51" w:rsidRDefault="00022E9D" w:rsidP="00022E9D">
      <w:pPr>
        <w:pStyle w:val="ANormal"/>
      </w:pPr>
      <w:r w:rsidRPr="00C07E51">
        <w:tab/>
        <w:t>Ersättningen betalas ut på årsbasis i förskott till KST.</w:t>
      </w:r>
    </w:p>
    <w:p w14:paraId="6AFB322F" w14:textId="77777777" w:rsidR="00022E9D" w:rsidRPr="00C07E51" w:rsidRDefault="00022E9D" w:rsidP="00022E9D">
      <w:pPr>
        <w:pStyle w:val="ANormal"/>
      </w:pPr>
      <w:r w:rsidRPr="00C07E51">
        <w:tab/>
        <w:t>KST ska lämna landskapsregeringen riktiga och tillräckliga uppgifter för utbetalningen av ersättningen.</w:t>
      </w:r>
    </w:p>
    <w:p w14:paraId="41C13607" w14:textId="77777777" w:rsidR="00022E9D" w:rsidRPr="00C07E51" w:rsidRDefault="00022E9D" w:rsidP="00022E9D">
      <w:pPr>
        <w:pStyle w:val="ANormal"/>
      </w:pPr>
      <w:r w:rsidRPr="00C07E51">
        <w:tab/>
        <w:t>Närmare bestämmelser om utbetalning av ersättning kan utfärdas i landskapsförordning.</w:t>
      </w:r>
    </w:p>
    <w:p w14:paraId="2C42753F" w14:textId="77777777" w:rsidR="00022E9D" w:rsidRPr="00331EB6" w:rsidRDefault="00022E9D" w:rsidP="00022E9D">
      <w:pPr>
        <w:pStyle w:val="ANormal"/>
      </w:pPr>
    </w:p>
    <w:p w14:paraId="0C98CF67" w14:textId="77777777" w:rsidR="00022E9D" w:rsidRPr="00C07E51" w:rsidRDefault="00022E9D" w:rsidP="00022E9D">
      <w:pPr>
        <w:pStyle w:val="LagParagraf"/>
      </w:pPr>
      <w:r w:rsidRPr="00C07E51">
        <w:t>13</w:t>
      </w:r>
      <w:r>
        <w:t> §</w:t>
      </w:r>
    </w:p>
    <w:p w14:paraId="5D5949E7" w14:textId="77777777" w:rsidR="00022E9D" w:rsidRPr="00C07E51" w:rsidRDefault="00022E9D" w:rsidP="00022E9D">
      <w:pPr>
        <w:pStyle w:val="LagPararubrik"/>
      </w:pPr>
      <w:r w:rsidRPr="00C07E51">
        <w:t>Redovisning</w:t>
      </w:r>
    </w:p>
    <w:p w14:paraId="4575188E" w14:textId="77777777" w:rsidR="00022E9D" w:rsidRPr="00C07E51" w:rsidRDefault="00022E9D" w:rsidP="00022E9D">
      <w:pPr>
        <w:pStyle w:val="ANormal"/>
      </w:pPr>
      <w:r w:rsidRPr="00C07E51">
        <w:tab/>
      </w:r>
      <w:r>
        <w:t>KST</w:t>
      </w:r>
      <w:r w:rsidRPr="00C07E51">
        <w:t xml:space="preserve"> ska årligen till landskapsregeringen lämna </w:t>
      </w:r>
      <w:r>
        <w:t xml:space="preserve">in </w:t>
      </w:r>
      <w:r w:rsidRPr="00C07E51">
        <w:t>en redovisning över de kostnader som verkställandet av lagen orsakat under föregående finansår. Redovisningen gäller användningen av den ersättning som i förskott utbetalats och dess överskridande eller ersättning som blivit oanvänd.</w:t>
      </w:r>
    </w:p>
    <w:p w14:paraId="383BE02B" w14:textId="77777777" w:rsidR="00022E9D" w:rsidRPr="00C07E51" w:rsidRDefault="00022E9D" w:rsidP="00022E9D">
      <w:pPr>
        <w:pStyle w:val="ANormal"/>
      </w:pPr>
      <w:r w:rsidRPr="00C07E51">
        <w:tab/>
        <w:t>Närmare bestämmelser om redovisningens innehåll och tidpunkt kan utfärdas i landskapsförordning.</w:t>
      </w:r>
    </w:p>
    <w:p w14:paraId="6C13B0A1" w14:textId="77777777" w:rsidR="00022E9D" w:rsidRPr="00C07E51" w:rsidRDefault="00022E9D" w:rsidP="00022E9D">
      <w:pPr>
        <w:pStyle w:val="ANormal"/>
      </w:pPr>
    </w:p>
    <w:p w14:paraId="4A6BF69E" w14:textId="77777777" w:rsidR="00022E9D" w:rsidRPr="00C07E51" w:rsidRDefault="00022E9D" w:rsidP="00022E9D">
      <w:pPr>
        <w:pStyle w:val="LagParagraf"/>
      </w:pPr>
      <w:r w:rsidRPr="00C07E51">
        <w:t>14</w:t>
      </w:r>
      <w:r>
        <w:t> §</w:t>
      </w:r>
    </w:p>
    <w:p w14:paraId="2AE0D50E" w14:textId="77777777" w:rsidR="00022E9D" w:rsidRPr="00C07E51" w:rsidRDefault="00022E9D" w:rsidP="00022E9D">
      <w:pPr>
        <w:pStyle w:val="LagPararubrik"/>
      </w:pPr>
      <w:r w:rsidRPr="00C07E51">
        <w:t>Återbetalning och utjämning</w:t>
      </w:r>
    </w:p>
    <w:p w14:paraId="0E5A42C5" w14:textId="77777777" w:rsidR="00022E9D" w:rsidRPr="00C07E51" w:rsidRDefault="00022E9D" w:rsidP="00022E9D">
      <w:pPr>
        <w:pStyle w:val="ANormal"/>
      </w:pPr>
      <w:r w:rsidRPr="00C07E51">
        <w:tab/>
        <w:t>Om ersättningen som betalats ut i förskott överstiger de verkliga produktionskostnaderna ska återbetalning ske av den överstigande delen.</w:t>
      </w:r>
    </w:p>
    <w:p w14:paraId="37C03A63" w14:textId="77777777" w:rsidR="00022E9D" w:rsidRDefault="00022E9D" w:rsidP="00022E9D">
      <w:pPr>
        <w:pStyle w:val="ANormal"/>
      </w:pPr>
      <w:r w:rsidRPr="00C07E51">
        <w:tab/>
        <w:t>Landskapsregeringen kan bestämma</w:t>
      </w:r>
      <w:r>
        <w:t xml:space="preserve"> att den överstigande delen dras av i samband med följande förskottsutbetalning.</w:t>
      </w:r>
    </w:p>
    <w:p w14:paraId="648CB1FE" w14:textId="77777777" w:rsidR="00022E9D" w:rsidRDefault="00022E9D" w:rsidP="00022E9D">
      <w:pPr>
        <w:pStyle w:val="ANormal"/>
      </w:pPr>
      <w:r>
        <w:tab/>
        <w:t>Om de verkliga produktionskostnaderna överstiger den i förskott utbetalda ersättningen</w:t>
      </w:r>
      <w:r w:rsidRPr="00033CCE">
        <w:t xml:space="preserve"> </w:t>
      </w:r>
      <w:r w:rsidRPr="003F06EF">
        <w:t>kan</w:t>
      </w:r>
      <w:r w:rsidRPr="00033CCE">
        <w:t xml:space="preserve"> landskapsregeringen betala </w:t>
      </w:r>
      <w:r>
        <w:t>utjämning</w:t>
      </w:r>
      <w:r w:rsidRPr="00033CCE">
        <w:t xml:space="preserve"> till </w:t>
      </w:r>
      <w:r>
        <w:t>KST</w:t>
      </w:r>
      <w:r w:rsidRPr="00033CCE">
        <w:t>.</w:t>
      </w:r>
    </w:p>
    <w:p w14:paraId="049548CD" w14:textId="77777777" w:rsidR="00022E9D" w:rsidRDefault="00022E9D" w:rsidP="00022E9D">
      <w:pPr>
        <w:pStyle w:val="ANormal"/>
      </w:pPr>
      <w:r>
        <w:tab/>
        <w:t>Närmare bestämmelser om återbetalning och utjämning kan utfärdas i landskapsförordning.</w:t>
      </w:r>
    </w:p>
    <w:p w14:paraId="6E1686AF" w14:textId="77777777" w:rsidR="00022E9D" w:rsidRPr="00331EB6" w:rsidRDefault="00022E9D" w:rsidP="00022E9D">
      <w:pPr>
        <w:pStyle w:val="ANormal"/>
      </w:pPr>
    </w:p>
    <w:p w14:paraId="7139D9D6" w14:textId="77777777" w:rsidR="00022E9D" w:rsidRPr="00C07E51" w:rsidRDefault="00022E9D" w:rsidP="00022E9D">
      <w:pPr>
        <w:pStyle w:val="LagParagraf"/>
      </w:pPr>
      <w:r w:rsidRPr="00C07E51">
        <w:t>15</w:t>
      </w:r>
      <w:r>
        <w:t> §</w:t>
      </w:r>
    </w:p>
    <w:p w14:paraId="5366E718" w14:textId="77777777" w:rsidR="00022E9D" w:rsidRPr="00C07E51" w:rsidRDefault="00022E9D" w:rsidP="00022E9D">
      <w:pPr>
        <w:pStyle w:val="LagPararubrik"/>
      </w:pPr>
      <w:r w:rsidRPr="00C07E51">
        <w:t>Styrning</w:t>
      </w:r>
    </w:p>
    <w:p w14:paraId="2DBC6367" w14:textId="77777777" w:rsidR="00022E9D" w:rsidRPr="00C07E51" w:rsidRDefault="00022E9D" w:rsidP="00022E9D">
      <w:pPr>
        <w:pStyle w:val="ANormal"/>
      </w:pPr>
      <w:r w:rsidRPr="00C07E51">
        <w:tab/>
        <w:t>Landskapsregeringen ansvarar för styrningen av skyddshemsverksamheten.</w:t>
      </w:r>
    </w:p>
    <w:p w14:paraId="2F3E3E89" w14:textId="77777777" w:rsidR="00022E9D" w:rsidRPr="00331EB6" w:rsidRDefault="00022E9D" w:rsidP="00022E9D">
      <w:pPr>
        <w:pStyle w:val="ANormal"/>
      </w:pPr>
    </w:p>
    <w:p w14:paraId="01F1D8A1" w14:textId="77777777" w:rsidR="00022E9D" w:rsidRPr="00C07E51" w:rsidRDefault="00022E9D" w:rsidP="00022E9D">
      <w:pPr>
        <w:pStyle w:val="LagParagraf"/>
      </w:pPr>
      <w:r w:rsidRPr="00C07E51">
        <w:t>16</w:t>
      </w:r>
      <w:r>
        <w:t> §</w:t>
      </w:r>
    </w:p>
    <w:p w14:paraId="36103736" w14:textId="77777777" w:rsidR="00022E9D" w:rsidRPr="00C07E51" w:rsidRDefault="00022E9D" w:rsidP="00022E9D">
      <w:pPr>
        <w:pStyle w:val="LagPararubrik"/>
      </w:pPr>
      <w:r w:rsidRPr="00C07E51">
        <w:t>Tillsyn</w:t>
      </w:r>
    </w:p>
    <w:p w14:paraId="2722D83B" w14:textId="77777777" w:rsidR="00022E9D" w:rsidRPr="00C07E51" w:rsidRDefault="00022E9D" w:rsidP="00022E9D">
      <w:pPr>
        <w:pStyle w:val="ANormal"/>
      </w:pPr>
      <w:r w:rsidRPr="00C07E51">
        <w:tab/>
        <w:t>Ålands miljö- och hälsoskyddsmyndighet övervakar skyddshemsverksamheten. På tillsynen över skyddshemsverksamheten tillämpas:</w:t>
      </w:r>
    </w:p>
    <w:p w14:paraId="7ECE1018" w14:textId="77777777" w:rsidR="00022E9D" w:rsidRPr="00C07E51" w:rsidRDefault="00022E9D" w:rsidP="00022E9D">
      <w:pPr>
        <w:pStyle w:val="ANormal"/>
      </w:pPr>
      <w:r w:rsidRPr="00C07E51">
        <w:tab/>
        <w:t>1) i fråga om kommunalt producerad skyddshemsverksamhet 2</w:t>
      </w:r>
      <w:r>
        <w:t> kap.</w:t>
      </w:r>
      <w:r w:rsidRPr="00C07E51">
        <w:t xml:space="preserve"> i landskapslagen (2020:13) om socialvårdens förvaltning och tillsyn på Åland,</w:t>
      </w:r>
    </w:p>
    <w:p w14:paraId="424C5F8E" w14:textId="77777777" w:rsidR="00022E9D" w:rsidRPr="00C07E51" w:rsidRDefault="00022E9D" w:rsidP="00022E9D">
      <w:pPr>
        <w:pStyle w:val="ANormal"/>
      </w:pPr>
      <w:r w:rsidRPr="00C07E51">
        <w:tab/>
        <w:t>2) i fråga om privata producenter av socialtjänster lagen om privat socialservice, i enlighet med landskapslagen om tillämpning i landskapet Åland om lagen om privat socialservice.</w:t>
      </w:r>
    </w:p>
    <w:p w14:paraId="06FAA7BA" w14:textId="77777777" w:rsidR="00022E9D" w:rsidRPr="00331EB6" w:rsidRDefault="00022E9D" w:rsidP="00022E9D">
      <w:pPr>
        <w:pStyle w:val="ANormal"/>
      </w:pPr>
    </w:p>
    <w:p w14:paraId="59013594" w14:textId="77777777" w:rsidR="00022E9D" w:rsidRPr="00C07E51" w:rsidRDefault="00022E9D" w:rsidP="00022E9D">
      <w:pPr>
        <w:pStyle w:val="LagParagraf"/>
      </w:pPr>
      <w:r w:rsidRPr="00C07E51">
        <w:t>17</w:t>
      </w:r>
      <w:r>
        <w:t> §</w:t>
      </w:r>
    </w:p>
    <w:p w14:paraId="1E7152A6" w14:textId="77777777" w:rsidR="00022E9D" w:rsidRPr="00C07E51" w:rsidRDefault="00022E9D" w:rsidP="00022E9D">
      <w:pPr>
        <w:pStyle w:val="LagPararubrik"/>
      </w:pPr>
      <w:r w:rsidRPr="00C07E51">
        <w:t>Granskningsrätt</w:t>
      </w:r>
    </w:p>
    <w:p w14:paraId="7C7C62A6" w14:textId="77777777" w:rsidR="00022E9D" w:rsidRPr="00C07E51" w:rsidRDefault="00022E9D" w:rsidP="00022E9D">
      <w:pPr>
        <w:pStyle w:val="ANormal"/>
      </w:pPr>
      <w:r w:rsidRPr="00C07E51">
        <w:tab/>
        <w:t>Landskapsregeringen eller en utomstående granskare som landskapsregeringen befullmäktigat har rätt att granska skyddshemsproducentens bokföring och förvaltning och utföra nödvändiga granskningar av ekonomin och verksamheten i skyddshemsproducentens utrymmen.</w:t>
      </w:r>
    </w:p>
    <w:p w14:paraId="4AE16AEC" w14:textId="77777777" w:rsidR="00022E9D" w:rsidRDefault="00022E9D" w:rsidP="00022E9D">
      <w:pPr>
        <w:pStyle w:val="ANormal"/>
      </w:pPr>
      <w:r w:rsidRPr="00C07E51">
        <w:tab/>
        <w:t xml:space="preserve">En inspektör ska ges tillträde till verksamhetsställets alla utrymmen och utan hinder av sekretessbestämmelserna ska alla handlingar som är nödvändiga för granskningen läggas fram. Utrymmen som används för permanent boende får inspekteras bara om det är nödvändigt för att trygga klienternas </w:t>
      </w:r>
      <w:r w:rsidRPr="00C07E51">
        <w:lastRenderedPageBreak/>
        <w:t>ställning och garantera behörig service. I övrigt ska det som bestäms i 34</w:t>
      </w:r>
      <w:r>
        <w:t> §</w:t>
      </w:r>
      <w:r w:rsidRPr="00C07E51">
        <w:t xml:space="preserve"> förvaltningslagen </w:t>
      </w:r>
      <w:r w:rsidRPr="00C07E51">
        <w:rPr>
          <w:rStyle w:val="normaltextrun"/>
        </w:rPr>
        <w:t xml:space="preserve">(2008:9) </w:t>
      </w:r>
      <w:r w:rsidRPr="00C07E51">
        <w:t>för landskapet Åland följas vid inspektioner.</w:t>
      </w:r>
    </w:p>
    <w:p w14:paraId="44CFB9E0" w14:textId="77777777" w:rsidR="00022E9D" w:rsidRDefault="00022E9D" w:rsidP="00022E9D">
      <w:pPr>
        <w:pStyle w:val="ANormal"/>
      </w:pPr>
    </w:p>
    <w:p w14:paraId="701A8D8E" w14:textId="515748CC" w:rsidR="00022E9D" w:rsidRPr="00331EB6" w:rsidRDefault="00022E9D" w:rsidP="00022E9D">
      <w:pPr>
        <w:pStyle w:val="LagParagraf"/>
      </w:pPr>
      <w:r w:rsidRPr="00331EB6">
        <w:t>18 §</w:t>
      </w:r>
    </w:p>
    <w:p w14:paraId="45B56FDB" w14:textId="77777777" w:rsidR="00022E9D" w:rsidRPr="00331EB6" w:rsidRDefault="00022E9D" w:rsidP="00022E9D">
      <w:pPr>
        <w:pStyle w:val="LagPararubrik"/>
      </w:pPr>
      <w:r w:rsidRPr="00331EB6">
        <w:t>Rättelseyrkande</w:t>
      </w:r>
    </w:p>
    <w:p w14:paraId="5C90F45B" w14:textId="77777777" w:rsidR="00022E9D" w:rsidRPr="00331EB6" w:rsidRDefault="00022E9D" w:rsidP="00022E9D">
      <w:pPr>
        <w:pStyle w:val="ANormal"/>
      </w:pPr>
      <w:r w:rsidRPr="00331EB6">
        <w:tab/>
        <w:t>I fråga om ersättningsbeslut samt beslut om återbetalning och utjämning får rättelse begäras hos landskapsregeringen inom 30 dagar från beslutets delgivning.</w:t>
      </w:r>
    </w:p>
    <w:p w14:paraId="3FFB320E" w14:textId="77777777" w:rsidR="00022E9D" w:rsidRPr="00331EB6" w:rsidRDefault="00022E9D" w:rsidP="00022E9D">
      <w:pPr>
        <w:pStyle w:val="ANormal"/>
      </w:pPr>
      <w:r w:rsidRPr="00331EB6">
        <w:tab/>
        <w:t>Landskapsregeringens ersättningsbeslut samt beslut om återbetalning och utjämning får verkställas trots rättelseyrkande.</w:t>
      </w:r>
    </w:p>
    <w:p w14:paraId="22BC2B9D" w14:textId="77777777" w:rsidR="00022E9D" w:rsidRPr="00331EB6" w:rsidRDefault="00022E9D" w:rsidP="00022E9D">
      <w:pPr>
        <w:pStyle w:val="ANormal"/>
      </w:pPr>
    </w:p>
    <w:p w14:paraId="27E1E86C" w14:textId="77777777" w:rsidR="00022E9D" w:rsidRPr="00331EB6" w:rsidRDefault="00022E9D" w:rsidP="00022E9D">
      <w:pPr>
        <w:pStyle w:val="LagParagraf"/>
      </w:pPr>
      <w:r w:rsidRPr="00331EB6">
        <w:t>19 §</w:t>
      </w:r>
    </w:p>
    <w:p w14:paraId="209E4E87" w14:textId="77777777" w:rsidR="00022E9D" w:rsidRPr="00331EB6" w:rsidRDefault="00022E9D" w:rsidP="00022E9D">
      <w:pPr>
        <w:pStyle w:val="LagPararubrik"/>
      </w:pPr>
      <w:r w:rsidRPr="00331EB6">
        <w:t>Besvär</w:t>
      </w:r>
    </w:p>
    <w:p w14:paraId="74375BF8" w14:textId="77777777" w:rsidR="00022E9D" w:rsidRDefault="00022E9D" w:rsidP="00022E9D">
      <w:pPr>
        <w:pStyle w:val="ANormal"/>
      </w:pPr>
      <w:r>
        <w:tab/>
      </w:r>
      <w:r w:rsidRPr="00166693">
        <w:t>Landskapsregeringens beslut med anledning av ett rättelseyrkande får i fråga om lagligheten överklagas hos högsta förvaltningsdomstolen enligt lagen om rättegång i förvaltningsärenden (FFS 808/2019).</w:t>
      </w:r>
    </w:p>
    <w:p w14:paraId="0AD02B83" w14:textId="77777777" w:rsidR="00022E9D" w:rsidRDefault="00022E9D" w:rsidP="00022E9D">
      <w:pPr>
        <w:pStyle w:val="ANormal"/>
      </w:pPr>
    </w:p>
    <w:p w14:paraId="6F220226" w14:textId="77777777" w:rsidR="00022E9D" w:rsidRPr="00C07E51" w:rsidRDefault="00022E9D" w:rsidP="00022E9D">
      <w:pPr>
        <w:pStyle w:val="LagParagraf"/>
      </w:pPr>
      <w:r w:rsidRPr="00C07E51">
        <w:t>20</w:t>
      </w:r>
      <w:r>
        <w:t> §</w:t>
      </w:r>
    </w:p>
    <w:p w14:paraId="06B9698A" w14:textId="77777777" w:rsidR="00022E9D" w:rsidRPr="00331EB6" w:rsidRDefault="00022E9D" w:rsidP="00022E9D">
      <w:pPr>
        <w:pStyle w:val="LagPararubrik"/>
      </w:pPr>
      <w:r w:rsidRPr="00331EB6">
        <w:t>Ikraftträdande</w:t>
      </w:r>
    </w:p>
    <w:p w14:paraId="12127ED2" w14:textId="77777777" w:rsidR="00022E9D" w:rsidRPr="00C07E51" w:rsidRDefault="00022E9D" w:rsidP="00022E9D">
      <w:pPr>
        <w:pStyle w:val="ANormal"/>
      </w:pPr>
      <w:r w:rsidRPr="00C07E51">
        <w:tab/>
        <w:t>Denna lag träder i kraft den 1</w:t>
      </w:r>
      <w:r>
        <w:t xml:space="preserve"> </w:t>
      </w:r>
      <w:r w:rsidRPr="00C07E51">
        <w:t>januari</w:t>
      </w:r>
      <w:r>
        <w:t xml:space="preserve"> </w:t>
      </w:r>
      <w:r w:rsidRPr="00C07E51">
        <w:t>2024.</w:t>
      </w:r>
    </w:p>
    <w:p w14:paraId="6A97EDCB" w14:textId="77777777" w:rsidR="00022E9D" w:rsidRPr="00C07E51" w:rsidRDefault="00022E9D" w:rsidP="00022E9D">
      <w:pPr>
        <w:pStyle w:val="ANormal"/>
      </w:pPr>
      <w:r w:rsidRPr="00C07E51">
        <w:tab/>
        <w:t>Genom denna lag upphävs landskapslagen (2015:117) om skyddshem.</w:t>
      </w:r>
    </w:p>
    <w:p w14:paraId="618A64BA" w14:textId="77777777" w:rsidR="00022E9D" w:rsidRPr="00C07E51" w:rsidRDefault="00022E9D" w:rsidP="00022E9D">
      <w:pPr>
        <w:pStyle w:val="ANormal"/>
      </w:pPr>
    </w:p>
    <w:p w14:paraId="15472790" w14:textId="77777777" w:rsidR="00022E9D" w:rsidRPr="00C07E51" w:rsidRDefault="00022E9D" w:rsidP="00022E9D">
      <w:pPr>
        <w:pStyle w:val="LagParagraf"/>
      </w:pPr>
      <w:r w:rsidRPr="00C07E51">
        <w:t>21</w:t>
      </w:r>
      <w:r>
        <w:t> §</w:t>
      </w:r>
    </w:p>
    <w:p w14:paraId="65C579AE" w14:textId="77777777" w:rsidR="00022E9D" w:rsidRPr="00331EB6" w:rsidRDefault="00022E9D" w:rsidP="00022E9D">
      <w:pPr>
        <w:pStyle w:val="LagPararubrik"/>
      </w:pPr>
      <w:r w:rsidRPr="00331EB6">
        <w:t>Övergångsbestämmelser</w:t>
      </w:r>
    </w:p>
    <w:p w14:paraId="63D9F528" w14:textId="77777777" w:rsidR="00022E9D" w:rsidRPr="00C07E51" w:rsidRDefault="00022E9D" w:rsidP="00022E9D">
      <w:pPr>
        <w:pStyle w:val="ANormal"/>
      </w:pPr>
      <w:r w:rsidRPr="00C07E51">
        <w:tab/>
        <w:t>De förordningar som landskapsregeringen utfärdat med stöd av landskapslagen om skyddshem fortsätter att gälla tills något annat föreskrivs.</w:t>
      </w:r>
    </w:p>
    <w:p w14:paraId="3B9EDD6B" w14:textId="77777777" w:rsidR="00022E9D" w:rsidRDefault="00022E9D" w:rsidP="00022E9D">
      <w:pPr>
        <w:pStyle w:val="ANormal"/>
      </w:pPr>
      <w:r w:rsidRPr="00C07E51">
        <w:tab/>
        <w:t>På det avtal som ingåtts mellan landskapsregeringen och KST för produktion av skyddshemstjänster för år 2023 och på de slutåtgärder som till följd av avtalet vidtas efter finansårets slut tillämpas den gamla</w:t>
      </w:r>
      <w:r>
        <w:t xml:space="preserve"> </w:t>
      </w:r>
      <w:r w:rsidRPr="00DC46E8">
        <w:t>landskapslag</w:t>
      </w:r>
      <w:r>
        <w:t>en</w:t>
      </w:r>
      <w:r w:rsidRPr="00DC46E8">
        <w:t xml:space="preserve"> om skyddshem.</w:t>
      </w:r>
    </w:p>
    <w:p w14:paraId="723294DF" w14:textId="5170C03E" w:rsidR="00022E9D" w:rsidRPr="00022E9D" w:rsidRDefault="00022E9D" w:rsidP="00022E9D">
      <w:pPr>
        <w:pStyle w:val="ANormal"/>
      </w:pPr>
    </w:p>
    <w:p w14:paraId="2DEC1A1F" w14:textId="77777777" w:rsidR="002401D0" w:rsidRDefault="002B336C">
      <w:pPr>
        <w:pStyle w:val="ANormal"/>
        <w:jc w:val="center"/>
      </w:pPr>
      <w:hyperlink w:anchor="_top" w:tooltip="Klicka för att gå till toppen av dokumentet" w:history="1">
        <w:r w:rsidR="002401D0">
          <w:rPr>
            <w:rStyle w:val="Hyperlnk"/>
          </w:rPr>
          <w:t>__________________</w:t>
        </w:r>
      </w:hyperlink>
    </w:p>
    <w:p w14:paraId="55B2D48D" w14:textId="77777777" w:rsidR="002401D0" w:rsidRDefault="002401D0">
      <w:pPr>
        <w:pStyle w:val="ANormal"/>
      </w:pPr>
    </w:p>
    <w:p w14:paraId="48911564"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6E2E3DA" w14:textId="77777777">
        <w:trPr>
          <w:cantSplit/>
        </w:trPr>
        <w:tc>
          <w:tcPr>
            <w:tcW w:w="7931" w:type="dxa"/>
            <w:gridSpan w:val="2"/>
          </w:tcPr>
          <w:p w14:paraId="00EE73F3" w14:textId="77A2FED4" w:rsidR="002401D0" w:rsidRDefault="002401D0">
            <w:pPr>
              <w:pStyle w:val="ANormal"/>
              <w:keepNext/>
            </w:pPr>
            <w:r>
              <w:t xml:space="preserve">Mariehamn den </w:t>
            </w:r>
            <w:r w:rsidR="00CD4668">
              <w:t>19</w:t>
            </w:r>
            <w:r w:rsidR="00022E9D">
              <w:t xml:space="preserve"> september 2023</w:t>
            </w:r>
          </w:p>
        </w:tc>
      </w:tr>
      <w:tr w:rsidR="002401D0" w14:paraId="090678ED" w14:textId="77777777">
        <w:tc>
          <w:tcPr>
            <w:tcW w:w="4454" w:type="dxa"/>
            <w:vAlign w:val="bottom"/>
          </w:tcPr>
          <w:p w14:paraId="594C1356" w14:textId="77777777" w:rsidR="002401D0" w:rsidRDefault="002401D0">
            <w:pPr>
              <w:pStyle w:val="ANormal"/>
              <w:keepNext/>
            </w:pPr>
          </w:p>
          <w:p w14:paraId="568EBA2F" w14:textId="77777777" w:rsidR="002401D0" w:rsidRDefault="002401D0">
            <w:pPr>
              <w:pStyle w:val="ANormal"/>
              <w:keepNext/>
            </w:pPr>
          </w:p>
          <w:p w14:paraId="3C898526" w14:textId="77777777" w:rsidR="002401D0" w:rsidRDefault="002401D0">
            <w:pPr>
              <w:pStyle w:val="ANormal"/>
              <w:keepNext/>
            </w:pPr>
            <w:r>
              <w:t>Ordförande</w:t>
            </w:r>
          </w:p>
        </w:tc>
        <w:tc>
          <w:tcPr>
            <w:tcW w:w="3477" w:type="dxa"/>
            <w:vAlign w:val="bottom"/>
          </w:tcPr>
          <w:p w14:paraId="02C5E81D" w14:textId="77777777" w:rsidR="002401D0" w:rsidRDefault="002401D0">
            <w:pPr>
              <w:pStyle w:val="ANormal"/>
              <w:keepNext/>
            </w:pPr>
          </w:p>
          <w:p w14:paraId="7D6643D3" w14:textId="77777777" w:rsidR="002401D0" w:rsidRDefault="002401D0">
            <w:pPr>
              <w:pStyle w:val="ANormal"/>
              <w:keepNext/>
            </w:pPr>
          </w:p>
          <w:p w14:paraId="5744E4B3" w14:textId="5270ED20" w:rsidR="002401D0" w:rsidRDefault="00022E9D">
            <w:pPr>
              <w:pStyle w:val="ANormal"/>
              <w:keepNext/>
            </w:pPr>
            <w:r>
              <w:t>Pernilla Söderlund</w:t>
            </w:r>
          </w:p>
        </w:tc>
      </w:tr>
      <w:tr w:rsidR="002401D0" w14:paraId="01BFA7D9" w14:textId="77777777">
        <w:tc>
          <w:tcPr>
            <w:tcW w:w="4454" w:type="dxa"/>
            <w:vAlign w:val="bottom"/>
          </w:tcPr>
          <w:p w14:paraId="5859E407" w14:textId="77777777" w:rsidR="002401D0" w:rsidRDefault="002401D0">
            <w:pPr>
              <w:pStyle w:val="ANormal"/>
              <w:keepNext/>
            </w:pPr>
          </w:p>
          <w:p w14:paraId="0B8DC8C6" w14:textId="77777777" w:rsidR="002401D0" w:rsidRDefault="002401D0">
            <w:pPr>
              <w:pStyle w:val="ANormal"/>
              <w:keepNext/>
            </w:pPr>
          </w:p>
          <w:p w14:paraId="595BFA71" w14:textId="77777777" w:rsidR="002401D0" w:rsidRDefault="002401D0">
            <w:pPr>
              <w:pStyle w:val="ANormal"/>
              <w:keepNext/>
            </w:pPr>
            <w:r>
              <w:t>Sekreterare</w:t>
            </w:r>
          </w:p>
        </w:tc>
        <w:tc>
          <w:tcPr>
            <w:tcW w:w="3477" w:type="dxa"/>
            <w:vAlign w:val="bottom"/>
          </w:tcPr>
          <w:p w14:paraId="38A3A8D4" w14:textId="77777777" w:rsidR="002401D0" w:rsidRDefault="002401D0">
            <w:pPr>
              <w:pStyle w:val="ANormal"/>
              <w:keepNext/>
            </w:pPr>
          </w:p>
          <w:p w14:paraId="79909671" w14:textId="77777777" w:rsidR="002401D0" w:rsidRDefault="002401D0">
            <w:pPr>
              <w:pStyle w:val="ANormal"/>
              <w:keepNext/>
            </w:pPr>
          </w:p>
          <w:p w14:paraId="3AE86D8E" w14:textId="030A055C" w:rsidR="002401D0" w:rsidRDefault="00022E9D">
            <w:pPr>
              <w:pStyle w:val="ANormal"/>
              <w:keepNext/>
            </w:pPr>
            <w:r>
              <w:t>Carina Strand</w:t>
            </w:r>
          </w:p>
        </w:tc>
      </w:tr>
    </w:tbl>
    <w:p w14:paraId="3096D958"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9965" w14:textId="77777777" w:rsidR="003611E9" w:rsidRDefault="003611E9">
      <w:r>
        <w:separator/>
      </w:r>
    </w:p>
  </w:endnote>
  <w:endnote w:type="continuationSeparator" w:id="0">
    <w:p w14:paraId="38025E6A" w14:textId="77777777" w:rsidR="003611E9" w:rsidRDefault="003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187"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702" w14:textId="50B6A5D1" w:rsidR="002401D0" w:rsidRDefault="002401D0">
    <w:pPr>
      <w:pStyle w:val="Sidfot"/>
      <w:rPr>
        <w:lang w:val="fi-FI"/>
      </w:rPr>
    </w:pPr>
    <w:r>
      <w:fldChar w:fldCharType="begin"/>
    </w:r>
    <w:r>
      <w:rPr>
        <w:lang w:val="fi-FI"/>
      </w:rPr>
      <w:instrText xml:space="preserve"> FILENAME  \* MERGEFORMAT </w:instrText>
    </w:r>
    <w:r>
      <w:fldChar w:fldCharType="separate"/>
    </w:r>
    <w:r w:rsidR="002E50AF">
      <w:rPr>
        <w:noProof/>
        <w:lang w:val="fi-FI"/>
      </w:rPr>
      <w:t>SMU1720222023.docx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33CE"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317A" w14:textId="77777777" w:rsidR="003611E9" w:rsidRDefault="003611E9">
      <w:r>
        <w:separator/>
      </w:r>
    </w:p>
  </w:footnote>
  <w:footnote w:type="continuationSeparator" w:id="0">
    <w:p w14:paraId="0E0FD4D6" w14:textId="77777777" w:rsidR="003611E9" w:rsidRDefault="0036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0A0"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260606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5E87"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8510D"/>
    <w:multiLevelType w:val="multilevel"/>
    <w:tmpl w:val="633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2468421">
    <w:abstractNumId w:val="6"/>
  </w:num>
  <w:num w:numId="2" w16cid:durableId="1795518091">
    <w:abstractNumId w:val="3"/>
  </w:num>
  <w:num w:numId="3" w16cid:durableId="546332104">
    <w:abstractNumId w:val="2"/>
  </w:num>
  <w:num w:numId="4" w16cid:durableId="455026810">
    <w:abstractNumId w:val="1"/>
  </w:num>
  <w:num w:numId="5" w16cid:durableId="73824682">
    <w:abstractNumId w:val="0"/>
  </w:num>
  <w:num w:numId="6" w16cid:durableId="1146584380">
    <w:abstractNumId w:val="7"/>
  </w:num>
  <w:num w:numId="7" w16cid:durableId="854031684">
    <w:abstractNumId w:val="5"/>
  </w:num>
  <w:num w:numId="8" w16cid:durableId="1854225728">
    <w:abstractNumId w:val="4"/>
  </w:num>
  <w:num w:numId="9" w16cid:durableId="308094174">
    <w:abstractNumId w:val="10"/>
  </w:num>
  <w:num w:numId="10" w16cid:durableId="605501311">
    <w:abstractNumId w:val="13"/>
  </w:num>
  <w:num w:numId="11" w16cid:durableId="982006997">
    <w:abstractNumId w:val="12"/>
  </w:num>
  <w:num w:numId="12" w16cid:durableId="10497495">
    <w:abstractNumId w:val="17"/>
  </w:num>
  <w:num w:numId="13" w16cid:durableId="1469594267">
    <w:abstractNumId w:val="11"/>
  </w:num>
  <w:num w:numId="14" w16cid:durableId="120925177">
    <w:abstractNumId w:val="16"/>
  </w:num>
  <w:num w:numId="15" w16cid:durableId="831455426">
    <w:abstractNumId w:val="9"/>
  </w:num>
  <w:num w:numId="16" w16cid:durableId="788862510">
    <w:abstractNumId w:val="22"/>
  </w:num>
  <w:num w:numId="17" w16cid:durableId="183790615">
    <w:abstractNumId w:val="8"/>
  </w:num>
  <w:num w:numId="18" w16cid:durableId="47144933">
    <w:abstractNumId w:val="18"/>
  </w:num>
  <w:num w:numId="19" w16cid:durableId="391579923">
    <w:abstractNumId w:val="21"/>
  </w:num>
  <w:num w:numId="20" w16cid:durableId="1638951193">
    <w:abstractNumId w:val="24"/>
  </w:num>
  <w:num w:numId="21" w16cid:durableId="1094979841">
    <w:abstractNumId w:val="23"/>
  </w:num>
  <w:num w:numId="22" w16cid:durableId="2142768252">
    <w:abstractNumId w:val="15"/>
  </w:num>
  <w:num w:numId="23" w16cid:durableId="378431658">
    <w:abstractNumId w:val="19"/>
  </w:num>
  <w:num w:numId="24" w16cid:durableId="543634705">
    <w:abstractNumId w:val="19"/>
  </w:num>
  <w:num w:numId="25" w16cid:durableId="413943528">
    <w:abstractNumId w:val="20"/>
  </w:num>
  <w:num w:numId="26" w16cid:durableId="2119593571">
    <w:abstractNumId w:val="15"/>
  </w:num>
  <w:num w:numId="27" w16cid:durableId="454566449">
    <w:abstractNumId w:val="15"/>
  </w:num>
  <w:num w:numId="28" w16cid:durableId="2080782033">
    <w:abstractNumId w:val="15"/>
  </w:num>
  <w:num w:numId="29" w16cid:durableId="665131021">
    <w:abstractNumId w:val="15"/>
  </w:num>
  <w:num w:numId="30" w16cid:durableId="1299801453">
    <w:abstractNumId w:val="15"/>
  </w:num>
  <w:num w:numId="31" w16cid:durableId="1235508507">
    <w:abstractNumId w:val="15"/>
  </w:num>
  <w:num w:numId="32" w16cid:durableId="537934783">
    <w:abstractNumId w:val="15"/>
  </w:num>
  <w:num w:numId="33" w16cid:durableId="1094935453">
    <w:abstractNumId w:val="15"/>
  </w:num>
  <w:num w:numId="34" w16cid:durableId="1079013474">
    <w:abstractNumId w:val="15"/>
  </w:num>
  <w:num w:numId="35" w16cid:durableId="924388146">
    <w:abstractNumId w:val="19"/>
  </w:num>
  <w:num w:numId="36" w16cid:durableId="650331567">
    <w:abstractNumId w:val="20"/>
  </w:num>
  <w:num w:numId="37" w16cid:durableId="53625576">
    <w:abstractNumId w:val="15"/>
  </w:num>
  <w:num w:numId="38" w16cid:durableId="67113263">
    <w:abstractNumId w:val="15"/>
  </w:num>
  <w:num w:numId="39" w16cid:durableId="1674451673">
    <w:abstractNumId w:val="15"/>
  </w:num>
  <w:num w:numId="40" w16cid:durableId="605694128">
    <w:abstractNumId w:val="15"/>
  </w:num>
  <w:num w:numId="41" w16cid:durableId="798036346">
    <w:abstractNumId w:val="15"/>
  </w:num>
  <w:num w:numId="42" w16cid:durableId="899443679">
    <w:abstractNumId w:val="15"/>
  </w:num>
  <w:num w:numId="43" w16cid:durableId="563683951">
    <w:abstractNumId w:val="15"/>
  </w:num>
  <w:num w:numId="44" w16cid:durableId="596789302">
    <w:abstractNumId w:val="15"/>
  </w:num>
  <w:num w:numId="45" w16cid:durableId="4480403">
    <w:abstractNumId w:val="15"/>
  </w:num>
  <w:num w:numId="46" w16cid:durableId="583152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E9"/>
    <w:rsid w:val="00011B96"/>
    <w:rsid w:val="000142DF"/>
    <w:rsid w:val="00015E9C"/>
    <w:rsid w:val="00022E9D"/>
    <w:rsid w:val="00051556"/>
    <w:rsid w:val="00053AD4"/>
    <w:rsid w:val="000B2DC9"/>
    <w:rsid w:val="000C0200"/>
    <w:rsid w:val="000D6353"/>
    <w:rsid w:val="000F7417"/>
    <w:rsid w:val="0014146A"/>
    <w:rsid w:val="00146DBA"/>
    <w:rsid w:val="0015337C"/>
    <w:rsid w:val="00185C08"/>
    <w:rsid w:val="001975F4"/>
    <w:rsid w:val="001A4BF5"/>
    <w:rsid w:val="001B1145"/>
    <w:rsid w:val="001C3408"/>
    <w:rsid w:val="001D2C16"/>
    <w:rsid w:val="001E5CF0"/>
    <w:rsid w:val="001F4787"/>
    <w:rsid w:val="00224B65"/>
    <w:rsid w:val="002354B7"/>
    <w:rsid w:val="002401D0"/>
    <w:rsid w:val="00243C63"/>
    <w:rsid w:val="0027259E"/>
    <w:rsid w:val="00295E8F"/>
    <w:rsid w:val="002B336C"/>
    <w:rsid w:val="002C3EEF"/>
    <w:rsid w:val="002E3B8C"/>
    <w:rsid w:val="002E50AF"/>
    <w:rsid w:val="002F3363"/>
    <w:rsid w:val="0030144A"/>
    <w:rsid w:val="0031255F"/>
    <w:rsid w:val="0034013D"/>
    <w:rsid w:val="00360841"/>
    <w:rsid w:val="003611E9"/>
    <w:rsid w:val="00362202"/>
    <w:rsid w:val="00362F56"/>
    <w:rsid w:val="0036359C"/>
    <w:rsid w:val="0037721E"/>
    <w:rsid w:val="00393B81"/>
    <w:rsid w:val="003D01DF"/>
    <w:rsid w:val="003F3472"/>
    <w:rsid w:val="00432CDB"/>
    <w:rsid w:val="00433A23"/>
    <w:rsid w:val="0045750B"/>
    <w:rsid w:val="0046209F"/>
    <w:rsid w:val="0049270E"/>
    <w:rsid w:val="004F67C2"/>
    <w:rsid w:val="00535CDA"/>
    <w:rsid w:val="00573C7E"/>
    <w:rsid w:val="005740D2"/>
    <w:rsid w:val="005820F6"/>
    <w:rsid w:val="005A225F"/>
    <w:rsid w:val="005A5EA0"/>
    <w:rsid w:val="005E33CD"/>
    <w:rsid w:val="00625581"/>
    <w:rsid w:val="006610CB"/>
    <w:rsid w:val="006651A5"/>
    <w:rsid w:val="00670006"/>
    <w:rsid w:val="0067578A"/>
    <w:rsid w:val="00680E89"/>
    <w:rsid w:val="006B2E9E"/>
    <w:rsid w:val="006C619F"/>
    <w:rsid w:val="006D6F46"/>
    <w:rsid w:val="006E6212"/>
    <w:rsid w:val="00723B93"/>
    <w:rsid w:val="00725AF9"/>
    <w:rsid w:val="0074153F"/>
    <w:rsid w:val="00743FFA"/>
    <w:rsid w:val="00754BA3"/>
    <w:rsid w:val="0075667F"/>
    <w:rsid w:val="00764335"/>
    <w:rsid w:val="00767930"/>
    <w:rsid w:val="007848F2"/>
    <w:rsid w:val="007C427D"/>
    <w:rsid w:val="007D6E73"/>
    <w:rsid w:val="007E7D48"/>
    <w:rsid w:val="00807690"/>
    <w:rsid w:val="00807EA4"/>
    <w:rsid w:val="00811D50"/>
    <w:rsid w:val="00817B04"/>
    <w:rsid w:val="008455E2"/>
    <w:rsid w:val="00872B19"/>
    <w:rsid w:val="00874473"/>
    <w:rsid w:val="008E4281"/>
    <w:rsid w:val="00923EB7"/>
    <w:rsid w:val="00932C75"/>
    <w:rsid w:val="00957C36"/>
    <w:rsid w:val="0097019D"/>
    <w:rsid w:val="009B5F4F"/>
    <w:rsid w:val="009D73B2"/>
    <w:rsid w:val="009F6BA9"/>
    <w:rsid w:val="009F7CE2"/>
    <w:rsid w:val="00A01E3B"/>
    <w:rsid w:val="00A24C0D"/>
    <w:rsid w:val="00A40851"/>
    <w:rsid w:val="00A528CE"/>
    <w:rsid w:val="00A65AD4"/>
    <w:rsid w:val="00A67624"/>
    <w:rsid w:val="00A75EE3"/>
    <w:rsid w:val="00A912B8"/>
    <w:rsid w:val="00AD0754"/>
    <w:rsid w:val="00AD4418"/>
    <w:rsid w:val="00AE11F0"/>
    <w:rsid w:val="00B1090B"/>
    <w:rsid w:val="00B32E91"/>
    <w:rsid w:val="00B36A8F"/>
    <w:rsid w:val="00B41A3D"/>
    <w:rsid w:val="00B535D0"/>
    <w:rsid w:val="00B806D1"/>
    <w:rsid w:val="00B86A4D"/>
    <w:rsid w:val="00B90DEC"/>
    <w:rsid w:val="00B93E5C"/>
    <w:rsid w:val="00BA01C6"/>
    <w:rsid w:val="00C06F6D"/>
    <w:rsid w:val="00C24D95"/>
    <w:rsid w:val="00C65B7E"/>
    <w:rsid w:val="00C95A08"/>
    <w:rsid w:val="00CA0EEA"/>
    <w:rsid w:val="00CB087E"/>
    <w:rsid w:val="00CB0C1D"/>
    <w:rsid w:val="00CB144C"/>
    <w:rsid w:val="00CC549C"/>
    <w:rsid w:val="00CD4668"/>
    <w:rsid w:val="00CF700E"/>
    <w:rsid w:val="00D10240"/>
    <w:rsid w:val="00D17168"/>
    <w:rsid w:val="00D51EDD"/>
    <w:rsid w:val="00D62E7C"/>
    <w:rsid w:val="00D636C9"/>
    <w:rsid w:val="00D80A4C"/>
    <w:rsid w:val="00DC1658"/>
    <w:rsid w:val="00DC45B2"/>
    <w:rsid w:val="00E116BD"/>
    <w:rsid w:val="00E71929"/>
    <w:rsid w:val="00E75CC1"/>
    <w:rsid w:val="00EB46A5"/>
    <w:rsid w:val="00ED7B86"/>
    <w:rsid w:val="00EE7155"/>
    <w:rsid w:val="00EF1A6F"/>
    <w:rsid w:val="00F01618"/>
    <w:rsid w:val="00F64840"/>
    <w:rsid w:val="00F67FE5"/>
    <w:rsid w:val="00F84F70"/>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3AA20"/>
  <w15:chartTrackingRefBased/>
  <w15:docId w15:val="{952EC0AA-7120-44DC-BAB1-CDA7D235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022E9D"/>
    <w:rPr>
      <w:sz w:val="22"/>
      <w:lang w:val="sv-SE" w:eastAsia="sv-SE"/>
    </w:rPr>
  </w:style>
  <w:style w:type="character" w:customStyle="1" w:styleId="normaltextrun">
    <w:name w:val="normaltextrun"/>
    <w:basedOn w:val="Standardstycketeckensnitt"/>
    <w:rsid w:val="0002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679">
      <w:bodyDiv w:val="1"/>
      <w:marLeft w:val="0"/>
      <w:marRight w:val="0"/>
      <w:marTop w:val="0"/>
      <w:marBottom w:val="0"/>
      <w:divBdr>
        <w:top w:val="none" w:sz="0" w:space="0" w:color="auto"/>
        <w:left w:val="none" w:sz="0" w:space="0" w:color="auto"/>
        <w:bottom w:val="none" w:sz="0" w:space="0" w:color="auto"/>
        <w:right w:val="none" w:sz="0" w:space="0" w:color="auto"/>
      </w:divBdr>
    </w:div>
    <w:div w:id="1918243682">
      <w:bodyDiv w:val="1"/>
      <w:marLeft w:val="0"/>
      <w:marRight w:val="0"/>
      <w:marTop w:val="0"/>
      <w:marBottom w:val="0"/>
      <w:divBdr>
        <w:top w:val="none" w:sz="0" w:space="0" w:color="auto"/>
        <w:left w:val="none" w:sz="0" w:space="0" w:color="auto"/>
        <w:bottom w:val="none" w:sz="0" w:space="0" w:color="auto"/>
        <w:right w:val="none" w:sz="0" w:space="0" w:color="auto"/>
      </w:divBdr>
      <w:divsChild>
        <w:div w:id="1851987288">
          <w:marLeft w:val="0"/>
          <w:marRight w:val="0"/>
          <w:marTop w:val="0"/>
          <w:marBottom w:val="660"/>
          <w:divBdr>
            <w:top w:val="none" w:sz="0" w:space="0" w:color="auto"/>
            <w:left w:val="none" w:sz="0" w:space="0" w:color="auto"/>
            <w:bottom w:val="none" w:sz="0" w:space="0" w:color="auto"/>
            <w:right w:val="none" w:sz="0" w:space="0" w:color="auto"/>
          </w:divBdr>
          <w:divsChild>
            <w:div w:id="549221670">
              <w:marLeft w:val="0"/>
              <w:marRight w:val="0"/>
              <w:marTop w:val="0"/>
              <w:marBottom w:val="0"/>
              <w:divBdr>
                <w:top w:val="none" w:sz="0" w:space="0" w:color="auto"/>
                <w:left w:val="none" w:sz="0" w:space="0" w:color="auto"/>
                <w:bottom w:val="none" w:sz="0" w:space="0" w:color="auto"/>
                <w:right w:val="none" w:sz="0" w:space="0" w:color="auto"/>
              </w:divBdr>
              <w:divsChild>
                <w:div w:id="116870977">
                  <w:marLeft w:val="0"/>
                  <w:marRight w:val="0"/>
                  <w:marTop w:val="0"/>
                  <w:marBottom w:val="0"/>
                  <w:divBdr>
                    <w:top w:val="none" w:sz="0" w:space="0" w:color="auto"/>
                    <w:left w:val="none" w:sz="0" w:space="0" w:color="auto"/>
                    <w:bottom w:val="none" w:sz="0" w:space="0" w:color="auto"/>
                    <w:right w:val="none" w:sz="0" w:space="0" w:color="auto"/>
                  </w:divBdr>
                  <w:divsChild>
                    <w:div w:id="9140356">
                      <w:marLeft w:val="0"/>
                      <w:marRight w:val="0"/>
                      <w:marTop w:val="0"/>
                      <w:marBottom w:val="450"/>
                      <w:divBdr>
                        <w:top w:val="none" w:sz="0" w:space="0" w:color="auto"/>
                        <w:left w:val="none" w:sz="0" w:space="0" w:color="auto"/>
                        <w:bottom w:val="none" w:sz="0" w:space="0" w:color="auto"/>
                        <w:right w:val="none" w:sz="0" w:space="0" w:color="auto"/>
                      </w:divBdr>
                      <w:divsChild>
                        <w:div w:id="766580417">
                          <w:marLeft w:val="0"/>
                          <w:marRight w:val="0"/>
                          <w:marTop w:val="0"/>
                          <w:marBottom w:val="0"/>
                          <w:divBdr>
                            <w:top w:val="none" w:sz="0" w:space="0" w:color="auto"/>
                            <w:left w:val="none" w:sz="0" w:space="0" w:color="auto"/>
                            <w:bottom w:val="none" w:sz="0" w:space="0" w:color="auto"/>
                            <w:right w:val="none" w:sz="0" w:space="0" w:color="auto"/>
                          </w:divBdr>
                          <w:divsChild>
                            <w:div w:id="143936949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sChild>
                                    <w:div w:id="1983777971">
                                      <w:marLeft w:val="0"/>
                                      <w:marRight w:val="0"/>
                                      <w:marTop w:val="0"/>
                                      <w:marBottom w:val="0"/>
                                      <w:divBdr>
                                        <w:top w:val="none" w:sz="0" w:space="0" w:color="auto"/>
                                        <w:left w:val="none" w:sz="0" w:space="0" w:color="auto"/>
                                        <w:bottom w:val="none" w:sz="0" w:space="0" w:color="auto"/>
                                        <w:right w:val="none" w:sz="0" w:space="0" w:color="auto"/>
                                      </w:divBdr>
                                      <w:divsChild>
                                        <w:div w:id="34282578">
                                          <w:marLeft w:val="0"/>
                                          <w:marRight w:val="0"/>
                                          <w:marTop w:val="0"/>
                                          <w:marBottom w:val="0"/>
                                          <w:divBdr>
                                            <w:top w:val="none" w:sz="0" w:space="0" w:color="auto"/>
                                            <w:left w:val="none" w:sz="0" w:space="0" w:color="auto"/>
                                            <w:bottom w:val="none" w:sz="0" w:space="0" w:color="auto"/>
                                            <w:right w:val="none" w:sz="0" w:space="0" w:color="auto"/>
                                          </w:divBdr>
                                          <w:divsChild>
                                            <w:div w:id="20837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12</TotalTime>
  <Pages>8</Pages>
  <Words>2769</Words>
  <Characters>18881</Characters>
  <Application>Microsoft Office Word</Application>
  <DocSecurity>0</DocSecurity>
  <Lines>157</Lines>
  <Paragraphs>43</Paragraphs>
  <ScaleCrop>false</ScaleCrop>
  <HeadingPairs>
    <vt:vector size="2" baseType="variant">
      <vt:variant>
        <vt:lpstr>Rubrik</vt:lpstr>
      </vt:variant>
      <vt:variant>
        <vt:i4>1</vt:i4>
      </vt:variant>
    </vt:vector>
  </HeadingPairs>
  <TitlesOfParts>
    <vt:vector size="1" baseType="lpstr">
      <vt:lpstr>Social-och miljöutskottets betänkande nr x/2022-2023</vt:lpstr>
    </vt:vector>
  </TitlesOfParts>
  <Company>Ålands lagting</Company>
  <LinksUpToDate>false</LinksUpToDate>
  <CharactersWithSpaces>21607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Social-och miljöutskottets betänkande nr 17/2022-2023</dc:title>
  <dc:subject/>
  <dc:creator>Jessica Laaksonen</dc:creator>
  <cp:keywords/>
  <cp:lastModifiedBy>Jessica Laaksonen</cp:lastModifiedBy>
  <cp:revision>3</cp:revision>
  <cp:lastPrinted>2023-09-19T09:16:00Z</cp:lastPrinted>
  <dcterms:created xsi:type="dcterms:W3CDTF">2023-09-19T09:28:00Z</dcterms:created>
  <dcterms:modified xsi:type="dcterms:W3CDTF">2023-09-22T06:58:00Z</dcterms:modified>
</cp:coreProperties>
</file>