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B119149" w14:textId="77777777">
        <w:trPr>
          <w:cantSplit/>
          <w:trHeight w:val="20"/>
        </w:trPr>
        <w:tc>
          <w:tcPr>
            <w:tcW w:w="861" w:type="dxa"/>
            <w:vMerge w:val="restart"/>
          </w:tcPr>
          <w:p w14:paraId="67CA3027" w14:textId="5539EFE3" w:rsidR="00AF3004" w:rsidRDefault="008A4EFD">
            <w:pPr>
              <w:pStyle w:val="xLedtext"/>
              <w:keepNext/>
              <w:rPr>
                <w:noProof/>
              </w:rPr>
            </w:pPr>
            <w:r>
              <w:rPr>
                <w:noProof/>
                <w:sz w:val="20"/>
              </w:rPr>
              <w:drawing>
                <wp:anchor distT="0" distB="0" distL="114300" distR="114300" simplePos="0" relativeHeight="251657728" behindDoc="0" locked="0" layoutInCell="1" allowOverlap="1" wp14:anchorId="3F2E5AE8" wp14:editId="46F23722">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2A62621" w14:textId="55008779" w:rsidR="00AF3004" w:rsidRDefault="008A4EFD">
            <w:pPr>
              <w:pStyle w:val="xMellanrum"/>
            </w:pPr>
            <w:r>
              <w:rPr>
                <w:noProof/>
              </w:rPr>
              <w:drawing>
                <wp:inline distT="0" distB="0" distL="0" distR="0" wp14:anchorId="706243AE" wp14:editId="3BFC316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F7A2896" w14:textId="77777777">
        <w:trPr>
          <w:cantSplit/>
          <w:trHeight w:val="299"/>
        </w:trPr>
        <w:tc>
          <w:tcPr>
            <w:tcW w:w="861" w:type="dxa"/>
            <w:vMerge/>
          </w:tcPr>
          <w:p w14:paraId="7BFF7A6D" w14:textId="77777777" w:rsidR="00AF3004" w:rsidRDefault="00AF3004">
            <w:pPr>
              <w:pStyle w:val="xLedtext"/>
            </w:pPr>
          </w:p>
        </w:tc>
        <w:tc>
          <w:tcPr>
            <w:tcW w:w="4448" w:type="dxa"/>
            <w:vAlign w:val="bottom"/>
          </w:tcPr>
          <w:p w14:paraId="1308B0CB" w14:textId="77777777" w:rsidR="00AF3004" w:rsidRDefault="00AF3004">
            <w:pPr>
              <w:pStyle w:val="xAvsandare1"/>
            </w:pPr>
          </w:p>
        </w:tc>
        <w:tc>
          <w:tcPr>
            <w:tcW w:w="4288" w:type="dxa"/>
            <w:gridSpan w:val="2"/>
            <w:vAlign w:val="bottom"/>
          </w:tcPr>
          <w:p w14:paraId="4F7325B3" w14:textId="0F33591B" w:rsidR="00AF3004" w:rsidRDefault="008A4EFD">
            <w:pPr>
              <w:pStyle w:val="xDokTypNr"/>
            </w:pPr>
            <w:r>
              <w:t>LAGFÖRSLAG</w:t>
            </w:r>
            <w:r w:rsidR="00AF3004">
              <w:t xml:space="preserve"> nr </w:t>
            </w:r>
            <w:r w:rsidR="00DB46F7">
              <w:t>17</w:t>
            </w:r>
            <w:r w:rsidR="00AF3004">
              <w:t>/20</w:t>
            </w:r>
            <w:r w:rsidR="004F5DE7">
              <w:t>22–</w:t>
            </w:r>
            <w:r w:rsidR="00AF3004">
              <w:t>20</w:t>
            </w:r>
            <w:r w:rsidR="004F5DE7">
              <w:t>23</w:t>
            </w:r>
          </w:p>
        </w:tc>
      </w:tr>
      <w:tr w:rsidR="00AF3004" w14:paraId="7B5C0325" w14:textId="77777777">
        <w:trPr>
          <w:cantSplit/>
          <w:trHeight w:val="238"/>
        </w:trPr>
        <w:tc>
          <w:tcPr>
            <w:tcW w:w="861" w:type="dxa"/>
            <w:vMerge/>
          </w:tcPr>
          <w:p w14:paraId="5C73ACD3" w14:textId="77777777" w:rsidR="00AF3004" w:rsidRDefault="00AF3004">
            <w:pPr>
              <w:pStyle w:val="xLedtext"/>
            </w:pPr>
          </w:p>
        </w:tc>
        <w:tc>
          <w:tcPr>
            <w:tcW w:w="4448" w:type="dxa"/>
            <w:vAlign w:val="bottom"/>
          </w:tcPr>
          <w:p w14:paraId="5CBA0C8B" w14:textId="77777777" w:rsidR="00AF3004" w:rsidRDefault="00AF3004">
            <w:pPr>
              <w:pStyle w:val="xLedtext"/>
            </w:pPr>
          </w:p>
        </w:tc>
        <w:tc>
          <w:tcPr>
            <w:tcW w:w="1725" w:type="dxa"/>
            <w:vAlign w:val="bottom"/>
          </w:tcPr>
          <w:p w14:paraId="68800DEE" w14:textId="77777777" w:rsidR="00AF3004" w:rsidRDefault="00AF3004">
            <w:pPr>
              <w:pStyle w:val="xLedtext"/>
              <w:rPr>
                <w:lang w:val="de-DE"/>
              </w:rPr>
            </w:pPr>
            <w:r>
              <w:rPr>
                <w:lang w:val="de-DE"/>
              </w:rPr>
              <w:t>Datum</w:t>
            </w:r>
          </w:p>
        </w:tc>
        <w:tc>
          <w:tcPr>
            <w:tcW w:w="2563" w:type="dxa"/>
            <w:vAlign w:val="bottom"/>
          </w:tcPr>
          <w:p w14:paraId="13A350B6" w14:textId="77777777" w:rsidR="00AF3004" w:rsidRDefault="00AF3004">
            <w:pPr>
              <w:pStyle w:val="xLedtext"/>
              <w:rPr>
                <w:lang w:val="de-DE"/>
              </w:rPr>
            </w:pPr>
          </w:p>
        </w:tc>
      </w:tr>
      <w:tr w:rsidR="00AF3004" w14:paraId="7391FCC4" w14:textId="77777777">
        <w:trPr>
          <w:cantSplit/>
          <w:trHeight w:val="238"/>
        </w:trPr>
        <w:tc>
          <w:tcPr>
            <w:tcW w:w="861" w:type="dxa"/>
            <w:vMerge/>
          </w:tcPr>
          <w:p w14:paraId="13F1A904" w14:textId="77777777" w:rsidR="00AF3004" w:rsidRDefault="00AF3004">
            <w:pPr>
              <w:pStyle w:val="xAvsandare2"/>
              <w:rPr>
                <w:lang w:val="de-DE"/>
              </w:rPr>
            </w:pPr>
          </w:p>
        </w:tc>
        <w:tc>
          <w:tcPr>
            <w:tcW w:w="4448" w:type="dxa"/>
            <w:vAlign w:val="center"/>
          </w:tcPr>
          <w:p w14:paraId="38EDBA9F" w14:textId="77777777" w:rsidR="00AF3004" w:rsidRDefault="00AF3004">
            <w:pPr>
              <w:pStyle w:val="xAvsandare2"/>
              <w:rPr>
                <w:lang w:val="de-DE"/>
              </w:rPr>
            </w:pPr>
          </w:p>
        </w:tc>
        <w:tc>
          <w:tcPr>
            <w:tcW w:w="1725" w:type="dxa"/>
            <w:vAlign w:val="center"/>
          </w:tcPr>
          <w:p w14:paraId="131D3A22" w14:textId="5161EBE8" w:rsidR="00AF3004" w:rsidRDefault="00AF3004">
            <w:pPr>
              <w:pStyle w:val="xDatum1"/>
              <w:rPr>
                <w:lang w:val="de-DE"/>
              </w:rPr>
            </w:pPr>
            <w:r>
              <w:rPr>
                <w:lang w:val="de-DE"/>
              </w:rPr>
              <w:t>20</w:t>
            </w:r>
            <w:r w:rsidR="00DB46F7">
              <w:rPr>
                <w:lang w:val="de-DE"/>
              </w:rPr>
              <w:t>23</w:t>
            </w:r>
            <w:r>
              <w:rPr>
                <w:lang w:val="de-DE"/>
              </w:rPr>
              <w:t>-</w:t>
            </w:r>
            <w:r w:rsidR="00DB46F7">
              <w:rPr>
                <w:lang w:val="de-DE"/>
              </w:rPr>
              <w:t>03</w:t>
            </w:r>
            <w:r>
              <w:rPr>
                <w:lang w:val="de-DE"/>
              </w:rPr>
              <w:t>-</w:t>
            </w:r>
            <w:r w:rsidR="00DB46F7">
              <w:rPr>
                <w:lang w:val="de-DE"/>
              </w:rPr>
              <w:t>16</w:t>
            </w:r>
          </w:p>
        </w:tc>
        <w:tc>
          <w:tcPr>
            <w:tcW w:w="2563" w:type="dxa"/>
            <w:vAlign w:val="center"/>
          </w:tcPr>
          <w:p w14:paraId="634BF20E" w14:textId="77777777" w:rsidR="00AF3004" w:rsidRDefault="00AF3004">
            <w:pPr>
              <w:pStyle w:val="xBeteckning1"/>
              <w:rPr>
                <w:lang w:val="de-DE"/>
              </w:rPr>
            </w:pPr>
          </w:p>
        </w:tc>
      </w:tr>
      <w:tr w:rsidR="00AF3004" w14:paraId="04CAEBDC" w14:textId="77777777">
        <w:trPr>
          <w:cantSplit/>
          <w:trHeight w:val="238"/>
        </w:trPr>
        <w:tc>
          <w:tcPr>
            <w:tcW w:w="861" w:type="dxa"/>
            <w:vMerge/>
          </w:tcPr>
          <w:p w14:paraId="429AEACE" w14:textId="77777777" w:rsidR="00AF3004" w:rsidRDefault="00AF3004">
            <w:pPr>
              <w:pStyle w:val="xLedtext"/>
              <w:rPr>
                <w:lang w:val="de-DE"/>
              </w:rPr>
            </w:pPr>
          </w:p>
        </w:tc>
        <w:tc>
          <w:tcPr>
            <w:tcW w:w="4448" w:type="dxa"/>
            <w:vAlign w:val="bottom"/>
          </w:tcPr>
          <w:p w14:paraId="4C2EC790" w14:textId="77777777" w:rsidR="00AF3004" w:rsidRDefault="00AF3004">
            <w:pPr>
              <w:pStyle w:val="xLedtext"/>
              <w:rPr>
                <w:lang w:val="de-DE"/>
              </w:rPr>
            </w:pPr>
          </w:p>
        </w:tc>
        <w:tc>
          <w:tcPr>
            <w:tcW w:w="1725" w:type="dxa"/>
            <w:vAlign w:val="bottom"/>
          </w:tcPr>
          <w:p w14:paraId="39AABA47" w14:textId="77777777" w:rsidR="00AF3004" w:rsidRDefault="00AF3004">
            <w:pPr>
              <w:pStyle w:val="xLedtext"/>
              <w:rPr>
                <w:lang w:val="de-DE"/>
              </w:rPr>
            </w:pPr>
          </w:p>
        </w:tc>
        <w:tc>
          <w:tcPr>
            <w:tcW w:w="2563" w:type="dxa"/>
            <w:vAlign w:val="bottom"/>
          </w:tcPr>
          <w:p w14:paraId="65B8FCE6" w14:textId="77777777" w:rsidR="00AF3004" w:rsidRDefault="00AF3004">
            <w:pPr>
              <w:pStyle w:val="xLedtext"/>
              <w:rPr>
                <w:lang w:val="de-DE"/>
              </w:rPr>
            </w:pPr>
          </w:p>
        </w:tc>
      </w:tr>
      <w:tr w:rsidR="00AF3004" w14:paraId="590C5C3B" w14:textId="77777777">
        <w:trPr>
          <w:cantSplit/>
          <w:trHeight w:val="238"/>
        </w:trPr>
        <w:tc>
          <w:tcPr>
            <w:tcW w:w="861" w:type="dxa"/>
            <w:vMerge/>
            <w:tcBorders>
              <w:bottom w:val="single" w:sz="4" w:space="0" w:color="auto"/>
            </w:tcBorders>
          </w:tcPr>
          <w:p w14:paraId="77C70466" w14:textId="77777777" w:rsidR="00AF3004" w:rsidRDefault="00AF3004">
            <w:pPr>
              <w:pStyle w:val="xAvsandare3"/>
              <w:rPr>
                <w:lang w:val="de-DE"/>
              </w:rPr>
            </w:pPr>
          </w:p>
        </w:tc>
        <w:tc>
          <w:tcPr>
            <w:tcW w:w="4448" w:type="dxa"/>
            <w:tcBorders>
              <w:bottom w:val="single" w:sz="4" w:space="0" w:color="auto"/>
            </w:tcBorders>
            <w:vAlign w:val="center"/>
          </w:tcPr>
          <w:p w14:paraId="2900C713" w14:textId="77777777" w:rsidR="00AF3004" w:rsidRDefault="00AF3004">
            <w:pPr>
              <w:pStyle w:val="xAvsandare3"/>
              <w:rPr>
                <w:lang w:val="de-DE"/>
              </w:rPr>
            </w:pPr>
          </w:p>
        </w:tc>
        <w:tc>
          <w:tcPr>
            <w:tcW w:w="1725" w:type="dxa"/>
            <w:tcBorders>
              <w:bottom w:val="single" w:sz="4" w:space="0" w:color="auto"/>
            </w:tcBorders>
            <w:vAlign w:val="center"/>
          </w:tcPr>
          <w:p w14:paraId="1DE1EDDC" w14:textId="77777777" w:rsidR="00AF3004" w:rsidRDefault="00AF3004">
            <w:pPr>
              <w:pStyle w:val="xDatum2"/>
              <w:rPr>
                <w:lang w:val="de-DE"/>
              </w:rPr>
            </w:pPr>
          </w:p>
        </w:tc>
        <w:tc>
          <w:tcPr>
            <w:tcW w:w="2563" w:type="dxa"/>
            <w:tcBorders>
              <w:bottom w:val="single" w:sz="4" w:space="0" w:color="auto"/>
            </w:tcBorders>
            <w:vAlign w:val="center"/>
          </w:tcPr>
          <w:p w14:paraId="7F6ECF1C" w14:textId="77777777" w:rsidR="00AF3004" w:rsidRDefault="00AF3004">
            <w:pPr>
              <w:pStyle w:val="xBeteckning2"/>
              <w:rPr>
                <w:lang w:val="de-DE"/>
              </w:rPr>
            </w:pPr>
          </w:p>
        </w:tc>
      </w:tr>
      <w:tr w:rsidR="00AF3004" w14:paraId="06E25F43" w14:textId="77777777">
        <w:trPr>
          <w:cantSplit/>
          <w:trHeight w:val="238"/>
        </w:trPr>
        <w:tc>
          <w:tcPr>
            <w:tcW w:w="861" w:type="dxa"/>
            <w:tcBorders>
              <w:top w:val="single" w:sz="4" w:space="0" w:color="auto"/>
            </w:tcBorders>
            <w:vAlign w:val="bottom"/>
          </w:tcPr>
          <w:p w14:paraId="4A3B3566" w14:textId="77777777" w:rsidR="00AF3004" w:rsidRDefault="00AF3004">
            <w:pPr>
              <w:pStyle w:val="xLedtext"/>
              <w:rPr>
                <w:lang w:val="de-DE"/>
              </w:rPr>
            </w:pPr>
          </w:p>
        </w:tc>
        <w:tc>
          <w:tcPr>
            <w:tcW w:w="4448" w:type="dxa"/>
            <w:tcBorders>
              <w:top w:val="single" w:sz="4" w:space="0" w:color="auto"/>
            </w:tcBorders>
            <w:vAlign w:val="bottom"/>
          </w:tcPr>
          <w:p w14:paraId="5C7C6E75" w14:textId="77777777" w:rsidR="00AF3004" w:rsidRDefault="00AF3004">
            <w:pPr>
              <w:pStyle w:val="xLedtext"/>
              <w:rPr>
                <w:lang w:val="de-DE"/>
              </w:rPr>
            </w:pPr>
          </w:p>
        </w:tc>
        <w:tc>
          <w:tcPr>
            <w:tcW w:w="4288" w:type="dxa"/>
            <w:gridSpan w:val="2"/>
            <w:tcBorders>
              <w:top w:val="single" w:sz="4" w:space="0" w:color="auto"/>
            </w:tcBorders>
            <w:vAlign w:val="bottom"/>
          </w:tcPr>
          <w:p w14:paraId="2CA667A1" w14:textId="77777777" w:rsidR="00AF3004" w:rsidRDefault="00AF3004">
            <w:pPr>
              <w:pStyle w:val="xLedtext"/>
              <w:rPr>
                <w:lang w:val="de-DE"/>
              </w:rPr>
            </w:pPr>
          </w:p>
        </w:tc>
      </w:tr>
      <w:tr w:rsidR="00AF3004" w14:paraId="7189AF62" w14:textId="77777777">
        <w:trPr>
          <w:cantSplit/>
          <w:trHeight w:val="238"/>
        </w:trPr>
        <w:tc>
          <w:tcPr>
            <w:tcW w:w="861" w:type="dxa"/>
          </w:tcPr>
          <w:p w14:paraId="356D43AA" w14:textId="77777777" w:rsidR="00AF3004" w:rsidRDefault="00AF3004">
            <w:pPr>
              <w:pStyle w:val="xCelltext"/>
              <w:rPr>
                <w:lang w:val="de-DE"/>
              </w:rPr>
            </w:pPr>
          </w:p>
        </w:tc>
        <w:tc>
          <w:tcPr>
            <w:tcW w:w="4448" w:type="dxa"/>
            <w:vMerge w:val="restart"/>
          </w:tcPr>
          <w:p w14:paraId="3BC99EAF" w14:textId="77777777" w:rsidR="00AF3004" w:rsidRDefault="00AF3004">
            <w:pPr>
              <w:pStyle w:val="xMottagare1"/>
            </w:pPr>
            <w:bookmarkStart w:id="0" w:name="_top"/>
            <w:bookmarkEnd w:id="0"/>
            <w:r>
              <w:t>Till Ålands lagting</w:t>
            </w:r>
          </w:p>
        </w:tc>
        <w:tc>
          <w:tcPr>
            <w:tcW w:w="4288" w:type="dxa"/>
            <w:gridSpan w:val="2"/>
            <w:vMerge w:val="restart"/>
          </w:tcPr>
          <w:p w14:paraId="40D975D1" w14:textId="136751CC" w:rsidR="00B5582A" w:rsidRPr="00B5582A" w:rsidRDefault="00B5582A" w:rsidP="00B3229E">
            <w:pPr>
              <w:pStyle w:val="xMottagare3"/>
              <w:rPr>
                <w:b/>
                <w:bCs/>
              </w:rPr>
            </w:pPr>
          </w:p>
        </w:tc>
      </w:tr>
      <w:tr w:rsidR="00AF3004" w14:paraId="67011284" w14:textId="77777777">
        <w:trPr>
          <w:cantSplit/>
          <w:trHeight w:val="238"/>
        </w:trPr>
        <w:tc>
          <w:tcPr>
            <w:tcW w:w="861" w:type="dxa"/>
          </w:tcPr>
          <w:p w14:paraId="4A1A4859" w14:textId="77777777" w:rsidR="00AF3004" w:rsidRDefault="00AF3004">
            <w:pPr>
              <w:pStyle w:val="xCelltext"/>
            </w:pPr>
          </w:p>
        </w:tc>
        <w:tc>
          <w:tcPr>
            <w:tcW w:w="4448" w:type="dxa"/>
            <w:vMerge/>
            <w:vAlign w:val="center"/>
          </w:tcPr>
          <w:p w14:paraId="6D566103" w14:textId="77777777" w:rsidR="00AF3004" w:rsidRDefault="00AF3004">
            <w:pPr>
              <w:pStyle w:val="xCelltext"/>
            </w:pPr>
          </w:p>
        </w:tc>
        <w:tc>
          <w:tcPr>
            <w:tcW w:w="4288" w:type="dxa"/>
            <w:gridSpan w:val="2"/>
            <w:vMerge/>
            <w:vAlign w:val="center"/>
          </w:tcPr>
          <w:p w14:paraId="25D49266" w14:textId="77777777" w:rsidR="00AF3004" w:rsidRDefault="00AF3004">
            <w:pPr>
              <w:pStyle w:val="xCelltext"/>
            </w:pPr>
          </w:p>
        </w:tc>
      </w:tr>
      <w:tr w:rsidR="00AF3004" w14:paraId="1B51F6C5" w14:textId="77777777">
        <w:trPr>
          <w:cantSplit/>
          <w:trHeight w:val="238"/>
        </w:trPr>
        <w:tc>
          <w:tcPr>
            <w:tcW w:w="861" w:type="dxa"/>
          </w:tcPr>
          <w:p w14:paraId="2F304C63" w14:textId="77777777" w:rsidR="00AF3004" w:rsidRDefault="00AF3004">
            <w:pPr>
              <w:pStyle w:val="xCelltext"/>
            </w:pPr>
          </w:p>
        </w:tc>
        <w:tc>
          <w:tcPr>
            <w:tcW w:w="4448" w:type="dxa"/>
            <w:vMerge/>
            <w:vAlign w:val="center"/>
          </w:tcPr>
          <w:p w14:paraId="6AEF4429" w14:textId="77777777" w:rsidR="00AF3004" w:rsidRDefault="00AF3004">
            <w:pPr>
              <w:pStyle w:val="xCelltext"/>
            </w:pPr>
          </w:p>
        </w:tc>
        <w:tc>
          <w:tcPr>
            <w:tcW w:w="4288" w:type="dxa"/>
            <w:gridSpan w:val="2"/>
            <w:vMerge/>
            <w:vAlign w:val="center"/>
          </w:tcPr>
          <w:p w14:paraId="7816BCB2" w14:textId="77777777" w:rsidR="00AF3004" w:rsidRDefault="00AF3004">
            <w:pPr>
              <w:pStyle w:val="xCelltext"/>
            </w:pPr>
          </w:p>
        </w:tc>
      </w:tr>
      <w:tr w:rsidR="00AF3004" w14:paraId="0DD68FD0" w14:textId="77777777">
        <w:trPr>
          <w:cantSplit/>
          <w:trHeight w:val="238"/>
        </w:trPr>
        <w:tc>
          <w:tcPr>
            <w:tcW w:w="861" w:type="dxa"/>
          </w:tcPr>
          <w:p w14:paraId="3274B204" w14:textId="77777777" w:rsidR="00AF3004" w:rsidRDefault="00AF3004">
            <w:pPr>
              <w:pStyle w:val="xCelltext"/>
            </w:pPr>
          </w:p>
        </w:tc>
        <w:tc>
          <w:tcPr>
            <w:tcW w:w="4448" w:type="dxa"/>
            <w:vMerge/>
            <w:vAlign w:val="center"/>
          </w:tcPr>
          <w:p w14:paraId="41DE241C" w14:textId="77777777" w:rsidR="00AF3004" w:rsidRDefault="00AF3004">
            <w:pPr>
              <w:pStyle w:val="xCelltext"/>
            </w:pPr>
          </w:p>
        </w:tc>
        <w:tc>
          <w:tcPr>
            <w:tcW w:w="4288" w:type="dxa"/>
            <w:gridSpan w:val="2"/>
            <w:vMerge/>
            <w:vAlign w:val="center"/>
          </w:tcPr>
          <w:p w14:paraId="021C2C27" w14:textId="77777777" w:rsidR="00AF3004" w:rsidRDefault="00AF3004">
            <w:pPr>
              <w:pStyle w:val="xCelltext"/>
            </w:pPr>
          </w:p>
        </w:tc>
      </w:tr>
      <w:tr w:rsidR="00AF3004" w14:paraId="0D1BFF02" w14:textId="77777777">
        <w:trPr>
          <w:cantSplit/>
          <w:trHeight w:val="238"/>
        </w:trPr>
        <w:tc>
          <w:tcPr>
            <w:tcW w:w="861" w:type="dxa"/>
          </w:tcPr>
          <w:p w14:paraId="7B57E884" w14:textId="77777777" w:rsidR="00AF3004" w:rsidRDefault="00AF3004">
            <w:pPr>
              <w:pStyle w:val="xCelltext"/>
            </w:pPr>
          </w:p>
        </w:tc>
        <w:tc>
          <w:tcPr>
            <w:tcW w:w="4448" w:type="dxa"/>
            <w:vMerge/>
            <w:vAlign w:val="center"/>
          </w:tcPr>
          <w:p w14:paraId="76800B82" w14:textId="77777777" w:rsidR="00AF3004" w:rsidRDefault="00AF3004">
            <w:pPr>
              <w:pStyle w:val="xCelltext"/>
            </w:pPr>
          </w:p>
        </w:tc>
        <w:tc>
          <w:tcPr>
            <w:tcW w:w="4288" w:type="dxa"/>
            <w:gridSpan w:val="2"/>
            <w:vMerge/>
            <w:vAlign w:val="center"/>
          </w:tcPr>
          <w:p w14:paraId="2946684C" w14:textId="77777777" w:rsidR="00AF3004" w:rsidRDefault="00AF3004">
            <w:pPr>
              <w:pStyle w:val="xCelltext"/>
            </w:pPr>
          </w:p>
        </w:tc>
      </w:tr>
    </w:tbl>
    <w:p w14:paraId="0612A993"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5002893" w14:textId="771F0A72" w:rsidR="00AF3004" w:rsidRDefault="004F5DE7">
      <w:pPr>
        <w:pStyle w:val="ArendeRubrik"/>
      </w:pPr>
      <w:r>
        <w:t>Ändring</w:t>
      </w:r>
      <w:r w:rsidR="00735813">
        <w:t>ar</w:t>
      </w:r>
      <w:r w:rsidR="0071778D">
        <w:t xml:space="preserve"> </w:t>
      </w:r>
      <w:r w:rsidR="00735813">
        <w:t>i</w:t>
      </w:r>
      <w:r w:rsidR="0071778D">
        <w:t xml:space="preserve"> </w:t>
      </w:r>
      <w:r>
        <w:t>beskattningen</w:t>
      </w:r>
      <w:r w:rsidR="008603B7">
        <w:t xml:space="preserve"> </w:t>
      </w:r>
      <w:r w:rsidR="00735813">
        <w:t>av</w:t>
      </w:r>
      <w:r w:rsidR="001B5443">
        <w:t xml:space="preserve"> företag, </w:t>
      </w:r>
      <w:r w:rsidR="008603B7">
        <w:t>näringsidkare och jordbrukare</w:t>
      </w:r>
    </w:p>
    <w:p w14:paraId="42213D69" w14:textId="77777777" w:rsidR="00AF3004" w:rsidRDefault="00AF3004">
      <w:pPr>
        <w:pStyle w:val="ANormal"/>
      </w:pPr>
    </w:p>
    <w:p w14:paraId="103DACDB" w14:textId="77777777" w:rsidR="00AF3004" w:rsidRDefault="00AF3004">
      <w:pPr>
        <w:pStyle w:val="ANormal"/>
      </w:pPr>
    </w:p>
    <w:p w14:paraId="291CFA84" w14:textId="77777777" w:rsidR="00AF3004" w:rsidRDefault="00AF3004">
      <w:pPr>
        <w:pStyle w:val="RubrikA"/>
      </w:pPr>
      <w:bookmarkStart w:id="1" w:name="_Toc129771240"/>
      <w:r>
        <w:t>Huvudsakligt innehåll</w:t>
      </w:r>
      <w:bookmarkEnd w:id="1"/>
    </w:p>
    <w:p w14:paraId="57C37331" w14:textId="77777777" w:rsidR="00AF3004" w:rsidRDefault="00AF3004">
      <w:pPr>
        <w:pStyle w:val="Rubrikmellanrum"/>
      </w:pPr>
    </w:p>
    <w:p w14:paraId="68779314" w14:textId="7BC0421F" w:rsidR="00E31AE5" w:rsidRDefault="00133A40" w:rsidP="00133A40">
      <w:pPr>
        <w:pStyle w:val="ANormal"/>
      </w:pPr>
      <w:r>
        <w:t xml:space="preserve">Landskapsregeringen föreslår att kommunalskattesatserna för samfund och samfällda förmåner ändras från och med skatteåret 2023. Förslaget motiveras av att fördelningen av samfundsskatten mellan staten och kommunerna ändras i riket. </w:t>
      </w:r>
      <w:r w:rsidR="00E31AE5">
        <w:t>Kommunernas andel sänks till följd av att finansieringsansvaret för hälso- och sjukvården överfördes från kommunerna i riket till staten vid ingången av 2023. Samtidigt höjs andelen på grund av andra åtgärder som sänker kommunernas intäkter och höjer deras kostnader. Slutligen justeras andelen också med hänvisning till att de lagar om skattelättnader som nämns nedan bedöms påverka kommunernas skatteintäkter.</w:t>
      </w:r>
      <w:r w:rsidR="00E31AE5" w:rsidRPr="00E31AE5">
        <w:t xml:space="preserve"> </w:t>
      </w:r>
      <w:r w:rsidR="00E31AE5">
        <w:t>Landskapsregeringens förslag innebär att de totala skattesatserna för samfund och samfällda förmåner förblir oförändrade, det vill säga 20 respektive 26,5 </w:t>
      </w:r>
      <w:r w:rsidR="00E31AE5" w:rsidRPr="006136BD">
        <w:t>procent.</w:t>
      </w:r>
    </w:p>
    <w:p w14:paraId="59D66CA0" w14:textId="7949DB67" w:rsidR="00F35484" w:rsidRDefault="00133A40">
      <w:pPr>
        <w:pStyle w:val="ANormal"/>
      </w:pPr>
      <w:r>
        <w:tab/>
      </w:r>
      <w:r w:rsidR="00F35484">
        <w:t xml:space="preserve">Landskapsregeringen föreslår </w:t>
      </w:r>
      <w:r>
        <w:t xml:space="preserve">också </w:t>
      </w:r>
      <w:r w:rsidR="00F35484">
        <w:t>att en lag om tilläggsavdrag baserade på utgifter för forsknings- och utvecklingsverksamhet i beskattningen görs tillämplig vid kommunalbeskattningen genom en blankettlag. Enligt lagen får skattskyldiga som bedriver näringsverksamhet eller jordbruk rätt att göra ett allmänt tilläggsavdrag baserat på löneutgifter och utgifter för köpta tjänster för forsknings- och utvecklingsverksamhet. Avdraget</w:t>
      </w:r>
      <w:r w:rsidR="005E5107">
        <w:t>s belopp motsvarar</w:t>
      </w:r>
      <w:r w:rsidR="00F35484">
        <w:t xml:space="preserve"> 50 procent av de nämnda utgifterna och får vara högst 500 000 euro per skatteår. </w:t>
      </w:r>
      <w:r w:rsidR="005E5107">
        <w:t>D</w:t>
      </w:r>
      <w:r w:rsidR="00F35484">
        <w:t>et</w:t>
      </w:r>
      <w:r w:rsidR="005E5107">
        <w:t xml:space="preserve"> är</w:t>
      </w:r>
      <w:r w:rsidR="00F35484">
        <w:t xml:space="preserve"> enligt lagen </w:t>
      </w:r>
      <w:r w:rsidR="005E5107">
        <w:t xml:space="preserve">också </w:t>
      </w:r>
      <w:r w:rsidR="00F35484">
        <w:t xml:space="preserve">möjligt att göra ett extra tilläggsavdrag baserat på ökningen av utgifterna för forsknings- och utvecklingsverksamheten. </w:t>
      </w:r>
      <w:r w:rsidR="005E5107">
        <w:t>Beloppet för det</w:t>
      </w:r>
      <w:r w:rsidR="00F35484">
        <w:t xml:space="preserve"> extra tilläggsavdraget </w:t>
      </w:r>
      <w:r w:rsidR="005E5107">
        <w:t>motsvarar</w:t>
      </w:r>
      <w:r w:rsidR="00F35484">
        <w:t xml:space="preserve"> 45 </w:t>
      </w:r>
      <w:r w:rsidR="00F35484" w:rsidRPr="006136BD">
        <w:t>procent</w:t>
      </w:r>
      <w:r w:rsidR="005E5107">
        <w:t xml:space="preserve"> av utgifterna och får vara högst 500 000 euro. Den föreslagna lagen är avsedd att tillämpas parallellt med landskapslagen </w:t>
      </w:r>
      <w:r w:rsidR="005E5107" w:rsidRPr="00651A25">
        <w:t>om tilläggsavdrag för forsknings- och utvecklingsverksamhet under skatteåren 2021–2025</w:t>
      </w:r>
      <w:r w:rsidR="005E5107">
        <w:t>. Det kommer dock inte att vara möjligt att göra avdrag för samma utgifter enligt båda lagar.</w:t>
      </w:r>
    </w:p>
    <w:p w14:paraId="00270575" w14:textId="7FDD8E0E" w:rsidR="00AF3004" w:rsidRDefault="00F35484">
      <w:pPr>
        <w:pStyle w:val="ANormal"/>
      </w:pPr>
      <w:r>
        <w:tab/>
      </w:r>
      <w:r w:rsidR="002A71FE" w:rsidRPr="00CF2629">
        <w:t xml:space="preserve">Landskapsregeringen föreslår </w:t>
      </w:r>
      <w:r>
        <w:t xml:space="preserve">också </w:t>
      </w:r>
      <w:r w:rsidR="002A71FE" w:rsidRPr="00CF2629">
        <w:t xml:space="preserve">att </w:t>
      </w:r>
      <w:r w:rsidR="002A71FE">
        <w:t>giltighetstiden för blankettlagen om skattelättnader vid kommunalbeskattningen för skatteåren 2021–2023 förlängs så att den tillämpas till och med skatteåret 2025. Förslaget motiveras av att rätten till höjda avskrivningar på maskiner, inventarier och andra lösa anläggningstillgångar som används i näringsverksamhet eller jordbruk enligt rikslagstiftning</w:t>
      </w:r>
      <w:r w:rsidR="00A31839">
        <w:t>en</w:t>
      </w:r>
      <w:r w:rsidR="002A71FE">
        <w:t xml:space="preserve"> utsträcks till att gälla till och med skatteåret 2025.</w:t>
      </w:r>
    </w:p>
    <w:p w14:paraId="74090722" w14:textId="719FB9A0" w:rsidR="00AF3004" w:rsidRDefault="00FD3266">
      <w:pPr>
        <w:pStyle w:val="ANormal"/>
      </w:pPr>
      <w:r w:rsidRPr="00CF2629">
        <w:tab/>
      </w:r>
      <w:r w:rsidR="004D3FB8">
        <w:t xml:space="preserve">Till den del förslaget gäller </w:t>
      </w:r>
      <w:r w:rsidR="000543E7">
        <w:t xml:space="preserve">det allmänna tilläggsavdraget baserat på utgifter för forsknings- och utvecklingsverksamhet samt </w:t>
      </w:r>
      <w:r w:rsidR="004D3FB8">
        <w:t>kommunalskattesatserna för samfund och samfällda förmåner för skatteåret 2023</w:t>
      </w:r>
      <w:r w:rsidRPr="00CF2629">
        <w:t xml:space="preserve"> är</w:t>
      </w:r>
      <w:r w:rsidR="004D3FB8">
        <w:t xml:space="preserve"> det</w:t>
      </w:r>
      <w:r w:rsidRPr="00CF2629">
        <w:t xml:space="preserve"> avse</w:t>
      </w:r>
      <w:r w:rsidR="004D3FB8">
        <w:t>tt</w:t>
      </w:r>
      <w:r w:rsidRPr="00CF2629">
        <w:t xml:space="preserve"> att tillämpas från och med beskattningen för </w:t>
      </w:r>
      <w:r w:rsidR="009D258B">
        <w:t>detta skatteår</w:t>
      </w:r>
      <w:r w:rsidRPr="00CF2629">
        <w:t xml:space="preserve"> </w:t>
      </w:r>
      <w:r w:rsidR="009D258B">
        <w:t>och</w:t>
      </w:r>
      <w:r w:rsidRPr="00CF2629">
        <w:t xml:space="preserve"> bör således träda i kraft så snart som möjligt.</w:t>
      </w:r>
    </w:p>
    <w:p w14:paraId="196394F2" w14:textId="77777777" w:rsidR="00AF3004" w:rsidRDefault="00B3499C">
      <w:pPr>
        <w:pStyle w:val="ANormal"/>
        <w:jc w:val="center"/>
      </w:pPr>
      <w:hyperlink w:anchor="_top" w:tooltip="Klicka för att gå till toppen av dokumentet" w:history="1">
        <w:r w:rsidR="00AF3004">
          <w:rPr>
            <w:rStyle w:val="Hyperlnk"/>
          </w:rPr>
          <w:t>__________________</w:t>
        </w:r>
      </w:hyperlink>
    </w:p>
    <w:p w14:paraId="24470BDC" w14:textId="77777777" w:rsidR="00AF3004" w:rsidRDefault="00AF3004">
      <w:pPr>
        <w:pStyle w:val="ANormal"/>
      </w:pPr>
      <w:r>
        <w:br w:type="page"/>
      </w:r>
    </w:p>
    <w:p w14:paraId="549EB0D7" w14:textId="77777777" w:rsidR="00AF3004" w:rsidRDefault="00AF3004">
      <w:pPr>
        <w:pStyle w:val="Innehll1"/>
      </w:pPr>
      <w:r>
        <w:lastRenderedPageBreak/>
        <w:t>INNEHÅLL</w:t>
      </w:r>
    </w:p>
    <w:p w14:paraId="4EA0A5DF" w14:textId="12A8FA61" w:rsidR="00472C58"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9771240" w:history="1">
        <w:r w:rsidR="00472C58" w:rsidRPr="003C1511">
          <w:rPr>
            <w:rStyle w:val="Hyperlnk"/>
          </w:rPr>
          <w:t>Huvudsakligt innehåll</w:t>
        </w:r>
        <w:r w:rsidR="00472C58">
          <w:rPr>
            <w:webHidden/>
          </w:rPr>
          <w:tab/>
        </w:r>
        <w:r w:rsidR="00472C58">
          <w:rPr>
            <w:webHidden/>
          </w:rPr>
          <w:fldChar w:fldCharType="begin"/>
        </w:r>
        <w:r w:rsidR="00472C58">
          <w:rPr>
            <w:webHidden/>
          </w:rPr>
          <w:instrText xml:space="preserve"> PAGEREF _Toc129771240 \h </w:instrText>
        </w:r>
        <w:r w:rsidR="00472C58">
          <w:rPr>
            <w:webHidden/>
          </w:rPr>
        </w:r>
        <w:r w:rsidR="00472C58">
          <w:rPr>
            <w:webHidden/>
          </w:rPr>
          <w:fldChar w:fldCharType="separate"/>
        </w:r>
        <w:r w:rsidR="00472C58">
          <w:rPr>
            <w:webHidden/>
          </w:rPr>
          <w:t>1</w:t>
        </w:r>
        <w:r w:rsidR="00472C58">
          <w:rPr>
            <w:webHidden/>
          </w:rPr>
          <w:fldChar w:fldCharType="end"/>
        </w:r>
      </w:hyperlink>
    </w:p>
    <w:p w14:paraId="04082A8A" w14:textId="07F1FB59" w:rsidR="00472C58" w:rsidRDefault="00B3499C">
      <w:pPr>
        <w:pStyle w:val="Innehll1"/>
        <w:rPr>
          <w:rFonts w:asciiTheme="minorHAnsi" w:eastAsiaTheme="minorEastAsia" w:hAnsiTheme="minorHAnsi" w:cstheme="minorBidi"/>
          <w:sz w:val="22"/>
          <w:szCs w:val="22"/>
          <w:lang w:val="sv-FI" w:eastAsia="sv-FI"/>
        </w:rPr>
      </w:pPr>
      <w:hyperlink w:anchor="_Toc129771241" w:history="1">
        <w:r w:rsidR="00472C58" w:rsidRPr="003C1511">
          <w:rPr>
            <w:rStyle w:val="Hyperlnk"/>
          </w:rPr>
          <w:t>Allmän motivering</w:t>
        </w:r>
        <w:r w:rsidR="00472C58">
          <w:rPr>
            <w:webHidden/>
          </w:rPr>
          <w:tab/>
        </w:r>
        <w:r w:rsidR="00472C58">
          <w:rPr>
            <w:webHidden/>
          </w:rPr>
          <w:fldChar w:fldCharType="begin"/>
        </w:r>
        <w:r w:rsidR="00472C58">
          <w:rPr>
            <w:webHidden/>
          </w:rPr>
          <w:instrText xml:space="preserve"> PAGEREF _Toc129771241 \h </w:instrText>
        </w:r>
        <w:r w:rsidR="00472C58">
          <w:rPr>
            <w:webHidden/>
          </w:rPr>
        </w:r>
        <w:r w:rsidR="00472C58">
          <w:rPr>
            <w:webHidden/>
          </w:rPr>
          <w:fldChar w:fldCharType="separate"/>
        </w:r>
        <w:r w:rsidR="00472C58">
          <w:rPr>
            <w:webHidden/>
          </w:rPr>
          <w:t>3</w:t>
        </w:r>
        <w:r w:rsidR="00472C58">
          <w:rPr>
            <w:webHidden/>
          </w:rPr>
          <w:fldChar w:fldCharType="end"/>
        </w:r>
      </w:hyperlink>
    </w:p>
    <w:p w14:paraId="4854B165" w14:textId="63605C26" w:rsidR="00472C58" w:rsidRDefault="00B3499C">
      <w:pPr>
        <w:pStyle w:val="Innehll2"/>
        <w:rPr>
          <w:rFonts w:asciiTheme="minorHAnsi" w:eastAsiaTheme="minorEastAsia" w:hAnsiTheme="minorHAnsi" w:cstheme="minorBidi"/>
          <w:sz w:val="22"/>
          <w:szCs w:val="22"/>
          <w:lang w:val="sv-FI" w:eastAsia="sv-FI"/>
        </w:rPr>
      </w:pPr>
      <w:hyperlink w:anchor="_Toc129771242" w:history="1">
        <w:r w:rsidR="00472C58" w:rsidRPr="003C1511">
          <w:rPr>
            <w:rStyle w:val="Hyperlnk"/>
          </w:rPr>
          <w:t>1. Bakgrund</w:t>
        </w:r>
        <w:r w:rsidR="00472C58">
          <w:rPr>
            <w:webHidden/>
          </w:rPr>
          <w:tab/>
        </w:r>
        <w:r w:rsidR="00472C58">
          <w:rPr>
            <w:webHidden/>
          </w:rPr>
          <w:fldChar w:fldCharType="begin"/>
        </w:r>
        <w:r w:rsidR="00472C58">
          <w:rPr>
            <w:webHidden/>
          </w:rPr>
          <w:instrText xml:space="preserve"> PAGEREF _Toc129771242 \h </w:instrText>
        </w:r>
        <w:r w:rsidR="00472C58">
          <w:rPr>
            <w:webHidden/>
          </w:rPr>
        </w:r>
        <w:r w:rsidR="00472C58">
          <w:rPr>
            <w:webHidden/>
          </w:rPr>
          <w:fldChar w:fldCharType="separate"/>
        </w:r>
        <w:r w:rsidR="00472C58">
          <w:rPr>
            <w:webHidden/>
          </w:rPr>
          <w:t>3</w:t>
        </w:r>
        <w:r w:rsidR="00472C58">
          <w:rPr>
            <w:webHidden/>
          </w:rPr>
          <w:fldChar w:fldCharType="end"/>
        </w:r>
      </w:hyperlink>
    </w:p>
    <w:p w14:paraId="7426518B" w14:textId="7ED0CC07" w:rsidR="00472C58" w:rsidRDefault="00B3499C">
      <w:pPr>
        <w:pStyle w:val="Innehll3"/>
        <w:rPr>
          <w:rFonts w:asciiTheme="minorHAnsi" w:eastAsiaTheme="minorEastAsia" w:hAnsiTheme="minorHAnsi" w:cstheme="minorBidi"/>
          <w:sz w:val="22"/>
          <w:szCs w:val="22"/>
          <w:lang w:val="sv-FI" w:eastAsia="sv-FI"/>
        </w:rPr>
      </w:pPr>
      <w:hyperlink w:anchor="_Toc129771243" w:history="1">
        <w:r w:rsidR="00472C58" w:rsidRPr="003C1511">
          <w:rPr>
            <w:rStyle w:val="Hyperlnk"/>
          </w:rPr>
          <w:t>1.1 Gällande landskapslagstiftning</w:t>
        </w:r>
        <w:r w:rsidR="00472C58">
          <w:rPr>
            <w:webHidden/>
          </w:rPr>
          <w:tab/>
        </w:r>
        <w:r w:rsidR="00472C58">
          <w:rPr>
            <w:webHidden/>
          </w:rPr>
          <w:fldChar w:fldCharType="begin"/>
        </w:r>
        <w:r w:rsidR="00472C58">
          <w:rPr>
            <w:webHidden/>
          </w:rPr>
          <w:instrText xml:space="preserve"> PAGEREF _Toc129771243 \h </w:instrText>
        </w:r>
        <w:r w:rsidR="00472C58">
          <w:rPr>
            <w:webHidden/>
          </w:rPr>
        </w:r>
        <w:r w:rsidR="00472C58">
          <w:rPr>
            <w:webHidden/>
          </w:rPr>
          <w:fldChar w:fldCharType="separate"/>
        </w:r>
        <w:r w:rsidR="00472C58">
          <w:rPr>
            <w:webHidden/>
          </w:rPr>
          <w:t>3</w:t>
        </w:r>
        <w:r w:rsidR="00472C58">
          <w:rPr>
            <w:webHidden/>
          </w:rPr>
          <w:fldChar w:fldCharType="end"/>
        </w:r>
      </w:hyperlink>
    </w:p>
    <w:p w14:paraId="7D134A3D" w14:textId="7CFEF875" w:rsidR="00472C58" w:rsidRDefault="00B3499C">
      <w:pPr>
        <w:pStyle w:val="Innehll3"/>
        <w:rPr>
          <w:rFonts w:asciiTheme="minorHAnsi" w:eastAsiaTheme="minorEastAsia" w:hAnsiTheme="minorHAnsi" w:cstheme="minorBidi"/>
          <w:sz w:val="22"/>
          <w:szCs w:val="22"/>
          <w:lang w:val="sv-FI" w:eastAsia="sv-FI"/>
        </w:rPr>
      </w:pPr>
      <w:hyperlink w:anchor="_Toc129771244" w:history="1">
        <w:r w:rsidR="00472C58" w:rsidRPr="003C1511">
          <w:rPr>
            <w:rStyle w:val="Hyperlnk"/>
          </w:rPr>
          <w:t>1.2 Åtgärder som vidtagits i riket inför skatteåret 2023</w:t>
        </w:r>
        <w:r w:rsidR="00472C58">
          <w:rPr>
            <w:webHidden/>
          </w:rPr>
          <w:tab/>
        </w:r>
        <w:r w:rsidR="00472C58">
          <w:rPr>
            <w:webHidden/>
          </w:rPr>
          <w:fldChar w:fldCharType="begin"/>
        </w:r>
        <w:r w:rsidR="00472C58">
          <w:rPr>
            <w:webHidden/>
          </w:rPr>
          <w:instrText xml:space="preserve"> PAGEREF _Toc129771244 \h </w:instrText>
        </w:r>
        <w:r w:rsidR="00472C58">
          <w:rPr>
            <w:webHidden/>
          </w:rPr>
        </w:r>
        <w:r w:rsidR="00472C58">
          <w:rPr>
            <w:webHidden/>
          </w:rPr>
          <w:fldChar w:fldCharType="separate"/>
        </w:r>
        <w:r w:rsidR="00472C58">
          <w:rPr>
            <w:webHidden/>
          </w:rPr>
          <w:t>4</w:t>
        </w:r>
        <w:r w:rsidR="00472C58">
          <w:rPr>
            <w:webHidden/>
          </w:rPr>
          <w:fldChar w:fldCharType="end"/>
        </w:r>
      </w:hyperlink>
    </w:p>
    <w:p w14:paraId="6813F307" w14:textId="178181BA" w:rsidR="00472C58" w:rsidRDefault="00B3499C">
      <w:pPr>
        <w:pStyle w:val="Innehll2"/>
        <w:rPr>
          <w:rFonts w:asciiTheme="minorHAnsi" w:eastAsiaTheme="minorEastAsia" w:hAnsiTheme="minorHAnsi" w:cstheme="minorBidi"/>
          <w:sz w:val="22"/>
          <w:szCs w:val="22"/>
          <w:lang w:val="sv-FI" w:eastAsia="sv-FI"/>
        </w:rPr>
      </w:pPr>
      <w:hyperlink w:anchor="_Toc129771245" w:history="1">
        <w:r w:rsidR="00472C58" w:rsidRPr="003C1511">
          <w:rPr>
            <w:rStyle w:val="Hyperlnk"/>
          </w:rPr>
          <w:t>2. Landskapsregeringens överväganden och förslag</w:t>
        </w:r>
        <w:r w:rsidR="00472C58">
          <w:rPr>
            <w:webHidden/>
          </w:rPr>
          <w:tab/>
        </w:r>
        <w:r w:rsidR="00472C58">
          <w:rPr>
            <w:webHidden/>
          </w:rPr>
          <w:fldChar w:fldCharType="begin"/>
        </w:r>
        <w:r w:rsidR="00472C58">
          <w:rPr>
            <w:webHidden/>
          </w:rPr>
          <w:instrText xml:space="preserve"> PAGEREF _Toc129771245 \h </w:instrText>
        </w:r>
        <w:r w:rsidR="00472C58">
          <w:rPr>
            <w:webHidden/>
          </w:rPr>
        </w:r>
        <w:r w:rsidR="00472C58">
          <w:rPr>
            <w:webHidden/>
          </w:rPr>
          <w:fldChar w:fldCharType="separate"/>
        </w:r>
        <w:r w:rsidR="00472C58">
          <w:rPr>
            <w:webHidden/>
          </w:rPr>
          <w:t>5</w:t>
        </w:r>
        <w:r w:rsidR="00472C58">
          <w:rPr>
            <w:webHidden/>
          </w:rPr>
          <w:fldChar w:fldCharType="end"/>
        </w:r>
      </w:hyperlink>
    </w:p>
    <w:p w14:paraId="605F50E5" w14:textId="722E3AA6" w:rsidR="00472C58" w:rsidRDefault="00B3499C">
      <w:pPr>
        <w:pStyle w:val="Innehll3"/>
        <w:rPr>
          <w:rFonts w:asciiTheme="minorHAnsi" w:eastAsiaTheme="minorEastAsia" w:hAnsiTheme="minorHAnsi" w:cstheme="minorBidi"/>
          <w:sz w:val="22"/>
          <w:szCs w:val="22"/>
          <w:lang w:val="sv-FI" w:eastAsia="sv-FI"/>
        </w:rPr>
      </w:pPr>
      <w:hyperlink w:anchor="_Toc129771246" w:history="1">
        <w:r w:rsidR="00472C58" w:rsidRPr="003C1511">
          <w:rPr>
            <w:rStyle w:val="Hyperlnk"/>
          </w:rPr>
          <w:t>2.1 Tilläggsavdrag baserade på utgifter för forsknings- och utvecklingsverksamhet</w:t>
        </w:r>
        <w:r w:rsidR="00472C58">
          <w:rPr>
            <w:webHidden/>
          </w:rPr>
          <w:tab/>
        </w:r>
        <w:r w:rsidR="00472C58">
          <w:rPr>
            <w:webHidden/>
          </w:rPr>
          <w:fldChar w:fldCharType="begin"/>
        </w:r>
        <w:r w:rsidR="00472C58">
          <w:rPr>
            <w:webHidden/>
          </w:rPr>
          <w:instrText xml:space="preserve"> PAGEREF _Toc129771246 \h </w:instrText>
        </w:r>
        <w:r w:rsidR="00472C58">
          <w:rPr>
            <w:webHidden/>
          </w:rPr>
        </w:r>
        <w:r w:rsidR="00472C58">
          <w:rPr>
            <w:webHidden/>
          </w:rPr>
          <w:fldChar w:fldCharType="separate"/>
        </w:r>
        <w:r w:rsidR="00472C58">
          <w:rPr>
            <w:webHidden/>
          </w:rPr>
          <w:t>5</w:t>
        </w:r>
        <w:r w:rsidR="00472C58">
          <w:rPr>
            <w:webHidden/>
          </w:rPr>
          <w:fldChar w:fldCharType="end"/>
        </w:r>
      </w:hyperlink>
    </w:p>
    <w:p w14:paraId="43AF5CF9" w14:textId="07C5736F" w:rsidR="00472C58" w:rsidRDefault="00B3499C">
      <w:pPr>
        <w:pStyle w:val="Innehll3"/>
        <w:rPr>
          <w:rFonts w:asciiTheme="minorHAnsi" w:eastAsiaTheme="minorEastAsia" w:hAnsiTheme="minorHAnsi" w:cstheme="minorBidi"/>
          <w:sz w:val="22"/>
          <w:szCs w:val="22"/>
          <w:lang w:val="sv-FI" w:eastAsia="sv-FI"/>
        </w:rPr>
      </w:pPr>
      <w:hyperlink w:anchor="_Toc129771247" w:history="1">
        <w:r w:rsidR="00472C58" w:rsidRPr="003C1511">
          <w:rPr>
            <w:rStyle w:val="Hyperlnk"/>
          </w:rPr>
          <w:t>2.3 Kommunalskattesatsen för samfund och samfällda förmåner</w:t>
        </w:r>
        <w:r w:rsidR="00472C58">
          <w:rPr>
            <w:webHidden/>
          </w:rPr>
          <w:tab/>
        </w:r>
        <w:r w:rsidR="00472C58">
          <w:rPr>
            <w:webHidden/>
          </w:rPr>
          <w:fldChar w:fldCharType="begin"/>
        </w:r>
        <w:r w:rsidR="00472C58">
          <w:rPr>
            <w:webHidden/>
          </w:rPr>
          <w:instrText xml:space="preserve"> PAGEREF _Toc129771247 \h </w:instrText>
        </w:r>
        <w:r w:rsidR="00472C58">
          <w:rPr>
            <w:webHidden/>
          </w:rPr>
        </w:r>
        <w:r w:rsidR="00472C58">
          <w:rPr>
            <w:webHidden/>
          </w:rPr>
          <w:fldChar w:fldCharType="separate"/>
        </w:r>
        <w:r w:rsidR="00472C58">
          <w:rPr>
            <w:webHidden/>
          </w:rPr>
          <w:t>6</w:t>
        </w:r>
        <w:r w:rsidR="00472C58">
          <w:rPr>
            <w:webHidden/>
          </w:rPr>
          <w:fldChar w:fldCharType="end"/>
        </w:r>
      </w:hyperlink>
    </w:p>
    <w:p w14:paraId="398E98FF" w14:textId="127BFD02" w:rsidR="00472C58" w:rsidRDefault="00B3499C">
      <w:pPr>
        <w:pStyle w:val="Innehll2"/>
        <w:rPr>
          <w:rFonts w:asciiTheme="minorHAnsi" w:eastAsiaTheme="minorEastAsia" w:hAnsiTheme="minorHAnsi" w:cstheme="minorBidi"/>
          <w:sz w:val="22"/>
          <w:szCs w:val="22"/>
          <w:lang w:val="sv-FI" w:eastAsia="sv-FI"/>
        </w:rPr>
      </w:pPr>
      <w:hyperlink w:anchor="_Toc129771248" w:history="1">
        <w:r w:rsidR="00472C58" w:rsidRPr="003C1511">
          <w:rPr>
            <w:rStyle w:val="Hyperlnk"/>
          </w:rPr>
          <w:t>3. Förslagets konsekvenser</w:t>
        </w:r>
        <w:r w:rsidR="00472C58">
          <w:rPr>
            <w:webHidden/>
          </w:rPr>
          <w:tab/>
        </w:r>
        <w:r w:rsidR="00472C58">
          <w:rPr>
            <w:webHidden/>
          </w:rPr>
          <w:fldChar w:fldCharType="begin"/>
        </w:r>
        <w:r w:rsidR="00472C58">
          <w:rPr>
            <w:webHidden/>
          </w:rPr>
          <w:instrText xml:space="preserve"> PAGEREF _Toc129771248 \h </w:instrText>
        </w:r>
        <w:r w:rsidR="00472C58">
          <w:rPr>
            <w:webHidden/>
          </w:rPr>
        </w:r>
        <w:r w:rsidR="00472C58">
          <w:rPr>
            <w:webHidden/>
          </w:rPr>
          <w:fldChar w:fldCharType="separate"/>
        </w:r>
        <w:r w:rsidR="00472C58">
          <w:rPr>
            <w:webHidden/>
          </w:rPr>
          <w:t>7</w:t>
        </w:r>
        <w:r w:rsidR="00472C58">
          <w:rPr>
            <w:webHidden/>
          </w:rPr>
          <w:fldChar w:fldCharType="end"/>
        </w:r>
      </w:hyperlink>
    </w:p>
    <w:p w14:paraId="2E902EA0" w14:textId="35905084" w:rsidR="00472C58" w:rsidRDefault="00B3499C">
      <w:pPr>
        <w:pStyle w:val="Innehll2"/>
        <w:rPr>
          <w:rFonts w:asciiTheme="minorHAnsi" w:eastAsiaTheme="minorEastAsia" w:hAnsiTheme="minorHAnsi" w:cstheme="minorBidi"/>
          <w:sz w:val="22"/>
          <w:szCs w:val="22"/>
          <w:lang w:val="sv-FI" w:eastAsia="sv-FI"/>
        </w:rPr>
      </w:pPr>
      <w:hyperlink w:anchor="_Toc129771249" w:history="1">
        <w:r w:rsidR="00472C58" w:rsidRPr="003C1511">
          <w:rPr>
            <w:rStyle w:val="Hyperlnk"/>
          </w:rPr>
          <w:t>4. Beredning och ikraftträdande</w:t>
        </w:r>
        <w:r w:rsidR="00472C58">
          <w:rPr>
            <w:webHidden/>
          </w:rPr>
          <w:tab/>
        </w:r>
        <w:r w:rsidR="00472C58">
          <w:rPr>
            <w:webHidden/>
          </w:rPr>
          <w:fldChar w:fldCharType="begin"/>
        </w:r>
        <w:r w:rsidR="00472C58">
          <w:rPr>
            <w:webHidden/>
          </w:rPr>
          <w:instrText xml:space="preserve"> PAGEREF _Toc129771249 \h </w:instrText>
        </w:r>
        <w:r w:rsidR="00472C58">
          <w:rPr>
            <w:webHidden/>
          </w:rPr>
        </w:r>
        <w:r w:rsidR="00472C58">
          <w:rPr>
            <w:webHidden/>
          </w:rPr>
          <w:fldChar w:fldCharType="separate"/>
        </w:r>
        <w:r w:rsidR="00472C58">
          <w:rPr>
            <w:webHidden/>
          </w:rPr>
          <w:t>8</w:t>
        </w:r>
        <w:r w:rsidR="00472C58">
          <w:rPr>
            <w:webHidden/>
          </w:rPr>
          <w:fldChar w:fldCharType="end"/>
        </w:r>
      </w:hyperlink>
    </w:p>
    <w:p w14:paraId="6C598E9B" w14:textId="708C4459" w:rsidR="00472C58" w:rsidRDefault="00B3499C">
      <w:pPr>
        <w:pStyle w:val="Innehll1"/>
        <w:rPr>
          <w:rFonts w:asciiTheme="minorHAnsi" w:eastAsiaTheme="minorEastAsia" w:hAnsiTheme="minorHAnsi" w:cstheme="minorBidi"/>
          <w:sz w:val="22"/>
          <w:szCs w:val="22"/>
          <w:lang w:val="sv-FI" w:eastAsia="sv-FI"/>
        </w:rPr>
      </w:pPr>
      <w:hyperlink w:anchor="_Toc129771250" w:history="1">
        <w:r w:rsidR="00472C58" w:rsidRPr="003C1511">
          <w:rPr>
            <w:rStyle w:val="Hyperlnk"/>
          </w:rPr>
          <w:t>Detaljmotivering</w:t>
        </w:r>
        <w:r w:rsidR="00472C58">
          <w:rPr>
            <w:webHidden/>
          </w:rPr>
          <w:tab/>
        </w:r>
        <w:r w:rsidR="00472C58">
          <w:rPr>
            <w:webHidden/>
          </w:rPr>
          <w:fldChar w:fldCharType="begin"/>
        </w:r>
        <w:r w:rsidR="00472C58">
          <w:rPr>
            <w:webHidden/>
          </w:rPr>
          <w:instrText xml:space="preserve"> PAGEREF _Toc129771250 \h </w:instrText>
        </w:r>
        <w:r w:rsidR="00472C58">
          <w:rPr>
            <w:webHidden/>
          </w:rPr>
        </w:r>
        <w:r w:rsidR="00472C58">
          <w:rPr>
            <w:webHidden/>
          </w:rPr>
          <w:fldChar w:fldCharType="separate"/>
        </w:r>
        <w:r w:rsidR="00472C58">
          <w:rPr>
            <w:webHidden/>
          </w:rPr>
          <w:t>9</w:t>
        </w:r>
        <w:r w:rsidR="00472C58">
          <w:rPr>
            <w:webHidden/>
          </w:rPr>
          <w:fldChar w:fldCharType="end"/>
        </w:r>
      </w:hyperlink>
    </w:p>
    <w:p w14:paraId="42C0D262" w14:textId="75CE5206" w:rsidR="00472C58" w:rsidRDefault="00B3499C">
      <w:pPr>
        <w:pStyle w:val="Innehll2"/>
        <w:rPr>
          <w:rFonts w:asciiTheme="minorHAnsi" w:eastAsiaTheme="minorEastAsia" w:hAnsiTheme="minorHAnsi" w:cstheme="minorBidi"/>
          <w:sz w:val="22"/>
          <w:szCs w:val="22"/>
          <w:lang w:val="sv-FI" w:eastAsia="sv-FI"/>
        </w:rPr>
      </w:pPr>
      <w:hyperlink w:anchor="_Toc129771251" w:history="1">
        <w:r w:rsidR="00472C58" w:rsidRPr="003C1511">
          <w:rPr>
            <w:rStyle w:val="Hyperlnk"/>
          </w:rPr>
          <w:t>1. Landskapslag om tilläggsavdrag baserade på utgifter för forsknings- och utvecklingsverksamhet</w:t>
        </w:r>
        <w:r w:rsidR="00472C58">
          <w:rPr>
            <w:webHidden/>
          </w:rPr>
          <w:tab/>
        </w:r>
        <w:r w:rsidR="00472C58">
          <w:rPr>
            <w:webHidden/>
          </w:rPr>
          <w:fldChar w:fldCharType="begin"/>
        </w:r>
        <w:r w:rsidR="00472C58">
          <w:rPr>
            <w:webHidden/>
          </w:rPr>
          <w:instrText xml:space="preserve"> PAGEREF _Toc129771251 \h </w:instrText>
        </w:r>
        <w:r w:rsidR="00472C58">
          <w:rPr>
            <w:webHidden/>
          </w:rPr>
        </w:r>
        <w:r w:rsidR="00472C58">
          <w:rPr>
            <w:webHidden/>
          </w:rPr>
          <w:fldChar w:fldCharType="separate"/>
        </w:r>
        <w:r w:rsidR="00472C58">
          <w:rPr>
            <w:webHidden/>
          </w:rPr>
          <w:t>9</w:t>
        </w:r>
        <w:r w:rsidR="00472C58">
          <w:rPr>
            <w:webHidden/>
          </w:rPr>
          <w:fldChar w:fldCharType="end"/>
        </w:r>
      </w:hyperlink>
    </w:p>
    <w:p w14:paraId="7A53E006" w14:textId="6FBC790E" w:rsidR="00472C58" w:rsidRDefault="00B3499C">
      <w:pPr>
        <w:pStyle w:val="Innehll2"/>
        <w:rPr>
          <w:rFonts w:asciiTheme="minorHAnsi" w:eastAsiaTheme="minorEastAsia" w:hAnsiTheme="minorHAnsi" w:cstheme="minorBidi"/>
          <w:sz w:val="22"/>
          <w:szCs w:val="22"/>
          <w:lang w:val="sv-FI" w:eastAsia="sv-FI"/>
        </w:rPr>
      </w:pPr>
      <w:hyperlink w:anchor="_Toc129771252" w:history="1">
        <w:r w:rsidR="00472C58" w:rsidRPr="003C1511">
          <w:rPr>
            <w:rStyle w:val="Hyperlnk"/>
          </w:rPr>
          <w:t>2. Ändring av landskapslagen om skattelättnader vid kommunalbeskattningen för skatteåren 2020–2023</w:t>
        </w:r>
        <w:r w:rsidR="00472C58">
          <w:rPr>
            <w:webHidden/>
          </w:rPr>
          <w:tab/>
        </w:r>
        <w:r w:rsidR="00472C58">
          <w:rPr>
            <w:webHidden/>
          </w:rPr>
          <w:fldChar w:fldCharType="begin"/>
        </w:r>
        <w:r w:rsidR="00472C58">
          <w:rPr>
            <w:webHidden/>
          </w:rPr>
          <w:instrText xml:space="preserve"> PAGEREF _Toc129771252 \h </w:instrText>
        </w:r>
        <w:r w:rsidR="00472C58">
          <w:rPr>
            <w:webHidden/>
          </w:rPr>
        </w:r>
        <w:r w:rsidR="00472C58">
          <w:rPr>
            <w:webHidden/>
          </w:rPr>
          <w:fldChar w:fldCharType="separate"/>
        </w:r>
        <w:r w:rsidR="00472C58">
          <w:rPr>
            <w:webHidden/>
          </w:rPr>
          <w:t>10</w:t>
        </w:r>
        <w:r w:rsidR="00472C58">
          <w:rPr>
            <w:webHidden/>
          </w:rPr>
          <w:fldChar w:fldCharType="end"/>
        </w:r>
      </w:hyperlink>
    </w:p>
    <w:p w14:paraId="7EC651FE" w14:textId="6BE3EE68" w:rsidR="00472C58" w:rsidRDefault="00B3499C">
      <w:pPr>
        <w:pStyle w:val="Innehll2"/>
        <w:rPr>
          <w:rFonts w:asciiTheme="minorHAnsi" w:eastAsiaTheme="minorEastAsia" w:hAnsiTheme="minorHAnsi" w:cstheme="minorBidi"/>
          <w:sz w:val="22"/>
          <w:szCs w:val="22"/>
          <w:lang w:val="sv-FI" w:eastAsia="sv-FI"/>
        </w:rPr>
      </w:pPr>
      <w:hyperlink w:anchor="_Toc129771253" w:history="1">
        <w:r w:rsidR="00472C58" w:rsidRPr="003C1511">
          <w:rPr>
            <w:rStyle w:val="Hyperlnk"/>
          </w:rPr>
          <w:t>3. Ändring av 29 och 29f §§ kommunalskattelagen för landskapet Åland</w:t>
        </w:r>
        <w:r w:rsidR="00472C58">
          <w:rPr>
            <w:webHidden/>
          </w:rPr>
          <w:tab/>
        </w:r>
        <w:r w:rsidR="00472C58">
          <w:rPr>
            <w:webHidden/>
          </w:rPr>
          <w:fldChar w:fldCharType="begin"/>
        </w:r>
        <w:r w:rsidR="00472C58">
          <w:rPr>
            <w:webHidden/>
          </w:rPr>
          <w:instrText xml:space="preserve"> PAGEREF _Toc129771253 \h </w:instrText>
        </w:r>
        <w:r w:rsidR="00472C58">
          <w:rPr>
            <w:webHidden/>
          </w:rPr>
        </w:r>
        <w:r w:rsidR="00472C58">
          <w:rPr>
            <w:webHidden/>
          </w:rPr>
          <w:fldChar w:fldCharType="separate"/>
        </w:r>
        <w:r w:rsidR="00472C58">
          <w:rPr>
            <w:webHidden/>
          </w:rPr>
          <w:t>10</w:t>
        </w:r>
        <w:r w:rsidR="00472C58">
          <w:rPr>
            <w:webHidden/>
          </w:rPr>
          <w:fldChar w:fldCharType="end"/>
        </w:r>
      </w:hyperlink>
    </w:p>
    <w:p w14:paraId="19447B61" w14:textId="0C294A62" w:rsidR="00472C58" w:rsidRDefault="00B3499C">
      <w:pPr>
        <w:pStyle w:val="Innehll1"/>
        <w:rPr>
          <w:rFonts w:asciiTheme="minorHAnsi" w:eastAsiaTheme="minorEastAsia" w:hAnsiTheme="minorHAnsi" w:cstheme="minorBidi"/>
          <w:sz w:val="22"/>
          <w:szCs w:val="22"/>
          <w:lang w:val="sv-FI" w:eastAsia="sv-FI"/>
        </w:rPr>
      </w:pPr>
      <w:hyperlink w:anchor="_Toc129771254" w:history="1">
        <w:r w:rsidR="00472C58" w:rsidRPr="003C1511">
          <w:rPr>
            <w:rStyle w:val="Hyperlnk"/>
          </w:rPr>
          <w:t>Lagtext</w:t>
        </w:r>
        <w:r w:rsidR="00472C58">
          <w:rPr>
            <w:webHidden/>
          </w:rPr>
          <w:tab/>
        </w:r>
        <w:r w:rsidR="00472C58">
          <w:rPr>
            <w:webHidden/>
          </w:rPr>
          <w:fldChar w:fldCharType="begin"/>
        </w:r>
        <w:r w:rsidR="00472C58">
          <w:rPr>
            <w:webHidden/>
          </w:rPr>
          <w:instrText xml:space="preserve"> PAGEREF _Toc129771254 \h </w:instrText>
        </w:r>
        <w:r w:rsidR="00472C58">
          <w:rPr>
            <w:webHidden/>
          </w:rPr>
        </w:r>
        <w:r w:rsidR="00472C58">
          <w:rPr>
            <w:webHidden/>
          </w:rPr>
          <w:fldChar w:fldCharType="separate"/>
        </w:r>
        <w:r w:rsidR="00472C58">
          <w:rPr>
            <w:webHidden/>
          </w:rPr>
          <w:t>12</w:t>
        </w:r>
        <w:r w:rsidR="00472C58">
          <w:rPr>
            <w:webHidden/>
          </w:rPr>
          <w:fldChar w:fldCharType="end"/>
        </w:r>
      </w:hyperlink>
    </w:p>
    <w:p w14:paraId="733E06AF" w14:textId="0D9D4C73" w:rsidR="00472C58" w:rsidRDefault="00B3499C">
      <w:pPr>
        <w:pStyle w:val="Innehll2"/>
        <w:rPr>
          <w:rFonts w:asciiTheme="minorHAnsi" w:eastAsiaTheme="minorEastAsia" w:hAnsiTheme="minorHAnsi" w:cstheme="minorBidi"/>
          <w:sz w:val="22"/>
          <w:szCs w:val="22"/>
          <w:lang w:val="sv-FI" w:eastAsia="sv-FI"/>
        </w:rPr>
      </w:pPr>
      <w:hyperlink w:anchor="_Toc129771255" w:history="1">
        <w:r w:rsidR="00472C58" w:rsidRPr="003C1511">
          <w:rPr>
            <w:rStyle w:val="Hyperlnk"/>
            <w:lang w:val="en-GB"/>
          </w:rPr>
          <w:t>L A N D S K A P S L A G om tilläggsavdrag baserade på utgifter för forsknings- och utvecklingsverksamhet</w:t>
        </w:r>
        <w:r w:rsidR="00472C58">
          <w:rPr>
            <w:webHidden/>
          </w:rPr>
          <w:tab/>
        </w:r>
        <w:r w:rsidR="00472C58">
          <w:rPr>
            <w:webHidden/>
          </w:rPr>
          <w:fldChar w:fldCharType="begin"/>
        </w:r>
        <w:r w:rsidR="00472C58">
          <w:rPr>
            <w:webHidden/>
          </w:rPr>
          <w:instrText xml:space="preserve"> PAGEREF _Toc129771255 \h </w:instrText>
        </w:r>
        <w:r w:rsidR="00472C58">
          <w:rPr>
            <w:webHidden/>
          </w:rPr>
        </w:r>
        <w:r w:rsidR="00472C58">
          <w:rPr>
            <w:webHidden/>
          </w:rPr>
          <w:fldChar w:fldCharType="separate"/>
        </w:r>
        <w:r w:rsidR="00472C58">
          <w:rPr>
            <w:webHidden/>
          </w:rPr>
          <w:t>12</w:t>
        </w:r>
        <w:r w:rsidR="00472C58">
          <w:rPr>
            <w:webHidden/>
          </w:rPr>
          <w:fldChar w:fldCharType="end"/>
        </w:r>
      </w:hyperlink>
    </w:p>
    <w:p w14:paraId="2D936E99" w14:textId="35E60D3F" w:rsidR="00472C58" w:rsidRDefault="00B3499C">
      <w:pPr>
        <w:pStyle w:val="Innehll2"/>
        <w:rPr>
          <w:rFonts w:asciiTheme="minorHAnsi" w:eastAsiaTheme="minorEastAsia" w:hAnsiTheme="minorHAnsi" w:cstheme="minorBidi"/>
          <w:sz w:val="22"/>
          <w:szCs w:val="22"/>
          <w:lang w:val="sv-FI" w:eastAsia="sv-FI"/>
        </w:rPr>
      </w:pPr>
      <w:hyperlink w:anchor="_Toc129771256" w:history="1">
        <w:r w:rsidR="00472C58" w:rsidRPr="003C1511">
          <w:rPr>
            <w:rStyle w:val="Hyperlnk"/>
            <w:lang w:val="en-GB"/>
          </w:rPr>
          <w:t>L A N D S K A P S L A G om ändring av landskapslagen om skattelättnader vid kommunalbeskattningen för skatteåren 2020–2023</w:t>
        </w:r>
        <w:r w:rsidR="00472C58">
          <w:rPr>
            <w:webHidden/>
          </w:rPr>
          <w:tab/>
        </w:r>
        <w:r w:rsidR="00472C58">
          <w:rPr>
            <w:webHidden/>
          </w:rPr>
          <w:fldChar w:fldCharType="begin"/>
        </w:r>
        <w:r w:rsidR="00472C58">
          <w:rPr>
            <w:webHidden/>
          </w:rPr>
          <w:instrText xml:space="preserve"> PAGEREF _Toc129771256 \h </w:instrText>
        </w:r>
        <w:r w:rsidR="00472C58">
          <w:rPr>
            <w:webHidden/>
          </w:rPr>
        </w:r>
        <w:r w:rsidR="00472C58">
          <w:rPr>
            <w:webHidden/>
          </w:rPr>
          <w:fldChar w:fldCharType="separate"/>
        </w:r>
        <w:r w:rsidR="00472C58">
          <w:rPr>
            <w:webHidden/>
          </w:rPr>
          <w:t>12</w:t>
        </w:r>
        <w:r w:rsidR="00472C58">
          <w:rPr>
            <w:webHidden/>
          </w:rPr>
          <w:fldChar w:fldCharType="end"/>
        </w:r>
      </w:hyperlink>
    </w:p>
    <w:p w14:paraId="0C06A359" w14:textId="011CD549" w:rsidR="00472C58" w:rsidRDefault="00B3499C">
      <w:pPr>
        <w:pStyle w:val="Innehll2"/>
        <w:rPr>
          <w:rFonts w:asciiTheme="minorHAnsi" w:eastAsiaTheme="minorEastAsia" w:hAnsiTheme="minorHAnsi" w:cstheme="minorBidi"/>
          <w:sz w:val="22"/>
          <w:szCs w:val="22"/>
          <w:lang w:val="sv-FI" w:eastAsia="sv-FI"/>
        </w:rPr>
      </w:pPr>
      <w:hyperlink w:anchor="_Toc129771257" w:history="1">
        <w:r w:rsidR="00472C58" w:rsidRPr="003C1511">
          <w:rPr>
            <w:rStyle w:val="Hyperlnk"/>
            <w:lang w:val="en-GB"/>
          </w:rPr>
          <w:t xml:space="preserve">L A N D S K A P S L A G </w:t>
        </w:r>
        <w:r w:rsidR="00472C58" w:rsidRPr="003C1511">
          <w:rPr>
            <w:rStyle w:val="Hyperlnk"/>
          </w:rPr>
          <w:t>om ändring av 29 och 29f §§ kommunalskattelagen för landskapet Åland</w:t>
        </w:r>
        <w:r w:rsidR="00472C58">
          <w:rPr>
            <w:webHidden/>
          </w:rPr>
          <w:tab/>
        </w:r>
        <w:r w:rsidR="00472C58">
          <w:rPr>
            <w:webHidden/>
          </w:rPr>
          <w:fldChar w:fldCharType="begin"/>
        </w:r>
        <w:r w:rsidR="00472C58">
          <w:rPr>
            <w:webHidden/>
          </w:rPr>
          <w:instrText xml:space="preserve"> PAGEREF _Toc129771257 \h </w:instrText>
        </w:r>
        <w:r w:rsidR="00472C58">
          <w:rPr>
            <w:webHidden/>
          </w:rPr>
        </w:r>
        <w:r w:rsidR="00472C58">
          <w:rPr>
            <w:webHidden/>
          </w:rPr>
          <w:fldChar w:fldCharType="separate"/>
        </w:r>
        <w:r w:rsidR="00472C58">
          <w:rPr>
            <w:webHidden/>
          </w:rPr>
          <w:t>13</w:t>
        </w:r>
        <w:r w:rsidR="00472C58">
          <w:rPr>
            <w:webHidden/>
          </w:rPr>
          <w:fldChar w:fldCharType="end"/>
        </w:r>
      </w:hyperlink>
    </w:p>
    <w:p w14:paraId="75B556E9" w14:textId="26A6695F" w:rsidR="00472C58" w:rsidRDefault="00B3499C">
      <w:pPr>
        <w:pStyle w:val="Innehll1"/>
        <w:rPr>
          <w:rFonts w:asciiTheme="minorHAnsi" w:eastAsiaTheme="minorEastAsia" w:hAnsiTheme="minorHAnsi" w:cstheme="minorBidi"/>
          <w:sz w:val="22"/>
          <w:szCs w:val="22"/>
          <w:lang w:val="sv-FI" w:eastAsia="sv-FI"/>
        </w:rPr>
      </w:pPr>
      <w:hyperlink w:anchor="_Toc129771258" w:history="1">
        <w:r w:rsidR="00472C58" w:rsidRPr="003C1511">
          <w:rPr>
            <w:rStyle w:val="Hyperlnk"/>
          </w:rPr>
          <w:t>Bilaga: FFS 1298/2022</w:t>
        </w:r>
        <w:r w:rsidR="00472C58">
          <w:rPr>
            <w:webHidden/>
          </w:rPr>
          <w:tab/>
        </w:r>
        <w:r w:rsidR="00472C58">
          <w:rPr>
            <w:webHidden/>
          </w:rPr>
          <w:fldChar w:fldCharType="begin"/>
        </w:r>
        <w:r w:rsidR="00472C58">
          <w:rPr>
            <w:webHidden/>
          </w:rPr>
          <w:instrText xml:space="preserve"> PAGEREF _Toc129771258 \h </w:instrText>
        </w:r>
        <w:r w:rsidR="00472C58">
          <w:rPr>
            <w:webHidden/>
          </w:rPr>
        </w:r>
        <w:r w:rsidR="00472C58">
          <w:rPr>
            <w:webHidden/>
          </w:rPr>
          <w:fldChar w:fldCharType="separate"/>
        </w:r>
        <w:r w:rsidR="00472C58">
          <w:rPr>
            <w:webHidden/>
          </w:rPr>
          <w:t>15</w:t>
        </w:r>
        <w:r w:rsidR="00472C58">
          <w:rPr>
            <w:webHidden/>
          </w:rPr>
          <w:fldChar w:fldCharType="end"/>
        </w:r>
      </w:hyperlink>
    </w:p>
    <w:p w14:paraId="48D410B8" w14:textId="633EBA53" w:rsidR="00472C58" w:rsidRDefault="00B3499C">
      <w:pPr>
        <w:pStyle w:val="Innehll2"/>
        <w:rPr>
          <w:rFonts w:asciiTheme="minorHAnsi" w:eastAsiaTheme="minorEastAsia" w:hAnsiTheme="minorHAnsi" w:cstheme="minorBidi"/>
          <w:sz w:val="22"/>
          <w:szCs w:val="22"/>
          <w:lang w:val="sv-FI" w:eastAsia="sv-FI"/>
        </w:rPr>
      </w:pPr>
      <w:hyperlink w:anchor="_Toc129771259" w:history="1">
        <w:r w:rsidR="00472C58" w:rsidRPr="003C1511">
          <w:rPr>
            <w:rStyle w:val="Hyperlnk"/>
            <w:lang w:val="en-GB"/>
          </w:rPr>
          <w:t>Lag om tilläggsavdrag baserade på utgifter för forsknings- och utvecklingsverksamhet I beskattningen</w:t>
        </w:r>
        <w:r w:rsidR="00472C58">
          <w:rPr>
            <w:webHidden/>
          </w:rPr>
          <w:tab/>
        </w:r>
        <w:r w:rsidR="00472C58">
          <w:rPr>
            <w:webHidden/>
          </w:rPr>
          <w:fldChar w:fldCharType="begin"/>
        </w:r>
        <w:r w:rsidR="00472C58">
          <w:rPr>
            <w:webHidden/>
          </w:rPr>
          <w:instrText xml:space="preserve"> PAGEREF _Toc129771259 \h </w:instrText>
        </w:r>
        <w:r w:rsidR="00472C58">
          <w:rPr>
            <w:webHidden/>
          </w:rPr>
        </w:r>
        <w:r w:rsidR="00472C58">
          <w:rPr>
            <w:webHidden/>
          </w:rPr>
          <w:fldChar w:fldCharType="separate"/>
        </w:r>
        <w:r w:rsidR="00472C58">
          <w:rPr>
            <w:webHidden/>
          </w:rPr>
          <w:t>15</w:t>
        </w:r>
        <w:r w:rsidR="00472C58">
          <w:rPr>
            <w:webHidden/>
          </w:rPr>
          <w:fldChar w:fldCharType="end"/>
        </w:r>
      </w:hyperlink>
    </w:p>
    <w:p w14:paraId="0A92483A" w14:textId="40BB29A2" w:rsidR="00472C58" w:rsidRDefault="00B3499C">
      <w:pPr>
        <w:pStyle w:val="Innehll1"/>
        <w:rPr>
          <w:rFonts w:asciiTheme="minorHAnsi" w:eastAsiaTheme="minorEastAsia" w:hAnsiTheme="minorHAnsi" w:cstheme="minorBidi"/>
          <w:sz w:val="22"/>
          <w:szCs w:val="22"/>
          <w:lang w:val="sv-FI" w:eastAsia="sv-FI"/>
        </w:rPr>
      </w:pPr>
      <w:hyperlink w:anchor="_Toc129771260" w:history="1">
        <w:r w:rsidR="00472C58" w:rsidRPr="003C1511">
          <w:rPr>
            <w:rStyle w:val="Hyperlnk"/>
          </w:rPr>
          <w:t>Parallelltexter</w:t>
        </w:r>
        <w:r w:rsidR="00472C58">
          <w:rPr>
            <w:webHidden/>
          </w:rPr>
          <w:tab/>
        </w:r>
        <w:r w:rsidR="00472C58">
          <w:rPr>
            <w:webHidden/>
          </w:rPr>
          <w:fldChar w:fldCharType="begin"/>
        </w:r>
        <w:r w:rsidR="00472C58">
          <w:rPr>
            <w:webHidden/>
          </w:rPr>
          <w:instrText xml:space="preserve"> PAGEREF _Toc129771260 \h </w:instrText>
        </w:r>
        <w:r w:rsidR="00472C58">
          <w:rPr>
            <w:webHidden/>
          </w:rPr>
        </w:r>
        <w:r w:rsidR="00472C58">
          <w:rPr>
            <w:webHidden/>
          </w:rPr>
          <w:fldChar w:fldCharType="separate"/>
        </w:r>
        <w:r w:rsidR="00472C58">
          <w:rPr>
            <w:webHidden/>
          </w:rPr>
          <w:t>18</w:t>
        </w:r>
        <w:r w:rsidR="00472C58">
          <w:rPr>
            <w:webHidden/>
          </w:rPr>
          <w:fldChar w:fldCharType="end"/>
        </w:r>
      </w:hyperlink>
    </w:p>
    <w:p w14:paraId="157CE05E" w14:textId="28E98355" w:rsidR="00AF3004" w:rsidRDefault="00AF3004">
      <w:pPr>
        <w:pStyle w:val="ANormal"/>
        <w:rPr>
          <w:noProof/>
        </w:rPr>
      </w:pPr>
      <w:r>
        <w:rPr>
          <w:rFonts w:ascii="Verdana" w:hAnsi="Verdana"/>
          <w:noProof/>
          <w:sz w:val="16"/>
          <w:szCs w:val="36"/>
        </w:rPr>
        <w:fldChar w:fldCharType="end"/>
      </w:r>
    </w:p>
    <w:p w14:paraId="72B8317D" w14:textId="77777777" w:rsidR="00AF3004" w:rsidRDefault="00AF3004">
      <w:pPr>
        <w:pStyle w:val="ANormal"/>
      </w:pPr>
      <w:r>
        <w:br w:type="page"/>
      </w:r>
    </w:p>
    <w:p w14:paraId="1F4F8338" w14:textId="24A34935" w:rsidR="00AF3004" w:rsidRDefault="00B5582A">
      <w:pPr>
        <w:pStyle w:val="RubrikA"/>
      </w:pPr>
      <w:bookmarkStart w:id="2" w:name="_Toc129771241"/>
      <w:r>
        <w:lastRenderedPageBreak/>
        <w:t>Allmän motivering</w:t>
      </w:r>
      <w:bookmarkEnd w:id="2"/>
    </w:p>
    <w:p w14:paraId="4869CA18" w14:textId="77777777" w:rsidR="00AF3004" w:rsidRDefault="00AF3004">
      <w:pPr>
        <w:pStyle w:val="Rubrikmellanrum"/>
      </w:pPr>
    </w:p>
    <w:p w14:paraId="1D7AD0E4" w14:textId="77777777" w:rsidR="00AF3004" w:rsidRDefault="00AF3004">
      <w:pPr>
        <w:pStyle w:val="RubrikB"/>
      </w:pPr>
      <w:bookmarkStart w:id="3" w:name="_Toc129771242"/>
      <w:r>
        <w:t>1. Bakgrund</w:t>
      </w:r>
      <w:bookmarkEnd w:id="3"/>
    </w:p>
    <w:p w14:paraId="0BAC69F6" w14:textId="32693817" w:rsidR="00AF3004" w:rsidRDefault="00AF3004">
      <w:pPr>
        <w:pStyle w:val="Rubrikmellanrum"/>
      </w:pPr>
    </w:p>
    <w:p w14:paraId="5E598D4A" w14:textId="2B1B5F08" w:rsidR="00F505C5" w:rsidRDefault="00F505C5" w:rsidP="00F505C5">
      <w:pPr>
        <w:pStyle w:val="RubrikC"/>
      </w:pPr>
      <w:bookmarkStart w:id="4" w:name="_Toc129771243"/>
      <w:r>
        <w:t>1.1 Gällande landskapslagstiftning</w:t>
      </w:r>
      <w:bookmarkEnd w:id="4"/>
    </w:p>
    <w:p w14:paraId="2C8E3350" w14:textId="77777777" w:rsidR="00F505C5" w:rsidRDefault="00F505C5" w:rsidP="00F505C5">
      <w:pPr>
        <w:pStyle w:val="Rubrikmellanrum"/>
      </w:pPr>
    </w:p>
    <w:p w14:paraId="66535F53" w14:textId="79566721" w:rsidR="00F505C5" w:rsidRDefault="00F505C5" w:rsidP="00F505C5">
      <w:pPr>
        <w:pStyle w:val="ANormal"/>
      </w:pPr>
      <w:r>
        <w:t>Lagstiftningsbehörigheten på skatteområdet är delad mellan lagtinget och riksdagen. När det gäller skatt till kommunerna hör lagstiftningsbehörigheten enligt 18</w:t>
      </w:r>
      <w:r w:rsidR="004E3B75">
        <w:t> §</w:t>
      </w:r>
      <w:r>
        <w:t xml:space="preserve"> 5</w:t>
      </w:r>
      <w:r w:rsidR="004E3B75">
        <w:t> </w:t>
      </w:r>
      <w:r>
        <w:t xml:space="preserve">p. </w:t>
      </w:r>
      <w:r w:rsidR="007D3C3B">
        <w:t xml:space="preserve">i </w:t>
      </w:r>
      <w:r>
        <w:t>självstyrelselagen</w:t>
      </w:r>
      <w:r w:rsidRPr="00226DA0">
        <w:t xml:space="preserve"> </w:t>
      </w:r>
      <w:r>
        <w:t>till lagtinget medan behörigheten vad gäller skatt till staten enligt 27</w:t>
      </w:r>
      <w:r w:rsidR="004E3B75">
        <w:t> §</w:t>
      </w:r>
      <w:r>
        <w:t xml:space="preserve"> 36 p. hör till riksdagen. Av den anledningen har lagtinget valt att ge skattelagstiftningen formen av så kallad blankettlagstiftning. Med stöd av kommunalskattelagen (2011:119) för landskapet Åland tillämpas inkomstskattelagen (FFS 1535/1992) och lagen om skatteredovisning (FFS 532/1998) vid kommunalbeskattningen, liksom lagen om beskattning av inkomst av näringsverksamhet (FFS 360/1968) tillämpas med stöd av landskapslagen (1993:42) om kommunalskatt för näringsverksamhet och inkomstskattelagen för gårdsbruk (FFS 543/1967) tillämpas med stöd av landskapslagen (1993:41) om kommunalskatt för gårdsbruk.</w:t>
      </w:r>
    </w:p>
    <w:p w14:paraId="277CD622" w14:textId="28837501" w:rsidR="00F505C5" w:rsidRDefault="00F505C5" w:rsidP="00F505C5">
      <w:pPr>
        <w:pStyle w:val="ANormal"/>
      </w:pPr>
      <w:r>
        <w:tab/>
        <w:t xml:space="preserve">Utöver de nämnda lagarna finns också ett par tidsbegränsade blankettlagar om skattelättnader för företag: landskapslagen (2020:76) </w:t>
      </w:r>
      <w:r w:rsidRPr="00651A25">
        <w:t>om skattelättnader vid kommunalbeskattningen för skatteåren 2020–2023</w:t>
      </w:r>
      <w:r>
        <w:t xml:space="preserve"> och </w:t>
      </w:r>
      <w:bookmarkStart w:id="5" w:name="_Hlk125718692"/>
      <w:r>
        <w:t>landskapslagen (2021:74)</w:t>
      </w:r>
      <w:r w:rsidRPr="00651A25">
        <w:t xml:space="preserve"> om tilläggsavdrag för forsknings- och utvecklingsverksamhet under skatteåren 2021–2025</w:t>
      </w:r>
      <w:bookmarkEnd w:id="5"/>
      <w:r>
        <w:t xml:space="preserve">. Med stöd av dessa lagar tillämpas lagen om höjda avskrivningar på maskiner, inventarier och andra därmed jämförbara lösa anläggningstillgångar skatteåren 2020–2023 (FFS 1572/2019) och lagen om ett tilläggsavdrag för forsknings- och utvecklingsverksamhet under skatteåren 2021–2025 </w:t>
      </w:r>
      <w:bookmarkStart w:id="6" w:name="_Hlk125620064"/>
      <w:r>
        <w:t xml:space="preserve">(FFS 1078/2020) </w:t>
      </w:r>
      <w:bookmarkEnd w:id="6"/>
      <w:r>
        <w:t>också vid kommunalbeskattningen på Åland.</w:t>
      </w:r>
    </w:p>
    <w:p w14:paraId="7B2FAE2A" w14:textId="45524CFD" w:rsidR="00F505C5" w:rsidRDefault="00F505C5" w:rsidP="00F505C5">
      <w:pPr>
        <w:pStyle w:val="ANormal"/>
      </w:pPr>
      <w:r>
        <w:tab/>
        <w:t>Med samfund avses enligt definitionen i inkomstskattelagen bland annat aktiebolag, andelslag och utländska dödsbon medan samfällda förmåner till exempel är samfällda skogar, väglag, fiskelag och skifteslag. Den skatt som samfund och samfälligheter betalar är delvis en kommunal skatt och till den delen faller lagstiftningen under lagtingets behörighet. I riket uppbärs samfundsskatten som en enhetlig skatt som sedan fördelas mellan staten och kommunerna. Skattesatserna anges i 124</w:t>
      </w:r>
      <w:r w:rsidR="004E3B75">
        <w:t> §</w:t>
      </w:r>
      <w:r>
        <w:t xml:space="preserve"> </w:t>
      </w:r>
      <w:r w:rsidR="007D3C3B">
        <w:t xml:space="preserve">i </w:t>
      </w:r>
      <w:r>
        <w:t>inkomstskattelagen för närvarande är de 20 </w:t>
      </w:r>
      <w:r w:rsidR="006136BD">
        <w:t>procent</w:t>
      </w:r>
      <w:r>
        <w:t xml:space="preserve"> för samfund och 26,5 </w:t>
      </w:r>
      <w:r w:rsidR="006136BD">
        <w:t>procent</w:t>
      </w:r>
      <w:r>
        <w:t xml:space="preserve"> för samfällda förmåner.</w:t>
      </w:r>
      <w:r w:rsidRPr="007E24AB">
        <w:t xml:space="preserve"> </w:t>
      </w:r>
      <w:r>
        <w:t>Skatteintäkterna fördelas mellan staten och kommunerna enligt vad som anges i 12</w:t>
      </w:r>
      <w:r w:rsidR="004E3B75">
        <w:t> §</w:t>
      </w:r>
      <w:r>
        <w:t xml:space="preserve"> </w:t>
      </w:r>
      <w:r w:rsidR="007D3C3B">
        <w:t xml:space="preserve">i </w:t>
      </w:r>
      <w:r>
        <w:t>lagen om skatteredovisning. I den sistnämnda lagen finns också bestämmelser om fördelningen av skatten mellan de enskilda kommunerna i riket. I landskapet regleras kommunalskattesatserna för samfund och samfällda förmåner samt fördelningen av skatteintäkterna mellan de åländska kommunerna i kommunalskattelagens 5</w:t>
      </w:r>
      <w:r w:rsidR="004E3B75">
        <w:t> kap.</w:t>
      </w:r>
    </w:p>
    <w:p w14:paraId="6F397CF6" w14:textId="562C5EE2" w:rsidR="00F505C5" w:rsidRDefault="00F505C5" w:rsidP="00F505C5">
      <w:pPr>
        <w:pStyle w:val="ANormal"/>
      </w:pPr>
      <w:r>
        <w:tab/>
        <w:t>Procentsatsen för den skatt åländska företag och samfälligheter betalar till staten följer av den totala skatteprocenten i riket och den statliga andelen av skatten som anges i lagen som skatteredovisning. Procentsatserna för den kommunala skatten anges i kommunalskattelagens 29</w:t>
      </w:r>
      <w:r w:rsidR="004E3B75">
        <w:t> §</w:t>
      </w:r>
      <w:r>
        <w:t>. Formellt sett är den inte beroende av de ovan nämnda bestämmelserna men i praktiken har lagtinget hittills valt att sätta skattesatserna så att skatten för företag och samfälligheter i landskapet totalt sett är på samma nivå som i riket. Till följd av att lagstiftningen om skattelättnader påverkar kommunernas skatteintäkter har fördelningen av samfundsskatten mellan staten och kommunerna under skatteåren 2020–2027 reglerats enligt en undantagsbestämmelse i lagen om skatteredovisning. Av den anledningen anges också kommunalskattesatserna för samfund och samfälligheter för de nämnda skatteåren i 29f</w:t>
      </w:r>
      <w:r w:rsidR="004E3B75">
        <w:t> §</w:t>
      </w:r>
      <w:r>
        <w:t xml:space="preserve"> i kommunalskattelagen som ett undantag från lagens 29</w:t>
      </w:r>
      <w:r w:rsidR="004E3B75">
        <w:t> §</w:t>
      </w:r>
      <w:r>
        <w:t>.</w:t>
      </w:r>
    </w:p>
    <w:p w14:paraId="3B119427" w14:textId="77777777" w:rsidR="00F505C5" w:rsidRPr="00F505C5" w:rsidRDefault="00F505C5" w:rsidP="00F505C5">
      <w:pPr>
        <w:pStyle w:val="ANormal"/>
      </w:pPr>
    </w:p>
    <w:p w14:paraId="15C60560" w14:textId="4773C1FF" w:rsidR="003D0227" w:rsidRDefault="002E36BF" w:rsidP="002E36BF">
      <w:pPr>
        <w:pStyle w:val="RubrikC"/>
      </w:pPr>
      <w:bookmarkStart w:id="7" w:name="_Toc129771244"/>
      <w:r>
        <w:lastRenderedPageBreak/>
        <w:t>1.</w:t>
      </w:r>
      <w:r w:rsidR="00F505C5">
        <w:t>2</w:t>
      </w:r>
      <w:r>
        <w:t xml:space="preserve"> Åtgärder som vidta</w:t>
      </w:r>
      <w:r w:rsidR="001248B4">
        <w:t>git</w:t>
      </w:r>
      <w:r>
        <w:t>s i riket</w:t>
      </w:r>
      <w:r w:rsidR="005F1727">
        <w:t xml:space="preserve"> inför skatteåret 2023</w:t>
      </w:r>
      <w:bookmarkEnd w:id="7"/>
    </w:p>
    <w:p w14:paraId="537C1313" w14:textId="59F4A3C8" w:rsidR="002E36BF" w:rsidRDefault="002E36BF" w:rsidP="002E36BF">
      <w:pPr>
        <w:pStyle w:val="Rubrikmellanrum"/>
      </w:pPr>
    </w:p>
    <w:p w14:paraId="6D42C8C4" w14:textId="2031CA12" w:rsidR="00F05E4B" w:rsidRDefault="00F05E4B" w:rsidP="00F05E4B">
      <w:pPr>
        <w:pStyle w:val="RubrikD"/>
      </w:pPr>
      <w:r>
        <w:t>Ny lag om tilläggsavdrag baserade på utgifter för forsknings- och utvecklingsverksamhet</w:t>
      </w:r>
    </w:p>
    <w:p w14:paraId="4B1C39B4" w14:textId="14DE8D8D" w:rsidR="00F05E4B" w:rsidRDefault="00F05E4B" w:rsidP="00F05E4B">
      <w:pPr>
        <w:pStyle w:val="Rubrikmellanrum"/>
      </w:pPr>
    </w:p>
    <w:p w14:paraId="34A1A04B" w14:textId="1AA78B7E" w:rsidR="00097444" w:rsidRDefault="00097444" w:rsidP="00097444">
      <w:pPr>
        <w:pStyle w:val="ANormal"/>
      </w:pPr>
      <w:r>
        <w:t>I samband med behandlingen av statsbudgeten överlämnade regeringen i riket bland annat en proposition (RP 257/2022) till riksdagen med förslag om ändring av lagen om skatteredovisning, där de temporära bestämmelserna om fördelningen av samfundsskatten föreslogs bli ändrade så att kommunernas andel höjs under åren 2023–2027. Med hänvisning till att tillämpningen av lagen om höjda avskrivningar på maskiner, inventarier och andra därmed jämförbara lösa anläggningstillgångar skatteåren 2020–2023 samtidigt föreslogs bli förlängd (se nedan), ingick i propositionen dessutom temporära bestämmelser om fördelningen under 2028 och 2029.</w:t>
      </w:r>
    </w:p>
    <w:p w14:paraId="1FAA6456" w14:textId="55579B76" w:rsidR="00C9680D" w:rsidRDefault="00097444" w:rsidP="00F05E4B">
      <w:pPr>
        <w:pStyle w:val="ANormal"/>
      </w:pPr>
      <w:r>
        <w:tab/>
        <w:t>P</w:t>
      </w:r>
      <w:r w:rsidR="00020CBD">
        <w:t>ropositionen förkastades do</w:t>
      </w:r>
      <w:r>
        <w:t>ck</w:t>
      </w:r>
      <w:r w:rsidR="00020CBD">
        <w:t xml:space="preserve"> av riksdagen, för att ersättas av en lagmotion </w:t>
      </w:r>
      <w:r>
        <w:t xml:space="preserve">(LM 69/2022) </w:t>
      </w:r>
      <w:r w:rsidR="00020CBD">
        <w:t>med förslag om en lag om tilläggsavdrag baserade på utgifter för forsknings- och utvecklingsverksamhet.</w:t>
      </w:r>
      <w:r>
        <w:t xml:space="preserve"> Lagmotionen antogs av riksdagen den 15</w:t>
      </w:r>
      <w:r w:rsidR="004E3B75">
        <w:t xml:space="preserve"> </w:t>
      </w:r>
      <w:r>
        <w:t xml:space="preserve">december, och </w:t>
      </w:r>
      <w:bookmarkStart w:id="8" w:name="_Hlk125635146"/>
      <w:r>
        <w:t xml:space="preserve">lagen om tilläggsavdrag baserade på utgifter för forsknings- och utvecklingsverksamhet i beskattningen </w:t>
      </w:r>
      <w:bookmarkEnd w:id="8"/>
      <w:r>
        <w:t>(FFS 1298/2022) trädde i kraft den 1 januari 2023.</w:t>
      </w:r>
    </w:p>
    <w:p w14:paraId="38E927ED" w14:textId="64BE134D" w:rsidR="00F05E4B" w:rsidRDefault="00C9680D" w:rsidP="00F05E4B">
      <w:pPr>
        <w:pStyle w:val="ANormal"/>
      </w:pPr>
      <w:r>
        <w:tab/>
      </w:r>
      <w:r w:rsidR="005F1727">
        <w:t>Genom den nya</w:t>
      </w:r>
      <w:r>
        <w:t xml:space="preserve"> lagen</w:t>
      </w:r>
      <w:r w:rsidR="009D3C14">
        <w:t xml:space="preserve"> </w:t>
      </w:r>
      <w:r w:rsidR="005F1727">
        <w:t>införs en</w:t>
      </w:r>
      <w:r>
        <w:t xml:space="preserve"> rätt till tilläggsavdrag </w:t>
      </w:r>
      <w:r w:rsidR="005F1727">
        <w:t xml:space="preserve">för </w:t>
      </w:r>
      <w:r>
        <w:t xml:space="preserve">alla skattskyldiga som bedriver näringsverksamhet eller jordbruk och som har </w:t>
      </w:r>
      <w:r w:rsidR="005F1727">
        <w:t xml:space="preserve">sådana </w:t>
      </w:r>
      <w:r>
        <w:t xml:space="preserve">löneutgifter och utgifter för köpta tjänster för forsknings- och utvecklingsverksamhet som avses i lagen. Det är fråga om ett nytt allmänt skattestöd </w:t>
      </w:r>
      <w:r w:rsidR="005F1727">
        <w:t>för företag, det</w:t>
      </w:r>
      <w:r>
        <w:t xml:space="preserve"> utgör </w:t>
      </w:r>
      <w:r w:rsidR="005F1727">
        <w:t xml:space="preserve">dock inte ett </w:t>
      </w:r>
      <w:r>
        <w:t>statligt stöd ur EU-rättsligt perspektiv.</w:t>
      </w:r>
    </w:p>
    <w:p w14:paraId="1B194E65" w14:textId="401F58C2" w:rsidR="00020CBD" w:rsidRDefault="00020CBD" w:rsidP="00020CBD">
      <w:pPr>
        <w:pStyle w:val="ANormal"/>
      </w:pPr>
      <w:r>
        <w:tab/>
      </w:r>
      <w:r w:rsidR="00C9680D">
        <w:t>Det</w:t>
      </w:r>
      <w:r>
        <w:t xml:space="preserve"> allmän</w:t>
      </w:r>
      <w:r w:rsidR="00C9680D">
        <w:t>na</w:t>
      </w:r>
      <w:r>
        <w:t xml:space="preserve"> tilläggsavdrag</w:t>
      </w:r>
      <w:r w:rsidR="00C9680D">
        <w:t>et</w:t>
      </w:r>
      <w:r>
        <w:t xml:space="preserve"> för forsknings- och utvecklingsverksamhet görs från inkomst av näringsverksamhet eller jordbruk </w:t>
      </w:r>
      <w:r w:rsidR="00C9680D">
        <w:t>och utgör</w:t>
      </w:r>
      <w:r>
        <w:t xml:space="preserve"> 50 procent av de löneutgifter och utgifter för köpta tjänster som hänför sig till den skattskyldiges egen forsknings- och utvecklingsverksamhet. </w:t>
      </w:r>
      <w:r w:rsidR="005F1727">
        <w:t>B</w:t>
      </w:r>
      <w:r>
        <w:t xml:space="preserve">eloppet av allmänt tilläggsavdrag </w:t>
      </w:r>
      <w:r w:rsidR="00C9680D">
        <w:t>är</w:t>
      </w:r>
      <w:r>
        <w:t xml:space="preserve"> </w:t>
      </w:r>
      <w:r w:rsidR="005F1727">
        <w:t xml:space="preserve">högst </w:t>
      </w:r>
      <w:r>
        <w:t>500</w:t>
      </w:r>
      <w:r w:rsidR="004E3B75">
        <w:t> </w:t>
      </w:r>
      <w:r>
        <w:t xml:space="preserve">000 euro </w:t>
      </w:r>
      <w:r w:rsidR="005F1727">
        <w:t xml:space="preserve">under ett skatteår </w:t>
      </w:r>
      <w:r>
        <w:t>och den nedre gränsen</w:t>
      </w:r>
      <w:r w:rsidR="005F1727">
        <w:t xml:space="preserve"> är</w:t>
      </w:r>
      <w:r>
        <w:t xml:space="preserve"> 5</w:t>
      </w:r>
      <w:r w:rsidR="004E3B75">
        <w:t> </w:t>
      </w:r>
      <w:r>
        <w:t>000 euro.</w:t>
      </w:r>
    </w:p>
    <w:p w14:paraId="34E13B14" w14:textId="02499812" w:rsidR="00020CBD" w:rsidRDefault="00020CBD" w:rsidP="00020CBD">
      <w:pPr>
        <w:pStyle w:val="ANormal"/>
      </w:pPr>
      <w:r>
        <w:tab/>
        <w:t>Den skattskyldige kan dessutom få göra ett extra tilläggsavdrag på 45</w:t>
      </w:r>
      <w:r w:rsidR="00C9680D">
        <w:t> </w:t>
      </w:r>
      <w:r>
        <w:t xml:space="preserve">procent på grundval av en ökning av </w:t>
      </w:r>
      <w:r w:rsidR="005F1727">
        <w:t>utgifterna</w:t>
      </w:r>
      <w:r>
        <w:t xml:space="preserve"> för forsknings- och utvecklingsverksamhet, om beloppet har ökat under skatteåret jämfört med föregående skatteår. </w:t>
      </w:r>
      <w:r w:rsidR="005F1727">
        <w:t>Även för</w:t>
      </w:r>
      <w:r>
        <w:t xml:space="preserve"> </w:t>
      </w:r>
      <w:r w:rsidR="00C9680D">
        <w:t xml:space="preserve">det </w:t>
      </w:r>
      <w:r>
        <w:t>extra tilläggsavdrag</w:t>
      </w:r>
      <w:r w:rsidR="00C9680D">
        <w:t>et</w:t>
      </w:r>
      <w:r>
        <w:t xml:space="preserve"> </w:t>
      </w:r>
      <w:r w:rsidR="00C9680D">
        <w:t>är</w:t>
      </w:r>
      <w:r w:rsidR="005F1727">
        <w:t xml:space="preserve"> den övre gränsen högst</w:t>
      </w:r>
      <w:r>
        <w:t xml:space="preserve"> 500</w:t>
      </w:r>
      <w:r w:rsidR="005F1727">
        <w:t> </w:t>
      </w:r>
      <w:r>
        <w:t>000 euro</w:t>
      </w:r>
      <w:r w:rsidR="005F1727" w:rsidRPr="005F1727">
        <w:t xml:space="preserve"> </w:t>
      </w:r>
      <w:r w:rsidR="005F1727">
        <w:t>under ett skatteår</w:t>
      </w:r>
      <w:r>
        <w:t xml:space="preserve">, </w:t>
      </w:r>
      <w:r w:rsidR="00C9680D">
        <w:t>men i det fallet</w:t>
      </w:r>
      <w:r>
        <w:t xml:space="preserve"> </w:t>
      </w:r>
      <w:r w:rsidR="00C9680D">
        <w:t xml:space="preserve">finns </w:t>
      </w:r>
      <w:r>
        <w:t>inte någon nedre gräns.</w:t>
      </w:r>
    </w:p>
    <w:p w14:paraId="3FA4458F" w14:textId="69564350" w:rsidR="00020CBD" w:rsidRDefault="00020CBD" w:rsidP="00020CBD">
      <w:pPr>
        <w:pStyle w:val="ANormal"/>
      </w:pPr>
      <w:r>
        <w:tab/>
      </w:r>
      <w:r w:rsidR="00C9680D">
        <w:t>L</w:t>
      </w:r>
      <w:r>
        <w:t xml:space="preserve">agen </w:t>
      </w:r>
      <w:r w:rsidR="00C9680D">
        <w:t xml:space="preserve">om tilläggsavdrag baserade på utgifter för forsknings- och utvecklingsverksamhet i beskattningen </w:t>
      </w:r>
      <w:r>
        <w:t xml:space="preserve">tillämpas parallellt med bestämmelserna i lagen om ett tilläggsavdrag för forsknings- och utvecklingsverksamhet under skatteåren 2021–2027 </w:t>
      </w:r>
      <w:r w:rsidR="00C9680D">
        <w:t xml:space="preserve">(FFS 1078/2020), </w:t>
      </w:r>
      <w:r>
        <w:t>så att allmänt tilläggsavdrag enligt den för</w:t>
      </w:r>
      <w:r w:rsidR="00C9680D">
        <w:t>stnämnda</w:t>
      </w:r>
      <w:r>
        <w:t xml:space="preserve"> lagen inte få</w:t>
      </w:r>
      <w:r w:rsidR="006356C1">
        <w:t>r göras</w:t>
      </w:r>
      <w:r>
        <w:t xml:space="preserve"> för samma utgifter på basis av vilka det har begärts tilläggsavdrag enligt den </w:t>
      </w:r>
      <w:r w:rsidR="006356C1">
        <w:t>sistnämnda</w:t>
      </w:r>
      <w:r>
        <w:t xml:space="preserve"> lagen. Allmänt eller extra tilläggsavdrag enligt lagen </w:t>
      </w:r>
      <w:r w:rsidR="006356C1">
        <w:t xml:space="preserve">om tilläggsavdrag baserade på utgifter för forsknings- och utvecklingsverksamhet i beskattningen </w:t>
      </w:r>
      <w:r>
        <w:t>få</w:t>
      </w:r>
      <w:r w:rsidR="006356C1">
        <w:t>r</w:t>
      </w:r>
      <w:r>
        <w:t xml:space="preserve"> inte heller</w:t>
      </w:r>
      <w:r w:rsidR="006356C1">
        <w:t xml:space="preserve"> göras</w:t>
      </w:r>
      <w:r>
        <w:t xml:space="preserve"> för samma utgifter </w:t>
      </w:r>
      <w:r w:rsidR="006356C1">
        <w:t>som den skattskyldige har fått</w:t>
      </w:r>
      <w:r>
        <w:t xml:space="preserve"> annat offentligt stöd </w:t>
      </w:r>
      <w:r w:rsidR="006356C1">
        <w:t>för</w:t>
      </w:r>
      <w:r>
        <w:t>. Tilläggsavdragen ska beaktas när skatteårets förlust fastställs.</w:t>
      </w:r>
    </w:p>
    <w:p w14:paraId="1C0D49E1" w14:textId="5C5B9D1D" w:rsidR="00020CBD" w:rsidRDefault="00020CBD" w:rsidP="00020CBD">
      <w:pPr>
        <w:pStyle w:val="ANormal"/>
      </w:pPr>
      <w:r>
        <w:tab/>
        <w:t>Lagen tillämpas i fråga om allmänt tilläggsavdrag första gången vid beskattningen för skatteåret 2023 och i fråga om extra tilläggsavdrag första gången vid beskattningen för skatteåret 2024.</w:t>
      </w:r>
    </w:p>
    <w:p w14:paraId="41A752AE" w14:textId="77777777" w:rsidR="005F1727" w:rsidRDefault="005F1727" w:rsidP="00020CBD">
      <w:pPr>
        <w:pStyle w:val="ANormal"/>
      </w:pPr>
    </w:p>
    <w:p w14:paraId="3FE7AF0E" w14:textId="77777777" w:rsidR="00097444" w:rsidRDefault="00097444" w:rsidP="00097444">
      <w:pPr>
        <w:pStyle w:val="RubrikD"/>
      </w:pPr>
      <w:r>
        <w:t>Förlängning av lagen om höjda avskrivningar på maskiner, inventarier och andra därmed jämförbara lösa anläggningstillgångar skatteåren 2020–2023</w:t>
      </w:r>
    </w:p>
    <w:p w14:paraId="363386D3" w14:textId="77777777" w:rsidR="00097444" w:rsidRDefault="00097444" w:rsidP="00097444">
      <w:pPr>
        <w:pStyle w:val="Rubrikmellanrum"/>
      </w:pPr>
    </w:p>
    <w:p w14:paraId="71C82537" w14:textId="02FE1B04" w:rsidR="00097444" w:rsidRDefault="00097444" w:rsidP="00097444">
      <w:pPr>
        <w:pStyle w:val="ANormal"/>
      </w:pPr>
      <w:r>
        <w:t xml:space="preserve">I samband med att statsbudgeten antogs fattade riksdagen också beslut om att förlänga tillämpningen av lagen om höjda avskrivningar på maskiner, inventarier och andra därmed jämförbara lösa anläggningstillgångar skatteåren 2020–2023 </w:t>
      </w:r>
      <w:r w:rsidR="00C9680D">
        <w:t>(</w:t>
      </w:r>
      <w:r>
        <w:t xml:space="preserve">FFS 1572/2019). Den höjda avskrivningsrätten innebär att det </w:t>
      </w:r>
      <w:r>
        <w:lastRenderedPageBreak/>
        <w:t>på den icke avskrivna anskaffningsutgiften för nya maskiner och anläggningar i stället för den ordinarie avskrivningen på 25 </w:t>
      </w:r>
      <w:r w:rsidR="005F1727" w:rsidRPr="006136BD">
        <w:t>procent</w:t>
      </w:r>
      <w:r>
        <w:t xml:space="preserve"> får göras en årlig avskrivning på högst 50 </w:t>
      </w:r>
      <w:r w:rsidR="005F1727" w:rsidRPr="006136BD">
        <w:t>procent</w:t>
      </w:r>
      <w:r>
        <w:t xml:space="preserve">. </w:t>
      </w:r>
      <w:r w:rsidR="00A97B16">
        <w:t>Lagen ändrades så att t</w:t>
      </w:r>
      <w:r>
        <w:t>illämpningstiden förläng</w:t>
      </w:r>
      <w:r w:rsidR="00A97B16">
        <w:t>de</w:t>
      </w:r>
      <w:r>
        <w:t>s till att gälla även skatteåren 2024 och 2025.</w:t>
      </w:r>
      <w:r w:rsidR="00A97B16">
        <w:t xml:space="preserve"> Samtidigt ändrades också lagens namn. Ändringen (FFS 1314/2022)</w:t>
      </w:r>
      <w:r w:rsidR="00A97B16" w:rsidRPr="00A97B16">
        <w:t xml:space="preserve"> </w:t>
      </w:r>
      <w:r w:rsidR="00A97B16">
        <w:t>trädde i kraft den 1 januari 2023.</w:t>
      </w:r>
    </w:p>
    <w:p w14:paraId="42E1F5FC" w14:textId="71A690F9" w:rsidR="00F05E4B" w:rsidRDefault="00F05E4B" w:rsidP="00F05E4B">
      <w:pPr>
        <w:pStyle w:val="ANormal"/>
      </w:pPr>
    </w:p>
    <w:p w14:paraId="1E1484CA" w14:textId="6D0ED241" w:rsidR="00F05E4B" w:rsidRDefault="00F05E4B" w:rsidP="00F05E4B">
      <w:pPr>
        <w:pStyle w:val="RubrikD"/>
      </w:pPr>
      <w:r>
        <w:t>Ändrad fördelning av samfundsskatten</w:t>
      </w:r>
    </w:p>
    <w:p w14:paraId="6CA4FED2" w14:textId="10D0BE32" w:rsidR="00F05E4B" w:rsidRDefault="00F05E4B" w:rsidP="00F05E4B">
      <w:pPr>
        <w:pStyle w:val="Rubrikmellanrum"/>
      </w:pPr>
    </w:p>
    <w:p w14:paraId="5B6CF3B3" w14:textId="1CF3E100" w:rsidR="00A96A4E" w:rsidRDefault="009D3C14" w:rsidP="00E32D72">
      <w:pPr>
        <w:pStyle w:val="ANormal"/>
      </w:pPr>
      <w:r>
        <w:t>Både den nya lagen</w:t>
      </w:r>
      <w:r w:rsidRPr="009D3C14">
        <w:t xml:space="preserve"> </w:t>
      </w:r>
      <w:r>
        <w:t>om tilläggsavdrag baserade på utgifter för forsknings- och utvecklingsverksamhet i beskattningen och förlängningen av lagen om höjda avskrivningar på maskiner, inventarier och andra därmed jämförbara lösa anläggningstillgångar skatteåren 2020–2023 leder till sänkta samfundsskatteintäkter för kommunerna i riket. Förutom de nämnda förändringarna har man i</w:t>
      </w:r>
      <w:r w:rsidR="00E32D72">
        <w:t xml:space="preserve"> riket </w:t>
      </w:r>
      <w:r w:rsidR="005F1727">
        <w:t>dessutom</w:t>
      </w:r>
      <w:r w:rsidR="00E32D72">
        <w:t xml:space="preserve"> </w:t>
      </w:r>
      <w:r>
        <w:t xml:space="preserve">vidtagit </w:t>
      </w:r>
      <w:r w:rsidR="00E32D72">
        <w:t xml:space="preserve">ett antal åtgärder i syfte att stärka köpkraften. Bland annat </w:t>
      </w:r>
      <w:bookmarkStart w:id="9" w:name="_Hlk121323233"/>
      <w:r>
        <w:t>har</w:t>
      </w:r>
      <w:r w:rsidR="00E32D72">
        <w:t xml:space="preserve"> avgifterna för småbarnspedagogik </w:t>
      </w:r>
      <w:r>
        <w:t xml:space="preserve">sänkts </w:t>
      </w:r>
      <w:r w:rsidR="00557A6D">
        <w:t>samtidigt s</w:t>
      </w:r>
      <w:r w:rsidR="00AE0475">
        <w:t>om</w:t>
      </w:r>
      <w:r w:rsidR="00557A6D">
        <w:t xml:space="preserve"> </w:t>
      </w:r>
      <w:r w:rsidR="00E32D72">
        <w:t>vårdtillägget till stödet för privat vård av barn</w:t>
      </w:r>
      <w:r>
        <w:t xml:space="preserve"> har höjts</w:t>
      </w:r>
      <w:r w:rsidR="00E32D72">
        <w:t xml:space="preserve">. </w:t>
      </w:r>
      <w:bookmarkEnd w:id="9"/>
      <w:r w:rsidR="00802A64">
        <w:t>Dessa åtgärder påverkar i sig inte de åländska kommunerna</w:t>
      </w:r>
      <w:r w:rsidR="00497191">
        <w:t>.</w:t>
      </w:r>
      <w:r w:rsidR="00802A64">
        <w:t xml:space="preserve"> </w:t>
      </w:r>
      <w:r w:rsidR="00497191">
        <w:t>Däremot</w:t>
      </w:r>
      <w:r w:rsidR="00802A64">
        <w:t xml:space="preserve"> leder</w:t>
      </w:r>
      <w:r w:rsidR="00497191">
        <w:t xml:space="preserve"> de</w:t>
      </w:r>
      <w:r w:rsidR="00802A64">
        <w:t xml:space="preserve"> till </w:t>
      </w:r>
      <w:r w:rsidR="001B7073">
        <w:t xml:space="preserve">både </w:t>
      </w:r>
      <w:r w:rsidR="00802A64">
        <w:t xml:space="preserve">sänkta intäkter </w:t>
      </w:r>
      <w:r w:rsidR="001B7073">
        <w:t>och</w:t>
      </w:r>
      <w:r w:rsidR="00802A64">
        <w:t xml:space="preserve"> höjda kostnader för kommunerna i riket</w:t>
      </w:r>
      <w:r w:rsidR="00497191">
        <w:t>.</w:t>
      </w:r>
      <w:r w:rsidR="00802A64">
        <w:t xml:space="preserve"> </w:t>
      </w:r>
      <w:r w:rsidR="00497191">
        <w:t xml:space="preserve">På grund av att staten kompenserar kommunerna i riket via den kommunala andelen av samfundsskatten </w:t>
      </w:r>
      <w:r w:rsidR="00802A64">
        <w:t>påverka</w:t>
      </w:r>
      <w:r w:rsidR="00497191">
        <w:t>s</w:t>
      </w:r>
      <w:r w:rsidR="00802A64">
        <w:t xml:space="preserve"> fördelningen av samfundsskatten mellan staten och kommunerna.</w:t>
      </w:r>
    </w:p>
    <w:p w14:paraId="212A2A6E" w14:textId="6300E606" w:rsidR="00E32D72" w:rsidRDefault="003A239E" w:rsidP="00E32D72">
      <w:pPr>
        <w:pStyle w:val="ANormal"/>
      </w:pPr>
      <w:r>
        <w:tab/>
      </w:r>
      <w:r w:rsidR="004E5F80">
        <w:t xml:space="preserve">Fördelningen av samfundsskatten </w:t>
      </w:r>
      <w:r w:rsidR="00557A6D">
        <w:t xml:space="preserve">ändrades från och med ingången av 2023 så att kommunernas andel höjdes (se FFS 1301/2022). Med hänvisning till att tillämpningen av lagen om höjda avskrivningar på maskiner, inventarier och andra därmed jämförbara lösa anläggningstillgångar skatteåren 2020–2023 förlängdes, infördes också temporära bestämmelser om fördelningen under skatteåren 2028 och 2029. Genom ändringen kompenseras kommunerna i riket enligt nettobelopp för de förändringar i skatteintäkterna som ändringarna i beskattningsgrunden för samfundsbeskattningen medför, det vill säga den ovan angivna lagstiftningen om skattelättnader. Genom ändringen kompenseras kommunerna också för konsekvenserna av den sänkning av avgifterna för småbarnspedagogik och den höjning av vårdtillägget till stödet för privat vård av barn som har genomförts där. </w:t>
      </w:r>
      <w:r w:rsidR="00A94755">
        <w:t xml:space="preserve">I tabellen nedan visas den fördelning som </w:t>
      </w:r>
      <w:r>
        <w:t>gäller</w:t>
      </w:r>
      <w:r w:rsidR="00A94755">
        <w:t xml:space="preserve"> åren 2023–2029 samt den permanenta fördelningen som är avsedd att tillämpas från och med skatteåret 2030.</w:t>
      </w:r>
    </w:p>
    <w:p w14:paraId="34B0F3EC" w14:textId="77777777" w:rsidR="00793404" w:rsidRDefault="00793404" w:rsidP="00793404">
      <w:pPr>
        <w:pStyle w:val="ANormal"/>
      </w:pPr>
    </w:p>
    <w:p w14:paraId="038A7CA1" w14:textId="77777777" w:rsidR="00793404" w:rsidRDefault="00793404" w:rsidP="00793404">
      <w:pPr>
        <w:pStyle w:val="RubrikD"/>
      </w:pPr>
      <w:r>
        <w:t>Skattetagarnas andelar av samfundsskatten i riket:</w:t>
      </w:r>
    </w:p>
    <w:p w14:paraId="72DBE26F" w14:textId="77777777" w:rsidR="00793404" w:rsidRPr="002C659A" w:rsidRDefault="00793404" w:rsidP="00793404">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793404" w:rsidRPr="000854C3" w14:paraId="6E97AB21" w14:textId="77777777" w:rsidTr="00342A52">
        <w:trPr>
          <w:trHeight w:val="304"/>
        </w:trPr>
        <w:tc>
          <w:tcPr>
            <w:tcW w:w="1276" w:type="dxa"/>
            <w:tcBorders>
              <w:left w:val="single" w:sz="4" w:space="0" w:color="auto"/>
              <w:bottom w:val="single" w:sz="4" w:space="0" w:color="auto"/>
              <w:right w:val="single" w:sz="4" w:space="0" w:color="auto"/>
            </w:tcBorders>
            <w:vAlign w:val="bottom"/>
          </w:tcPr>
          <w:p w14:paraId="788AB422" w14:textId="77777777" w:rsidR="00793404" w:rsidRPr="000854C3" w:rsidRDefault="00793404" w:rsidP="00342A52">
            <w:pPr>
              <w:pStyle w:val="Tabelltext"/>
              <w:keepNext/>
              <w:rPr>
                <w:b/>
              </w:rPr>
            </w:pPr>
            <w:bookmarkStart w:id="10" w:name="_Hlk29462462"/>
          </w:p>
        </w:tc>
        <w:tc>
          <w:tcPr>
            <w:tcW w:w="673" w:type="dxa"/>
            <w:tcBorders>
              <w:left w:val="single" w:sz="4" w:space="0" w:color="auto"/>
              <w:bottom w:val="single" w:sz="4" w:space="0" w:color="auto"/>
              <w:right w:val="single" w:sz="4" w:space="0" w:color="auto"/>
            </w:tcBorders>
            <w:vAlign w:val="bottom"/>
          </w:tcPr>
          <w:p w14:paraId="7C2D6745" w14:textId="6A0FD693" w:rsidR="00793404" w:rsidRPr="000854C3" w:rsidRDefault="00793404" w:rsidP="00342A52">
            <w:pPr>
              <w:pStyle w:val="Tabelltext"/>
              <w:keepNext/>
              <w:jc w:val="center"/>
              <w:rPr>
                <w:b/>
              </w:rPr>
            </w:pPr>
            <w:r w:rsidRPr="000854C3">
              <w:rPr>
                <w:b/>
              </w:rPr>
              <w:t>20</w:t>
            </w:r>
            <w:r>
              <w:rPr>
                <w:b/>
              </w:rPr>
              <w:t>2</w:t>
            </w:r>
            <w:r w:rsidR="00CE6956">
              <w:rPr>
                <w:b/>
              </w:rPr>
              <w:t>3</w:t>
            </w:r>
          </w:p>
        </w:tc>
        <w:tc>
          <w:tcPr>
            <w:tcW w:w="673" w:type="dxa"/>
            <w:tcBorders>
              <w:left w:val="single" w:sz="4" w:space="0" w:color="auto"/>
              <w:bottom w:val="single" w:sz="4" w:space="0" w:color="auto"/>
              <w:right w:val="single" w:sz="4" w:space="0" w:color="auto"/>
            </w:tcBorders>
            <w:vAlign w:val="bottom"/>
          </w:tcPr>
          <w:p w14:paraId="74DFCA0F" w14:textId="6C247F00" w:rsidR="00793404" w:rsidRPr="000854C3" w:rsidRDefault="00793404" w:rsidP="00342A52">
            <w:pPr>
              <w:pStyle w:val="Tabelltext"/>
              <w:keepNext/>
              <w:jc w:val="center"/>
              <w:rPr>
                <w:b/>
              </w:rPr>
            </w:pPr>
            <w:r w:rsidRPr="000854C3">
              <w:rPr>
                <w:b/>
              </w:rPr>
              <w:t>20</w:t>
            </w:r>
            <w:r>
              <w:rPr>
                <w:b/>
              </w:rPr>
              <w:t>2</w:t>
            </w:r>
            <w:r w:rsidR="00CE6956">
              <w:rPr>
                <w:b/>
              </w:rPr>
              <w:t>4</w:t>
            </w:r>
          </w:p>
        </w:tc>
        <w:tc>
          <w:tcPr>
            <w:tcW w:w="674" w:type="dxa"/>
            <w:tcBorders>
              <w:left w:val="single" w:sz="4" w:space="0" w:color="auto"/>
              <w:bottom w:val="single" w:sz="4" w:space="0" w:color="auto"/>
              <w:right w:val="single" w:sz="4" w:space="0" w:color="auto"/>
            </w:tcBorders>
            <w:vAlign w:val="bottom"/>
          </w:tcPr>
          <w:p w14:paraId="4857955D" w14:textId="73644B3F" w:rsidR="00793404" w:rsidRPr="000854C3" w:rsidRDefault="00793404" w:rsidP="00342A52">
            <w:pPr>
              <w:pStyle w:val="Tabelltext"/>
              <w:keepNext/>
              <w:jc w:val="center"/>
              <w:rPr>
                <w:b/>
              </w:rPr>
            </w:pPr>
            <w:r w:rsidRPr="000854C3">
              <w:rPr>
                <w:b/>
              </w:rPr>
              <w:t>20</w:t>
            </w:r>
            <w:r>
              <w:rPr>
                <w:b/>
              </w:rPr>
              <w:t>2</w:t>
            </w:r>
            <w:r w:rsidR="00CE6956">
              <w:rPr>
                <w:b/>
              </w:rPr>
              <w:t>5</w:t>
            </w:r>
          </w:p>
        </w:tc>
        <w:tc>
          <w:tcPr>
            <w:tcW w:w="673" w:type="dxa"/>
            <w:tcBorders>
              <w:left w:val="single" w:sz="4" w:space="0" w:color="auto"/>
              <w:bottom w:val="single" w:sz="4" w:space="0" w:color="auto"/>
              <w:right w:val="single" w:sz="4" w:space="0" w:color="auto"/>
            </w:tcBorders>
            <w:vAlign w:val="bottom"/>
          </w:tcPr>
          <w:p w14:paraId="6309EA9F" w14:textId="5D6F3E51" w:rsidR="00793404" w:rsidRPr="000854C3" w:rsidRDefault="00793404" w:rsidP="00342A52">
            <w:pPr>
              <w:pStyle w:val="Tabelltext"/>
              <w:keepNext/>
              <w:jc w:val="center"/>
              <w:rPr>
                <w:b/>
              </w:rPr>
            </w:pPr>
            <w:r w:rsidRPr="000854C3">
              <w:rPr>
                <w:b/>
              </w:rPr>
              <w:t>20</w:t>
            </w:r>
            <w:r>
              <w:rPr>
                <w:b/>
              </w:rPr>
              <w:t>2</w:t>
            </w:r>
            <w:r w:rsidR="00CE6956">
              <w:rPr>
                <w:b/>
              </w:rPr>
              <w:t>6</w:t>
            </w:r>
          </w:p>
        </w:tc>
        <w:tc>
          <w:tcPr>
            <w:tcW w:w="673" w:type="dxa"/>
            <w:tcBorders>
              <w:left w:val="single" w:sz="4" w:space="0" w:color="auto"/>
              <w:bottom w:val="single" w:sz="4" w:space="0" w:color="auto"/>
              <w:right w:val="single" w:sz="4" w:space="0" w:color="auto"/>
            </w:tcBorders>
            <w:vAlign w:val="bottom"/>
          </w:tcPr>
          <w:p w14:paraId="0E7ACDCD" w14:textId="688031BE" w:rsidR="00793404" w:rsidRPr="000854C3" w:rsidRDefault="00793404" w:rsidP="00342A52">
            <w:pPr>
              <w:pStyle w:val="Tabelltext"/>
              <w:keepNext/>
              <w:jc w:val="center"/>
              <w:rPr>
                <w:b/>
              </w:rPr>
            </w:pPr>
            <w:r w:rsidRPr="000854C3">
              <w:rPr>
                <w:b/>
              </w:rPr>
              <w:t>20</w:t>
            </w:r>
            <w:r>
              <w:rPr>
                <w:b/>
              </w:rPr>
              <w:t>2</w:t>
            </w:r>
            <w:r w:rsidR="00CE6956">
              <w:rPr>
                <w:b/>
              </w:rPr>
              <w:t>7</w:t>
            </w:r>
          </w:p>
        </w:tc>
        <w:tc>
          <w:tcPr>
            <w:tcW w:w="674" w:type="dxa"/>
            <w:tcBorders>
              <w:left w:val="single" w:sz="4" w:space="0" w:color="auto"/>
              <w:bottom w:val="single" w:sz="4" w:space="0" w:color="auto"/>
              <w:right w:val="single" w:sz="4" w:space="0" w:color="auto"/>
            </w:tcBorders>
            <w:vAlign w:val="bottom"/>
          </w:tcPr>
          <w:p w14:paraId="1835E480" w14:textId="5EED67E4" w:rsidR="00793404" w:rsidRPr="000854C3" w:rsidRDefault="00793404" w:rsidP="00342A52">
            <w:pPr>
              <w:pStyle w:val="Tabelltext"/>
              <w:keepNext/>
              <w:jc w:val="center"/>
              <w:rPr>
                <w:b/>
              </w:rPr>
            </w:pPr>
            <w:r w:rsidRPr="000854C3">
              <w:rPr>
                <w:b/>
              </w:rPr>
              <w:t>20</w:t>
            </w:r>
            <w:r>
              <w:rPr>
                <w:b/>
              </w:rPr>
              <w:t>2</w:t>
            </w:r>
            <w:r w:rsidR="00CE6956">
              <w:rPr>
                <w:b/>
              </w:rPr>
              <w:t>8</w:t>
            </w:r>
          </w:p>
        </w:tc>
        <w:tc>
          <w:tcPr>
            <w:tcW w:w="673" w:type="dxa"/>
            <w:tcBorders>
              <w:left w:val="single" w:sz="4" w:space="0" w:color="auto"/>
              <w:bottom w:val="single" w:sz="4" w:space="0" w:color="auto"/>
              <w:right w:val="single" w:sz="4" w:space="0" w:color="auto"/>
            </w:tcBorders>
            <w:vAlign w:val="bottom"/>
          </w:tcPr>
          <w:p w14:paraId="668BD0B9" w14:textId="1D82D671" w:rsidR="00793404" w:rsidRPr="000854C3" w:rsidRDefault="00793404" w:rsidP="00342A52">
            <w:pPr>
              <w:pStyle w:val="Tabelltext"/>
              <w:keepNext/>
              <w:jc w:val="right"/>
              <w:rPr>
                <w:b/>
              </w:rPr>
            </w:pPr>
            <w:r>
              <w:rPr>
                <w:b/>
              </w:rPr>
              <w:t>202</w:t>
            </w:r>
            <w:r w:rsidR="00CE6956">
              <w:rPr>
                <w:b/>
              </w:rPr>
              <w:t>9</w:t>
            </w:r>
          </w:p>
        </w:tc>
        <w:tc>
          <w:tcPr>
            <w:tcW w:w="674" w:type="dxa"/>
            <w:tcBorders>
              <w:left w:val="single" w:sz="4" w:space="0" w:color="auto"/>
              <w:bottom w:val="single" w:sz="4" w:space="0" w:color="auto"/>
              <w:right w:val="single" w:sz="4" w:space="0" w:color="auto"/>
            </w:tcBorders>
            <w:vAlign w:val="bottom"/>
          </w:tcPr>
          <w:p w14:paraId="1CD33B53" w14:textId="36C0ECEE" w:rsidR="00793404" w:rsidRPr="000854C3" w:rsidRDefault="00793404" w:rsidP="00342A52">
            <w:pPr>
              <w:pStyle w:val="Tabelltext"/>
              <w:keepNext/>
              <w:jc w:val="right"/>
              <w:rPr>
                <w:b/>
              </w:rPr>
            </w:pPr>
            <w:r>
              <w:rPr>
                <w:b/>
              </w:rPr>
              <w:t>20</w:t>
            </w:r>
            <w:r w:rsidR="00CE6956">
              <w:rPr>
                <w:b/>
              </w:rPr>
              <w:t>30</w:t>
            </w:r>
          </w:p>
        </w:tc>
      </w:tr>
      <w:tr w:rsidR="00793404" w14:paraId="6A8BB89F" w14:textId="77777777" w:rsidTr="00342A52">
        <w:trPr>
          <w:trHeight w:val="304"/>
        </w:trPr>
        <w:tc>
          <w:tcPr>
            <w:tcW w:w="1276" w:type="dxa"/>
            <w:tcBorders>
              <w:top w:val="single" w:sz="4" w:space="0" w:color="auto"/>
              <w:left w:val="single" w:sz="4" w:space="0" w:color="auto"/>
              <w:right w:val="single" w:sz="4" w:space="0" w:color="auto"/>
            </w:tcBorders>
            <w:vAlign w:val="bottom"/>
          </w:tcPr>
          <w:p w14:paraId="4B8CF1DF" w14:textId="77777777" w:rsidR="00793404" w:rsidRDefault="00793404" w:rsidP="00342A52">
            <w:pPr>
              <w:pStyle w:val="Tabelltext"/>
              <w:keepNext/>
            </w:pPr>
            <w:r>
              <w:t>Staten</w:t>
            </w:r>
          </w:p>
        </w:tc>
        <w:tc>
          <w:tcPr>
            <w:tcW w:w="673" w:type="dxa"/>
            <w:tcBorders>
              <w:top w:val="single" w:sz="4" w:space="0" w:color="auto"/>
              <w:left w:val="single" w:sz="4" w:space="0" w:color="auto"/>
              <w:right w:val="single" w:sz="4" w:space="0" w:color="auto"/>
            </w:tcBorders>
            <w:vAlign w:val="bottom"/>
          </w:tcPr>
          <w:p w14:paraId="7927CC9A" w14:textId="2F9FEF83" w:rsidR="00793404" w:rsidRDefault="00793404" w:rsidP="00342A52">
            <w:pPr>
              <w:pStyle w:val="Tabelltext"/>
              <w:keepNext/>
              <w:jc w:val="right"/>
            </w:pPr>
            <w:r>
              <w:t>7</w:t>
            </w:r>
            <w:r w:rsidR="00CE6956">
              <w:t>6</w:t>
            </w:r>
            <w:r>
              <w:t>,</w:t>
            </w:r>
            <w:r w:rsidR="00CE6956">
              <w:t>0</w:t>
            </w:r>
            <w:r w:rsidR="00BF5AE4">
              <w:t>9</w:t>
            </w:r>
          </w:p>
        </w:tc>
        <w:tc>
          <w:tcPr>
            <w:tcW w:w="673" w:type="dxa"/>
            <w:tcBorders>
              <w:top w:val="single" w:sz="4" w:space="0" w:color="auto"/>
              <w:left w:val="single" w:sz="4" w:space="0" w:color="auto"/>
              <w:right w:val="single" w:sz="4" w:space="0" w:color="auto"/>
            </w:tcBorders>
            <w:vAlign w:val="bottom"/>
          </w:tcPr>
          <w:p w14:paraId="06E132EC" w14:textId="0E0A2393" w:rsidR="00793404" w:rsidRDefault="00793404" w:rsidP="00342A52">
            <w:pPr>
              <w:pStyle w:val="Tabelltext"/>
              <w:keepNext/>
              <w:jc w:val="right"/>
            </w:pPr>
            <w:r>
              <w:t>7</w:t>
            </w:r>
            <w:r w:rsidR="00CE6956">
              <w:t>6</w:t>
            </w:r>
            <w:r>
              <w:t>,</w:t>
            </w:r>
            <w:r w:rsidR="00BF5AE4">
              <w:t>31</w:t>
            </w:r>
          </w:p>
        </w:tc>
        <w:tc>
          <w:tcPr>
            <w:tcW w:w="674" w:type="dxa"/>
            <w:tcBorders>
              <w:top w:val="single" w:sz="4" w:space="0" w:color="auto"/>
              <w:left w:val="single" w:sz="4" w:space="0" w:color="auto"/>
              <w:right w:val="single" w:sz="4" w:space="0" w:color="auto"/>
            </w:tcBorders>
            <w:vAlign w:val="bottom"/>
          </w:tcPr>
          <w:p w14:paraId="086B4EB2" w14:textId="4421B26B" w:rsidR="00793404" w:rsidRDefault="00793404" w:rsidP="00342A52">
            <w:pPr>
              <w:pStyle w:val="Tabelltext"/>
              <w:keepNext/>
              <w:jc w:val="right"/>
            </w:pPr>
            <w:r>
              <w:t>7</w:t>
            </w:r>
            <w:r w:rsidR="00CE6956">
              <w:t>6</w:t>
            </w:r>
            <w:r>
              <w:t>,</w:t>
            </w:r>
            <w:r w:rsidR="00BF5AE4">
              <w:t>31</w:t>
            </w:r>
          </w:p>
        </w:tc>
        <w:tc>
          <w:tcPr>
            <w:tcW w:w="673" w:type="dxa"/>
            <w:tcBorders>
              <w:top w:val="single" w:sz="4" w:space="0" w:color="auto"/>
              <w:left w:val="single" w:sz="4" w:space="0" w:color="auto"/>
              <w:right w:val="single" w:sz="4" w:space="0" w:color="auto"/>
            </w:tcBorders>
            <w:vAlign w:val="bottom"/>
          </w:tcPr>
          <w:p w14:paraId="17B6B6AB" w14:textId="5D9FC87A" w:rsidR="00793404" w:rsidRDefault="00CE6956" w:rsidP="00342A52">
            <w:pPr>
              <w:pStyle w:val="Tabelltext"/>
              <w:keepNext/>
              <w:jc w:val="right"/>
            </w:pPr>
            <w:r>
              <w:t>7</w:t>
            </w:r>
            <w:r w:rsidR="00793404">
              <w:t>7,</w:t>
            </w:r>
            <w:r w:rsidR="00BF5AE4">
              <w:t>08</w:t>
            </w:r>
          </w:p>
        </w:tc>
        <w:tc>
          <w:tcPr>
            <w:tcW w:w="673" w:type="dxa"/>
            <w:tcBorders>
              <w:top w:val="single" w:sz="4" w:space="0" w:color="auto"/>
              <w:left w:val="single" w:sz="4" w:space="0" w:color="auto"/>
              <w:right w:val="single" w:sz="4" w:space="0" w:color="auto"/>
            </w:tcBorders>
            <w:vAlign w:val="bottom"/>
          </w:tcPr>
          <w:p w14:paraId="578A73D8" w14:textId="3F215417" w:rsidR="00793404" w:rsidRDefault="00CE6956" w:rsidP="00342A52">
            <w:pPr>
              <w:pStyle w:val="Tabelltext"/>
              <w:keepNext/>
              <w:jc w:val="right"/>
            </w:pPr>
            <w:r>
              <w:t>7</w:t>
            </w:r>
            <w:r w:rsidR="00BF5AE4">
              <w:t>6</w:t>
            </w:r>
            <w:r w:rsidR="00793404">
              <w:t>,</w:t>
            </w:r>
            <w:r w:rsidR="00BF5AE4">
              <w:t>94</w:t>
            </w:r>
          </w:p>
        </w:tc>
        <w:tc>
          <w:tcPr>
            <w:tcW w:w="674" w:type="dxa"/>
            <w:tcBorders>
              <w:top w:val="single" w:sz="4" w:space="0" w:color="auto"/>
              <w:left w:val="single" w:sz="4" w:space="0" w:color="auto"/>
              <w:right w:val="single" w:sz="4" w:space="0" w:color="auto"/>
            </w:tcBorders>
            <w:vAlign w:val="bottom"/>
          </w:tcPr>
          <w:p w14:paraId="758B085F" w14:textId="52208BA6" w:rsidR="00793404" w:rsidRDefault="00CE6956" w:rsidP="00342A52">
            <w:pPr>
              <w:pStyle w:val="Tabelltext"/>
              <w:keepNext/>
              <w:jc w:val="right"/>
            </w:pPr>
            <w:r>
              <w:t>7</w:t>
            </w:r>
            <w:r w:rsidR="00BF5AE4">
              <w:t>6</w:t>
            </w:r>
            <w:r w:rsidR="00793404">
              <w:t>,</w:t>
            </w:r>
            <w:r w:rsidR="00BF5AE4">
              <w:t>77</w:t>
            </w:r>
          </w:p>
        </w:tc>
        <w:tc>
          <w:tcPr>
            <w:tcW w:w="673" w:type="dxa"/>
            <w:tcBorders>
              <w:top w:val="single" w:sz="4" w:space="0" w:color="auto"/>
              <w:left w:val="single" w:sz="4" w:space="0" w:color="auto"/>
              <w:right w:val="single" w:sz="4" w:space="0" w:color="auto"/>
            </w:tcBorders>
            <w:vAlign w:val="bottom"/>
          </w:tcPr>
          <w:p w14:paraId="71CD1BB8" w14:textId="07EC3E70" w:rsidR="00793404" w:rsidRDefault="00CE6956" w:rsidP="00342A52">
            <w:pPr>
              <w:pStyle w:val="Tabelltext"/>
              <w:keepNext/>
              <w:jc w:val="right"/>
            </w:pPr>
            <w:r>
              <w:t>7</w:t>
            </w:r>
            <w:r w:rsidR="00BF5AE4">
              <w:t>6</w:t>
            </w:r>
            <w:r w:rsidR="00793404">
              <w:t>,</w:t>
            </w:r>
            <w:r w:rsidR="00BF5AE4">
              <w:t>73</w:t>
            </w:r>
          </w:p>
        </w:tc>
        <w:tc>
          <w:tcPr>
            <w:tcW w:w="674" w:type="dxa"/>
            <w:tcBorders>
              <w:top w:val="single" w:sz="4" w:space="0" w:color="auto"/>
              <w:left w:val="single" w:sz="4" w:space="0" w:color="auto"/>
              <w:right w:val="single" w:sz="4" w:space="0" w:color="auto"/>
            </w:tcBorders>
            <w:vAlign w:val="bottom"/>
          </w:tcPr>
          <w:p w14:paraId="64AD61BF" w14:textId="3E2F03DA" w:rsidR="00793404" w:rsidRDefault="00CE6956" w:rsidP="00342A52">
            <w:pPr>
              <w:pStyle w:val="Tabelltext"/>
              <w:keepNext/>
              <w:jc w:val="right"/>
            </w:pPr>
            <w:r>
              <w:t>7</w:t>
            </w:r>
            <w:r w:rsidR="00793404">
              <w:t>6,</w:t>
            </w:r>
            <w:r w:rsidR="0043219F">
              <w:t>60</w:t>
            </w:r>
          </w:p>
        </w:tc>
      </w:tr>
      <w:tr w:rsidR="00793404" w14:paraId="16084A79" w14:textId="77777777" w:rsidTr="00342A52">
        <w:trPr>
          <w:trHeight w:val="304"/>
        </w:trPr>
        <w:tc>
          <w:tcPr>
            <w:tcW w:w="1276" w:type="dxa"/>
            <w:tcBorders>
              <w:left w:val="single" w:sz="4" w:space="0" w:color="auto"/>
              <w:right w:val="single" w:sz="4" w:space="0" w:color="auto"/>
            </w:tcBorders>
            <w:vAlign w:val="bottom"/>
          </w:tcPr>
          <w:p w14:paraId="0D369C9B" w14:textId="77777777" w:rsidR="00793404" w:rsidRDefault="00793404" w:rsidP="00342A52">
            <w:pPr>
              <w:pStyle w:val="Tabelltext"/>
              <w:keepNext/>
            </w:pPr>
            <w:r>
              <w:t>Kommuner</w:t>
            </w:r>
          </w:p>
        </w:tc>
        <w:tc>
          <w:tcPr>
            <w:tcW w:w="673" w:type="dxa"/>
            <w:tcBorders>
              <w:left w:val="single" w:sz="4" w:space="0" w:color="auto"/>
              <w:right w:val="single" w:sz="4" w:space="0" w:color="auto"/>
            </w:tcBorders>
            <w:vAlign w:val="bottom"/>
          </w:tcPr>
          <w:p w14:paraId="0322AEEB" w14:textId="13CE8181" w:rsidR="00793404" w:rsidRDefault="00793404" w:rsidP="00342A52">
            <w:pPr>
              <w:pStyle w:val="Tabelltext"/>
              <w:keepNext/>
              <w:jc w:val="right"/>
            </w:pPr>
            <w:r>
              <w:t>2</w:t>
            </w:r>
            <w:r w:rsidR="00CE6956">
              <w:t>3</w:t>
            </w:r>
            <w:r>
              <w:t>,</w:t>
            </w:r>
            <w:r w:rsidR="00BF5AE4">
              <w:t>91</w:t>
            </w:r>
          </w:p>
        </w:tc>
        <w:tc>
          <w:tcPr>
            <w:tcW w:w="673" w:type="dxa"/>
            <w:tcBorders>
              <w:left w:val="single" w:sz="4" w:space="0" w:color="auto"/>
              <w:right w:val="single" w:sz="4" w:space="0" w:color="auto"/>
            </w:tcBorders>
            <w:vAlign w:val="bottom"/>
          </w:tcPr>
          <w:p w14:paraId="649D2138" w14:textId="739913B8" w:rsidR="00793404" w:rsidRDefault="00CE6956" w:rsidP="00342A52">
            <w:pPr>
              <w:pStyle w:val="Tabelltext"/>
              <w:keepNext/>
              <w:jc w:val="right"/>
            </w:pPr>
            <w:r>
              <w:t>2</w:t>
            </w:r>
            <w:r w:rsidR="00793404">
              <w:t>3,</w:t>
            </w:r>
            <w:r w:rsidR="00BF5AE4">
              <w:t>69</w:t>
            </w:r>
          </w:p>
        </w:tc>
        <w:tc>
          <w:tcPr>
            <w:tcW w:w="674" w:type="dxa"/>
            <w:tcBorders>
              <w:left w:val="single" w:sz="4" w:space="0" w:color="auto"/>
              <w:right w:val="single" w:sz="4" w:space="0" w:color="auto"/>
            </w:tcBorders>
            <w:vAlign w:val="bottom"/>
          </w:tcPr>
          <w:p w14:paraId="7B1055DB" w14:textId="4CC3C390" w:rsidR="00793404" w:rsidRDefault="00793404" w:rsidP="00342A52">
            <w:pPr>
              <w:pStyle w:val="Tabelltext"/>
              <w:keepNext/>
              <w:jc w:val="right"/>
            </w:pPr>
            <w:r>
              <w:t>2</w:t>
            </w:r>
            <w:r w:rsidR="00CE6956">
              <w:t>3</w:t>
            </w:r>
            <w:r>
              <w:t>,</w:t>
            </w:r>
            <w:r w:rsidR="00BF5AE4">
              <w:t>69</w:t>
            </w:r>
          </w:p>
        </w:tc>
        <w:tc>
          <w:tcPr>
            <w:tcW w:w="673" w:type="dxa"/>
            <w:tcBorders>
              <w:left w:val="single" w:sz="4" w:space="0" w:color="auto"/>
              <w:right w:val="single" w:sz="4" w:space="0" w:color="auto"/>
            </w:tcBorders>
            <w:vAlign w:val="bottom"/>
          </w:tcPr>
          <w:p w14:paraId="3CBAB4B6" w14:textId="11984F87" w:rsidR="00793404" w:rsidRDefault="00CE6956" w:rsidP="00342A52">
            <w:pPr>
              <w:pStyle w:val="Tabelltext"/>
              <w:keepNext/>
              <w:jc w:val="right"/>
            </w:pPr>
            <w:r>
              <w:t>2</w:t>
            </w:r>
            <w:r w:rsidR="00793404">
              <w:t>2,</w:t>
            </w:r>
            <w:r w:rsidR="00BF5AE4">
              <w:t>92</w:t>
            </w:r>
          </w:p>
        </w:tc>
        <w:tc>
          <w:tcPr>
            <w:tcW w:w="673" w:type="dxa"/>
            <w:tcBorders>
              <w:left w:val="single" w:sz="4" w:space="0" w:color="auto"/>
              <w:right w:val="single" w:sz="4" w:space="0" w:color="auto"/>
            </w:tcBorders>
            <w:vAlign w:val="bottom"/>
          </w:tcPr>
          <w:p w14:paraId="61B37139" w14:textId="0676ED65" w:rsidR="00793404" w:rsidRDefault="00CE6956" w:rsidP="00342A52">
            <w:pPr>
              <w:pStyle w:val="Tabelltext"/>
              <w:keepNext/>
              <w:jc w:val="right"/>
            </w:pPr>
            <w:r>
              <w:t>2</w:t>
            </w:r>
            <w:r w:rsidR="00BF5AE4">
              <w:t>3</w:t>
            </w:r>
            <w:r w:rsidR="00793404">
              <w:t>,</w:t>
            </w:r>
            <w:r w:rsidR="00BF5AE4">
              <w:t>06</w:t>
            </w:r>
          </w:p>
        </w:tc>
        <w:tc>
          <w:tcPr>
            <w:tcW w:w="674" w:type="dxa"/>
            <w:tcBorders>
              <w:left w:val="single" w:sz="4" w:space="0" w:color="auto"/>
              <w:right w:val="single" w:sz="4" w:space="0" w:color="auto"/>
            </w:tcBorders>
            <w:vAlign w:val="bottom"/>
          </w:tcPr>
          <w:p w14:paraId="3C0B8002" w14:textId="78E58E4D" w:rsidR="00793404" w:rsidRDefault="00CE6956" w:rsidP="00342A52">
            <w:pPr>
              <w:pStyle w:val="Tabelltext"/>
              <w:keepNext/>
              <w:jc w:val="right"/>
            </w:pPr>
            <w:r>
              <w:t>2</w:t>
            </w:r>
            <w:r w:rsidR="00BF5AE4">
              <w:t>3</w:t>
            </w:r>
            <w:r w:rsidR="00793404">
              <w:t>,</w:t>
            </w:r>
            <w:r w:rsidR="00BF5AE4">
              <w:t>23</w:t>
            </w:r>
          </w:p>
        </w:tc>
        <w:tc>
          <w:tcPr>
            <w:tcW w:w="673" w:type="dxa"/>
            <w:tcBorders>
              <w:left w:val="single" w:sz="4" w:space="0" w:color="auto"/>
              <w:right w:val="single" w:sz="4" w:space="0" w:color="auto"/>
            </w:tcBorders>
            <w:vAlign w:val="bottom"/>
          </w:tcPr>
          <w:p w14:paraId="203AA093" w14:textId="15D307DC" w:rsidR="00793404" w:rsidRDefault="00CE6956" w:rsidP="00342A52">
            <w:pPr>
              <w:pStyle w:val="Tabelltext"/>
              <w:keepNext/>
              <w:jc w:val="right"/>
            </w:pPr>
            <w:r>
              <w:t>2</w:t>
            </w:r>
            <w:r w:rsidR="00793404">
              <w:t>3,</w:t>
            </w:r>
            <w:r w:rsidR="00BF5AE4">
              <w:t>27</w:t>
            </w:r>
          </w:p>
        </w:tc>
        <w:tc>
          <w:tcPr>
            <w:tcW w:w="674" w:type="dxa"/>
            <w:tcBorders>
              <w:left w:val="single" w:sz="4" w:space="0" w:color="auto"/>
              <w:right w:val="single" w:sz="4" w:space="0" w:color="auto"/>
            </w:tcBorders>
            <w:vAlign w:val="bottom"/>
          </w:tcPr>
          <w:p w14:paraId="042EE4B3" w14:textId="204A5170" w:rsidR="00793404" w:rsidRDefault="00CE6956" w:rsidP="00342A52">
            <w:pPr>
              <w:pStyle w:val="Tabelltext"/>
              <w:keepNext/>
              <w:jc w:val="right"/>
            </w:pPr>
            <w:r>
              <w:t>2</w:t>
            </w:r>
            <w:r w:rsidR="00793404">
              <w:t>3,</w:t>
            </w:r>
            <w:r w:rsidR="0043219F">
              <w:t>40</w:t>
            </w:r>
          </w:p>
        </w:tc>
      </w:tr>
      <w:tr w:rsidR="00793404" w14:paraId="02A47570" w14:textId="77777777" w:rsidTr="00342A52">
        <w:trPr>
          <w:trHeight w:val="304"/>
        </w:trPr>
        <w:tc>
          <w:tcPr>
            <w:tcW w:w="1276" w:type="dxa"/>
            <w:tcBorders>
              <w:top w:val="single" w:sz="4" w:space="0" w:color="auto"/>
              <w:left w:val="single" w:sz="4" w:space="0" w:color="auto"/>
              <w:right w:val="single" w:sz="4" w:space="0" w:color="auto"/>
            </w:tcBorders>
            <w:vAlign w:val="bottom"/>
          </w:tcPr>
          <w:p w14:paraId="571DB436" w14:textId="77777777" w:rsidR="00793404" w:rsidRDefault="00793404" w:rsidP="00342A52">
            <w:pPr>
              <w:pStyle w:val="Tabelltext"/>
              <w:keepNext/>
            </w:pPr>
            <w:r>
              <w:t>Totalt</w:t>
            </w:r>
          </w:p>
        </w:tc>
        <w:tc>
          <w:tcPr>
            <w:tcW w:w="673" w:type="dxa"/>
            <w:tcBorders>
              <w:top w:val="single" w:sz="4" w:space="0" w:color="auto"/>
              <w:left w:val="single" w:sz="4" w:space="0" w:color="auto"/>
              <w:right w:val="single" w:sz="4" w:space="0" w:color="auto"/>
            </w:tcBorders>
            <w:vAlign w:val="bottom"/>
          </w:tcPr>
          <w:p w14:paraId="2997548F" w14:textId="77777777" w:rsidR="00793404" w:rsidRDefault="00793404" w:rsidP="00342A52">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2D93BCBB" w14:textId="77777777" w:rsidR="00793404" w:rsidRDefault="00793404" w:rsidP="00342A52">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17BC100D" w14:textId="77777777" w:rsidR="00793404" w:rsidRDefault="00793404" w:rsidP="00342A52">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24C08C74" w14:textId="77777777" w:rsidR="00793404" w:rsidRDefault="00793404" w:rsidP="00342A52">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09D90DCB" w14:textId="77777777" w:rsidR="00793404" w:rsidRDefault="00793404" w:rsidP="00342A52">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66F2DB71" w14:textId="77777777" w:rsidR="00793404" w:rsidRDefault="00793404" w:rsidP="00342A52">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0DD96ED2" w14:textId="77777777" w:rsidR="00793404" w:rsidRDefault="00793404" w:rsidP="00342A52">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697D2FED" w14:textId="77777777" w:rsidR="00793404" w:rsidRDefault="00793404" w:rsidP="00342A52">
            <w:pPr>
              <w:pStyle w:val="Tabelltext"/>
              <w:keepNext/>
              <w:jc w:val="right"/>
            </w:pPr>
            <w:r>
              <w:t>100</w:t>
            </w:r>
          </w:p>
        </w:tc>
      </w:tr>
      <w:bookmarkEnd w:id="10"/>
    </w:tbl>
    <w:p w14:paraId="32224679" w14:textId="616BC6FF" w:rsidR="00557A6D" w:rsidRDefault="00557A6D" w:rsidP="009D3C14">
      <w:pPr>
        <w:pStyle w:val="ANormal"/>
      </w:pPr>
    </w:p>
    <w:p w14:paraId="7EBE1BEB" w14:textId="77777777" w:rsidR="004F27FA" w:rsidRDefault="004F27FA" w:rsidP="009D3C14">
      <w:pPr>
        <w:pStyle w:val="ANormal"/>
      </w:pPr>
    </w:p>
    <w:p w14:paraId="220CAD99" w14:textId="2F1E2E28" w:rsidR="003D0227" w:rsidRDefault="00052DBE" w:rsidP="00052DBE">
      <w:pPr>
        <w:pStyle w:val="RubrikB"/>
      </w:pPr>
      <w:bookmarkStart w:id="11" w:name="_Toc129771245"/>
      <w:r>
        <w:t>2. Landskapsregeringens överväganden och förslag</w:t>
      </w:r>
      <w:bookmarkEnd w:id="11"/>
    </w:p>
    <w:p w14:paraId="33DD91D1" w14:textId="4BAD650F" w:rsidR="00052DBE" w:rsidRDefault="00052DBE" w:rsidP="00052DBE">
      <w:pPr>
        <w:pStyle w:val="Rubrikmellanrum"/>
      </w:pPr>
    </w:p>
    <w:p w14:paraId="560AD59A" w14:textId="5F2A1D29" w:rsidR="001248B4" w:rsidRDefault="001248B4" w:rsidP="001248B4">
      <w:pPr>
        <w:pStyle w:val="RubrikC"/>
      </w:pPr>
      <w:bookmarkStart w:id="12" w:name="_Toc129771246"/>
      <w:r>
        <w:t>2.1 Tilläggsavdrag baserade på utgifter för forsknings- och utvecklingsverksamhet</w:t>
      </w:r>
      <w:bookmarkEnd w:id="12"/>
    </w:p>
    <w:p w14:paraId="6DADA58D" w14:textId="39B5157F" w:rsidR="001248B4" w:rsidRDefault="001248B4" w:rsidP="001248B4">
      <w:pPr>
        <w:pStyle w:val="Rubrikmellanrum"/>
      </w:pPr>
    </w:p>
    <w:p w14:paraId="67A98803" w14:textId="4D8528A6" w:rsidR="00155E53" w:rsidRDefault="00155E53" w:rsidP="00155E53">
      <w:pPr>
        <w:pStyle w:val="ANormal"/>
      </w:pPr>
      <w:r>
        <w:t xml:space="preserve">När den nya lagen om tilläggsavdrag baserade på utgifter för forsknings- och utvecklingsverksamhet i beskattningen stiftades i riket angavs att syftet var att uppmuntra skattskyldiga som bedriver näringsverksamhet eller jordbruk att öka forsknings- och utvecklingsverksamheten. </w:t>
      </w:r>
      <w:r w:rsidR="001974F2">
        <w:t xml:space="preserve">Samtidigt var </w:t>
      </w:r>
      <w:r>
        <w:t>syfte</w:t>
      </w:r>
      <w:r w:rsidR="001974F2">
        <w:t>t</w:t>
      </w:r>
      <w:r>
        <w:t xml:space="preserve"> </w:t>
      </w:r>
      <w:r w:rsidR="001974F2">
        <w:t>också</w:t>
      </w:r>
      <w:r>
        <w:t xml:space="preserve"> att på en mer allmän nivå bidra till att öka forsknings-, utvecklings- och innovationsverksamheten i Finland.</w:t>
      </w:r>
      <w:r w:rsidR="001974F2">
        <w:t xml:space="preserve"> Att stimulera forsknings- och utvecklingsverksamhet kan i bästa fall leda till nya innovationer, fler arbetstillfällen och ekonomisk tillväxt. Landskapsregeringen delar denna bedömning och </w:t>
      </w:r>
      <w:r w:rsidR="001974F2">
        <w:lastRenderedPageBreak/>
        <w:t>föreslår därför att</w:t>
      </w:r>
      <w:r w:rsidR="00C74D8E">
        <w:t xml:space="preserve"> </w:t>
      </w:r>
      <w:r w:rsidR="00BE4BBF">
        <w:t xml:space="preserve">åländska </w:t>
      </w:r>
      <w:r w:rsidR="00C74D8E">
        <w:t xml:space="preserve">näringsidkare och jordbrukare ska ha möjlighet att göra tilläggsavdrag baserade på utgifter för forsknings- och utvecklingsverksamhet vid kommunalbeskattningen på </w:t>
      </w:r>
      <w:r w:rsidR="00BE4BBF">
        <w:t>samma villkor som de i riket</w:t>
      </w:r>
      <w:r w:rsidR="00C74D8E">
        <w:t>.</w:t>
      </w:r>
    </w:p>
    <w:p w14:paraId="507F21F3" w14:textId="530B7C63" w:rsidR="00DD5B44" w:rsidRDefault="00C74D8E" w:rsidP="00052DBE">
      <w:pPr>
        <w:pStyle w:val="ANormal"/>
      </w:pPr>
      <w:r>
        <w:tab/>
      </w:r>
      <w:r w:rsidR="00F70938">
        <w:t>När</w:t>
      </w:r>
      <w:r w:rsidR="00BE4BBF">
        <w:t xml:space="preserve"> det gäller</w:t>
      </w:r>
      <w:r w:rsidR="00F70938">
        <w:t xml:space="preserve"> </w:t>
      </w:r>
      <w:r w:rsidR="00DD5B44">
        <w:t>lagen om höjda avskrivningar på maskiner, inventarier och andra därmed jämförbara lösa anläggningstillgångar skatteåren 2020–2023</w:t>
      </w:r>
      <w:r w:rsidR="00DD5B44" w:rsidRPr="00DD5B44">
        <w:t xml:space="preserve"> </w:t>
      </w:r>
      <w:r w:rsidR="00DD5B44">
        <w:t>var syftet</w:t>
      </w:r>
      <w:r w:rsidR="00BE4BBF">
        <w:t xml:space="preserve"> med den</w:t>
      </w:r>
      <w:r w:rsidR="00DD5B44">
        <w:t xml:space="preserve"> att </w:t>
      </w:r>
      <w:r w:rsidR="00E05925">
        <w:t>stödja tillväxten och sysselsättningen</w:t>
      </w:r>
      <w:r w:rsidR="00DD5B44">
        <w:t>. Samma motivering låg också bakom blankettlagen som möjliggör de höjda avskrivningarna vid kommunalbeskattningen på Åland.</w:t>
      </w:r>
      <w:r w:rsidR="00E05925">
        <w:t xml:space="preserve"> Dessutom konstaterades i landskapsregeringens lagförslag att den delade lagstiftningsbehörigheten på skatteområdet gör det krångligt för åländska företag och näringsidkare att utnyttja rätten till höjda avskrivningar</w:t>
      </w:r>
      <w:r w:rsidR="00E05925" w:rsidRPr="00C22C30">
        <w:t xml:space="preserve"> </w:t>
      </w:r>
      <w:r w:rsidR="00E05925">
        <w:t xml:space="preserve">enbart vid statsbeskattningen. Kravet på avskrivningarnas bokföringsbundenhet i näringsverksamheten skulle i praktiken innebära att </w:t>
      </w:r>
      <w:r w:rsidR="00155E53">
        <w:t>d</w:t>
      </w:r>
      <w:r w:rsidR="00E05925">
        <w:t>en</w:t>
      </w:r>
      <w:r w:rsidR="00155E53">
        <w:t xml:space="preserve"> som är</w:t>
      </w:r>
      <w:r w:rsidR="00E05925">
        <w:t xml:space="preserve"> skattskyldig skulle vara tvungen att ha en bokföring som underlag för statsbeskattningen och en annan för kommunalbeskattningen (se LF 12/2019–2020).</w:t>
      </w:r>
      <w:r w:rsidR="00204849">
        <w:t xml:space="preserve"> Samma argument gäller fortfarande och med hänvisning till det föreslår landskapsregeringen att tillämpningstiden för landskapslagen om </w:t>
      </w:r>
      <w:r w:rsidR="00204849" w:rsidRPr="00651A25">
        <w:t>skattelättnader vid kommunalbeskattningen för skatteåren 2020–2023</w:t>
      </w:r>
      <w:r w:rsidR="00204849">
        <w:t xml:space="preserve"> förlängs så att lagen även tillämpas vid kommunalbeskattningen för skatteåren 2024 och 2025.</w:t>
      </w:r>
    </w:p>
    <w:p w14:paraId="7AF7C529" w14:textId="78E57D9B" w:rsidR="00DD5B44" w:rsidRDefault="00DD5B44" w:rsidP="00052DBE">
      <w:pPr>
        <w:pStyle w:val="ANormal"/>
      </w:pPr>
    </w:p>
    <w:p w14:paraId="1710A2EA" w14:textId="6B899ADC" w:rsidR="00030EDD" w:rsidRDefault="00030EDD" w:rsidP="00030EDD">
      <w:pPr>
        <w:pStyle w:val="RubrikC"/>
      </w:pPr>
      <w:bookmarkStart w:id="13" w:name="_Toc129771247"/>
      <w:r>
        <w:t>2.</w:t>
      </w:r>
      <w:r w:rsidR="001248B4">
        <w:t>3</w:t>
      </w:r>
      <w:r>
        <w:t xml:space="preserve"> Kommunalskattesatsen för samfund och samfällda förmåner</w:t>
      </w:r>
      <w:bookmarkEnd w:id="13"/>
    </w:p>
    <w:p w14:paraId="739CF0B9" w14:textId="66CBD1CE" w:rsidR="00030EDD" w:rsidRDefault="00030EDD" w:rsidP="00030EDD">
      <w:pPr>
        <w:pStyle w:val="Rubrikmellanrum"/>
      </w:pPr>
    </w:p>
    <w:p w14:paraId="2DB846B9" w14:textId="54F8A6C5" w:rsidR="006341DD" w:rsidRDefault="00030EDD" w:rsidP="00030EDD">
      <w:pPr>
        <w:pStyle w:val="ANormal"/>
      </w:pPr>
      <w:r>
        <w:t>Förutom de ovannämnda åtgärderna som vidta</w:t>
      </w:r>
      <w:r w:rsidR="005A48BB">
        <w:t>git</w:t>
      </w:r>
      <w:r>
        <w:t xml:space="preserve">s i riket påverkas fördelningen av samfundsskatten mellan staten och kommunerna också av det faktum att finansieringsansvaret för social- och hälsovården </w:t>
      </w:r>
      <w:r w:rsidR="00C0113A">
        <w:t xml:space="preserve">i riket </w:t>
      </w:r>
      <w:r>
        <w:t xml:space="preserve">slutgiltigt </w:t>
      </w:r>
      <w:r w:rsidR="006341DD">
        <w:t xml:space="preserve">har </w:t>
      </w:r>
      <w:r>
        <w:t>överför</w:t>
      </w:r>
      <w:r w:rsidR="006341DD">
        <w:t>t</w:t>
      </w:r>
      <w:r>
        <w:t xml:space="preserve">s från kommunerna till staten från och med ingången av 2023. </w:t>
      </w:r>
      <w:r w:rsidR="00756AC2">
        <w:t>Till följd av detta sänk</w:t>
      </w:r>
      <w:r w:rsidR="006341DD">
        <w:t>te</w:t>
      </w:r>
      <w:r w:rsidR="00756AC2">
        <w:t>s kommunernas andel av samfundsskatten med 11,25 procentenheter samtidigt som statens andel höj</w:t>
      </w:r>
      <w:r w:rsidR="006341DD">
        <w:t>de</w:t>
      </w:r>
      <w:r w:rsidR="00756AC2">
        <w:t xml:space="preserve">s på motsvarande sätt. Denna förändring </w:t>
      </w:r>
      <w:r w:rsidR="006341DD">
        <w:t>gjordes ursprungligen</w:t>
      </w:r>
      <w:r w:rsidR="00756AC2">
        <w:t xml:space="preserve"> genom en ändring av </w:t>
      </w:r>
      <w:r w:rsidR="00F87823">
        <w:t xml:space="preserve">lagen om skatteredovisning som </w:t>
      </w:r>
      <w:r w:rsidR="006341DD">
        <w:t xml:space="preserve">skulle </w:t>
      </w:r>
      <w:r w:rsidR="00F87823">
        <w:t>träd</w:t>
      </w:r>
      <w:r w:rsidR="006341DD">
        <w:t>a</w:t>
      </w:r>
      <w:r w:rsidR="00F87823">
        <w:t xml:space="preserve"> i kraft den 1 januari 2023 (FFS 1262/2021). </w:t>
      </w:r>
      <w:r w:rsidR="006341DD">
        <w:t>Den ingår således redan i den ändring som nu har gjorts (FFS 1301/2022), som är den där den nu gällande fördelningen av samfundsskatten anges.</w:t>
      </w:r>
    </w:p>
    <w:p w14:paraId="343CBB8E" w14:textId="5B7449CF" w:rsidR="00030EDD" w:rsidRDefault="006341DD" w:rsidP="00030EDD">
      <w:pPr>
        <w:pStyle w:val="ANormal"/>
      </w:pPr>
      <w:r>
        <w:tab/>
      </w:r>
      <w:r w:rsidR="00BA014B">
        <w:t>Kommunalskattesatserna för samfund och samfällda förmåner i kommunalskattelagen ha</w:t>
      </w:r>
      <w:r>
        <w:t>r</w:t>
      </w:r>
      <w:r w:rsidR="00BA014B">
        <w:t xml:space="preserve"> dock inte anpassats till </w:t>
      </w:r>
      <w:r>
        <w:t xml:space="preserve">den </w:t>
      </w:r>
      <w:r w:rsidR="00BA014B">
        <w:t>ändring</w:t>
      </w:r>
      <w:r>
        <w:t xml:space="preserve"> som föranleddes av social- och hälsovårdsreformen</w:t>
      </w:r>
      <w:r w:rsidR="00BA014B">
        <w:t>. Orsaken till det är att det hela tiden har stått klart att fördelningen av samfundsskatten från och med 2023 kommer att påverkas av andra åtgärder, vilket nu</w:t>
      </w:r>
      <w:r w:rsidR="00461D04">
        <w:t xml:space="preserve"> också</w:t>
      </w:r>
      <w:r w:rsidR="00BA014B">
        <w:t xml:space="preserve"> </w:t>
      </w:r>
      <w:r>
        <w:t xml:space="preserve">har </w:t>
      </w:r>
      <w:r w:rsidR="00BA014B">
        <w:t>ske</w:t>
      </w:r>
      <w:r>
        <w:t>tt</w:t>
      </w:r>
      <w:r w:rsidR="00BA014B">
        <w:t>.</w:t>
      </w:r>
      <w:r w:rsidR="00461D04">
        <w:t xml:space="preserve"> Landskapsregeringen </w:t>
      </w:r>
      <w:r>
        <w:t xml:space="preserve">har </w:t>
      </w:r>
      <w:r w:rsidR="00461D04">
        <w:t xml:space="preserve">därför </w:t>
      </w:r>
      <w:r>
        <w:t>tidigare valt</w:t>
      </w:r>
      <w:r w:rsidR="00461D04">
        <w:t xml:space="preserve"> att inte föreslå någon ändring av skattesatserna för skatteåren 2023 och framåt (se LF 4/2021–2022).</w:t>
      </w:r>
    </w:p>
    <w:p w14:paraId="2B34D73F" w14:textId="469BB347" w:rsidR="00E97E1A" w:rsidRDefault="00DB25A5" w:rsidP="00E97E1A">
      <w:pPr>
        <w:pStyle w:val="ANormal"/>
      </w:pPr>
      <w:r>
        <w:tab/>
      </w:r>
      <w:r w:rsidR="00D90CDB">
        <w:t>De ovannämnda ä</w:t>
      </w:r>
      <w:r>
        <w:t xml:space="preserve">ndringarna av den statliga andelen av samfundsskatten </w:t>
      </w:r>
      <w:r w:rsidR="00C74D8E">
        <w:t>trädde</w:t>
      </w:r>
      <w:r>
        <w:t xml:space="preserve"> i kraft på Åland den 1</w:t>
      </w:r>
      <w:r w:rsidR="004E3B75">
        <w:t xml:space="preserve"> </w:t>
      </w:r>
      <w:r>
        <w:t xml:space="preserve">januari 2023. </w:t>
      </w:r>
      <w:r w:rsidR="00E97E1A">
        <w:t>Av följande tabeller framgår de totala skattesatserna (avrundade till två decimaler) för åländska samfund respektive samfällda förmåner om ingen ändring av kommunalskattesatsen görs.</w:t>
      </w:r>
      <w:r w:rsidR="00941370">
        <w:t xml:space="preserve"> Skattesatserna för skatteåret 2030 avser de permanenta skattesatserna som</w:t>
      </w:r>
      <w:r w:rsidR="00141BA5">
        <w:t xml:space="preserve"> </w:t>
      </w:r>
      <w:r w:rsidR="00941370">
        <w:t xml:space="preserve">anges i </w:t>
      </w:r>
      <w:r w:rsidR="00141BA5">
        <w:t>kommunalskattelagens 29</w:t>
      </w:r>
      <w:r w:rsidR="004E3B75">
        <w:t> §</w:t>
      </w:r>
      <w:r w:rsidR="00141BA5">
        <w:t>.</w:t>
      </w:r>
    </w:p>
    <w:p w14:paraId="25324D27" w14:textId="77777777" w:rsidR="00E97E1A" w:rsidRDefault="00E97E1A" w:rsidP="00E97E1A">
      <w:pPr>
        <w:pStyle w:val="ANormal"/>
      </w:pPr>
    </w:p>
    <w:p w14:paraId="15C68CAA" w14:textId="77777777" w:rsidR="00E97E1A" w:rsidRDefault="00E97E1A" w:rsidP="00E97E1A">
      <w:pPr>
        <w:pStyle w:val="RubrikD"/>
      </w:pPr>
      <w:r>
        <w:t>Total skattesats för samfund:</w:t>
      </w:r>
    </w:p>
    <w:p w14:paraId="7D0F11C6" w14:textId="77777777" w:rsidR="00E97E1A" w:rsidRPr="007A6E9F" w:rsidRDefault="00E97E1A" w:rsidP="00E97E1A">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E97E1A" w:rsidRPr="000854C3" w14:paraId="0A75EE0E" w14:textId="77777777" w:rsidTr="00D253F7">
        <w:trPr>
          <w:trHeight w:val="304"/>
        </w:trPr>
        <w:tc>
          <w:tcPr>
            <w:tcW w:w="1276" w:type="dxa"/>
            <w:tcBorders>
              <w:left w:val="single" w:sz="4" w:space="0" w:color="auto"/>
              <w:bottom w:val="single" w:sz="4" w:space="0" w:color="auto"/>
              <w:right w:val="single" w:sz="4" w:space="0" w:color="auto"/>
            </w:tcBorders>
            <w:vAlign w:val="bottom"/>
          </w:tcPr>
          <w:p w14:paraId="4629C5BA" w14:textId="77777777" w:rsidR="00E97E1A" w:rsidRPr="007A6E9F" w:rsidRDefault="00E97E1A" w:rsidP="00D253F7">
            <w:pPr>
              <w:pStyle w:val="Tabelltext"/>
              <w:keepNext/>
              <w:rPr>
                <w:bCs/>
              </w:rPr>
            </w:pPr>
            <w:r w:rsidRPr="007A6E9F">
              <w:rPr>
                <w:bCs/>
              </w:rPr>
              <w:t>Skattesats (%)</w:t>
            </w:r>
          </w:p>
        </w:tc>
        <w:tc>
          <w:tcPr>
            <w:tcW w:w="673" w:type="dxa"/>
            <w:tcBorders>
              <w:left w:val="single" w:sz="4" w:space="0" w:color="auto"/>
              <w:bottom w:val="single" w:sz="4" w:space="0" w:color="auto"/>
              <w:right w:val="single" w:sz="4" w:space="0" w:color="auto"/>
            </w:tcBorders>
            <w:vAlign w:val="bottom"/>
          </w:tcPr>
          <w:p w14:paraId="4B934085" w14:textId="007C0865" w:rsidR="00E97E1A" w:rsidRPr="000854C3" w:rsidRDefault="00E97E1A" w:rsidP="00D253F7">
            <w:pPr>
              <w:pStyle w:val="Tabelltext"/>
              <w:keepNext/>
              <w:jc w:val="center"/>
              <w:rPr>
                <w:b/>
              </w:rPr>
            </w:pPr>
            <w:r w:rsidRPr="000854C3">
              <w:rPr>
                <w:b/>
              </w:rPr>
              <w:t>20</w:t>
            </w:r>
            <w:r>
              <w:rPr>
                <w:b/>
              </w:rPr>
              <w:t>2</w:t>
            </w:r>
            <w:r w:rsidR="00152499">
              <w:rPr>
                <w:b/>
              </w:rPr>
              <w:t>3</w:t>
            </w:r>
          </w:p>
        </w:tc>
        <w:tc>
          <w:tcPr>
            <w:tcW w:w="673" w:type="dxa"/>
            <w:tcBorders>
              <w:left w:val="single" w:sz="4" w:space="0" w:color="auto"/>
              <w:bottom w:val="single" w:sz="4" w:space="0" w:color="auto"/>
              <w:right w:val="single" w:sz="4" w:space="0" w:color="auto"/>
            </w:tcBorders>
            <w:vAlign w:val="bottom"/>
          </w:tcPr>
          <w:p w14:paraId="6B1F00E3" w14:textId="002495F9" w:rsidR="00E97E1A" w:rsidRPr="000854C3" w:rsidRDefault="00E97E1A" w:rsidP="00D253F7">
            <w:pPr>
              <w:pStyle w:val="Tabelltext"/>
              <w:keepNext/>
              <w:jc w:val="center"/>
              <w:rPr>
                <w:b/>
              </w:rPr>
            </w:pPr>
            <w:r w:rsidRPr="000854C3">
              <w:rPr>
                <w:b/>
              </w:rPr>
              <w:t>20</w:t>
            </w:r>
            <w:r>
              <w:rPr>
                <w:b/>
              </w:rPr>
              <w:t>2</w:t>
            </w:r>
            <w:r w:rsidR="00152499">
              <w:rPr>
                <w:b/>
              </w:rPr>
              <w:t>4</w:t>
            </w:r>
          </w:p>
        </w:tc>
        <w:tc>
          <w:tcPr>
            <w:tcW w:w="674" w:type="dxa"/>
            <w:tcBorders>
              <w:left w:val="single" w:sz="4" w:space="0" w:color="auto"/>
              <w:bottom w:val="single" w:sz="4" w:space="0" w:color="auto"/>
              <w:right w:val="single" w:sz="4" w:space="0" w:color="auto"/>
            </w:tcBorders>
            <w:vAlign w:val="bottom"/>
          </w:tcPr>
          <w:p w14:paraId="1F71E4C0" w14:textId="317812B8" w:rsidR="00E97E1A" w:rsidRPr="000854C3" w:rsidRDefault="00E97E1A" w:rsidP="00D253F7">
            <w:pPr>
              <w:pStyle w:val="Tabelltext"/>
              <w:keepNext/>
              <w:jc w:val="center"/>
              <w:rPr>
                <w:b/>
              </w:rPr>
            </w:pPr>
            <w:r w:rsidRPr="000854C3">
              <w:rPr>
                <w:b/>
              </w:rPr>
              <w:t>20</w:t>
            </w:r>
            <w:r>
              <w:rPr>
                <w:b/>
              </w:rPr>
              <w:t>2</w:t>
            </w:r>
            <w:r w:rsidR="00152499">
              <w:rPr>
                <w:b/>
              </w:rPr>
              <w:t>5</w:t>
            </w:r>
          </w:p>
        </w:tc>
        <w:tc>
          <w:tcPr>
            <w:tcW w:w="673" w:type="dxa"/>
            <w:tcBorders>
              <w:left w:val="single" w:sz="4" w:space="0" w:color="auto"/>
              <w:bottom w:val="single" w:sz="4" w:space="0" w:color="auto"/>
              <w:right w:val="single" w:sz="4" w:space="0" w:color="auto"/>
            </w:tcBorders>
            <w:vAlign w:val="bottom"/>
          </w:tcPr>
          <w:p w14:paraId="6F615CF5" w14:textId="6383404A" w:rsidR="00E97E1A" w:rsidRPr="000854C3" w:rsidRDefault="00E97E1A" w:rsidP="00D253F7">
            <w:pPr>
              <w:pStyle w:val="Tabelltext"/>
              <w:keepNext/>
              <w:jc w:val="center"/>
              <w:rPr>
                <w:b/>
              </w:rPr>
            </w:pPr>
            <w:r w:rsidRPr="000854C3">
              <w:rPr>
                <w:b/>
              </w:rPr>
              <w:t>20</w:t>
            </w:r>
            <w:r>
              <w:rPr>
                <w:b/>
              </w:rPr>
              <w:t>2</w:t>
            </w:r>
            <w:r w:rsidR="00152499">
              <w:rPr>
                <w:b/>
              </w:rPr>
              <w:t>6</w:t>
            </w:r>
          </w:p>
        </w:tc>
        <w:tc>
          <w:tcPr>
            <w:tcW w:w="673" w:type="dxa"/>
            <w:tcBorders>
              <w:left w:val="single" w:sz="4" w:space="0" w:color="auto"/>
              <w:bottom w:val="single" w:sz="4" w:space="0" w:color="auto"/>
              <w:right w:val="single" w:sz="4" w:space="0" w:color="auto"/>
            </w:tcBorders>
            <w:vAlign w:val="bottom"/>
          </w:tcPr>
          <w:p w14:paraId="05382096" w14:textId="49B97004" w:rsidR="00E97E1A" w:rsidRPr="000854C3" w:rsidRDefault="00E97E1A" w:rsidP="00D253F7">
            <w:pPr>
              <w:pStyle w:val="Tabelltext"/>
              <w:keepNext/>
              <w:jc w:val="center"/>
              <w:rPr>
                <w:b/>
              </w:rPr>
            </w:pPr>
            <w:r w:rsidRPr="000854C3">
              <w:rPr>
                <w:b/>
              </w:rPr>
              <w:t>20</w:t>
            </w:r>
            <w:r>
              <w:rPr>
                <w:b/>
              </w:rPr>
              <w:t>2</w:t>
            </w:r>
            <w:r w:rsidR="00152499">
              <w:rPr>
                <w:b/>
              </w:rPr>
              <w:t>7</w:t>
            </w:r>
          </w:p>
        </w:tc>
        <w:tc>
          <w:tcPr>
            <w:tcW w:w="674" w:type="dxa"/>
            <w:tcBorders>
              <w:left w:val="single" w:sz="4" w:space="0" w:color="auto"/>
              <w:bottom w:val="single" w:sz="4" w:space="0" w:color="auto"/>
              <w:right w:val="single" w:sz="4" w:space="0" w:color="auto"/>
            </w:tcBorders>
            <w:vAlign w:val="bottom"/>
          </w:tcPr>
          <w:p w14:paraId="5546DE74" w14:textId="4822083F" w:rsidR="00E97E1A" w:rsidRPr="000854C3" w:rsidRDefault="00E97E1A" w:rsidP="00D253F7">
            <w:pPr>
              <w:pStyle w:val="Tabelltext"/>
              <w:keepNext/>
              <w:jc w:val="center"/>
              <w:rPr>
                <w:b/>
              </w:rPr>
            </w:pPr>
            <w:r w:rsidRPr="000854C3">
              <w:rPr>
                <w:b/>
              </w:rPr>
              <w:t>20</w:t>
            </w:r>
            <w:r>
              <w:rPr>
                <w:b/>
              </w:rPr>
              <w:t>2</w:t>
            </w:r>
            <w:r w:rsidR="00152499">
              <w:rPr>
                <w:b/>
              </w:rPr>
              <w:t>8</w:t>
            </w:r>
          </w:p>
        </w:tc>
        <w:tc>
          <w:tcPr>
            <w:tcW w:w="673" w:type="dxa"/>
            <w:tcBorders>
              <w:left w:val="single" w:sz="4" w:space="0" w:color="auto"/>
              <w:bottom w:val="single" w:sz="4" w:space="0" w:color="auto"/>
              <w:right w:val="single" w:sz="4" w:space="0" w:color="auto"/>
            </w:tcBorders>
            <w:vAlign w:val="bottom"/>
          </w:tcPr>
          <w:p w14:paraId="1AD0D851" w14:textId="7B6AE069" w:rsidR="00E97E1A" w:rsidRPr="000854C3" w:rsidRDefault="00E97E1A" w:rsidP="00D253F7">
            <w:pPr>
              <w:pStyle w:val="Tabelltext"/>
              <w:keepNext/>
              <w:jc w:val="right"/>
              <w:rPr>
                <w:b/>
              </w:rPr>
            </w:pPr>
            <w:r>
              <w:rPr>
                <w:b/>
              </w:rPr>
              <w:t>202</w:t>
            </w:r>
            <w:r w:rsidR="00152499">
              <w:rPr>
                <w:b/>
              </w:rPr>
              <w:t>9</w:t>
            </w:r>
          </w:p>
        </w:tc>
        <w:tc>
          <w:tcPr>
            <w:tcW w:w="674" w:type="dxa"/>
            <w:tcBorders>
              <w:left w:val="single" w:sz="4" w:space="0" w:color="auto"/>
              <w:bottom w:val="single" w:sz="4" w:space="0" w:color="auto"/>
              <w:right w:val="single" w:sz="4" w:space="0" w:color="auto"/>
            </w:tcBorders>
            <w:vAlign w:val="bottom"/>
          </w:tcPr>
          <w:p w14:paraId="59075C8A" w14:textId="4C6A78D5" w:rsidR="00E97E1A" w:rsidRPr="000854C3" w:rsidRDefault="00E97E1A" w:rsidP="00D253F7">
            <w:pPr>
              <w:pStyle w:val="Tabelltext"/>
              <w:keepNext/>
              <w:jc w:val="right"/>
              <w:rPr>
                <w:b/>
              </w:rPr>
            </w:pPr>
            <w:r>
              <w:rPr>
                <w:b/>
              </w:rPr>
              <w:t>20</w:t>
            </w:r>
            <w:r w:rsidR="00152499">
              <w:rPr>
                <w:b/>
              </w:rPr>
              <w:t>30</w:t>
            </w:r>
          </w:p>
        </w:tc>
      </w:tr>
      <w:tr w:rsidR="00E97E1A" w14:paraId="2314428B" w14:textId="77777777" w:rsidTr="00D253F7">
        <w:trPr>
          <w:trHeight w:val="344"/>
        </w:trPr>
        <w:tc>
          <w:tcPr>
            <w:tcW w:w="1276" w:type="dxa"/>
            <w:tcBorders>
              <w:top w:val="single" w:sz="4" w:space="0" w:color="auto"/>
              <w:left w:val="single" w:sz="4" w:space="0" w:color="auto"/>
              <w:right w:val="single" w:sz="4" w:space="0" w:color="auto"/>
            </w:tcBorders>
            <w:vAlign w:val="bottom"/>
          </w:tcPr>
          <w:p w14:paraId="693A5358" w14:textId="77777777" w:rsidR="00E97E1A" w:rsidRDefault="00E97E1A" w:rsidP="00D253F7">
            <w:pPr>
              <w:pStyle w:val="Tabelltext"/>
              <w:keepNext/>
            </w:pPr>
            <w:r>
              <w:t>I landskapet</w:t>
            </w:r>
          </w:p>
        </w:tc>
        <w:tc>
          <w:tcPr>
            <w:tcW w:w="673" w:type="dxa"/>
            <w:tcBorders>
              <w:top w:val="nil"/>
              <w:left w:val="nil"/>
              <w:right w:val="nil"/>
            </w:tcBorders>
            <w:shd w:val="clear" w:color="auto" w:fill="auto"/>
            <w:vAlign w:val="bottom"/>
          </w:tcPr>
          <w:p w14:paraId="7D9C4303" w14:textId="67DC9735" w:rsidR="00E97E1A" w:rsidRPr="00A56240" w:rsidRDefault="00152499" w:rsidP="00D253F7">
            <w:pPr>
              <w:pStyle w:val="Tabelltext"/>
              <w:keepNext/>
              <w:jc w:val="right"/>
              <w:rPr>
                <w:szCs w:val="18"/>
              </w:rPr>
            </w:pPr>
            <w:r w:rsidRPr="00A56240">
              <w:rPr>
                <w:color w:val="000000"/>
                <w:szCs w:val="18"/>
              </w:rPr>
              <w:t>22</w:t>
            </w:r>
            <w:r w:rsidR="00E97E1A" w:rsidRPr="00A56240">
              <w:rPr>
                <w:color w:val="000000"/>
                <w:szCs w:val="18"/>
              </w:rPr>
              <w:t>,</w:t>
            </w:r>
            <w:r w:rsidRPr="00A56240">
              <w:rPr>
                <w:color w:val="000000"/>
                <w:szCs w:val="18"/>
              </w:rPr>
              <w:t>0</w:t>
            </w:r>
            <w:r w:rsidR="002A62AB" w:rsidRPr="00A56240">
              <w:rPr>
                <w:color w:val="000000"/>
                <w:szCs w:val="18"/>
              </w:rPr>
              <w:t>4</w:t>
            </w:r>
          </w:p>
        </w:tc>
        <w:tc>
          <w:tcPr>
            <w:tcW w:w="673" w:type="dxa"/>
            <w:tcBorders>
              <w:top w:val="nil"/>
              <w:left w:val="nil"/>
              <w:right w:val="nil"/>
            </w:tcBorders>
            <w:shd w:val="clear" w:color="auto" w:fill="auto"/>
            <w:vAlign w:val="bottom"/>
          </w:tcPr>
          <w:p w14:paraId="6EC3C771" w14:textId="1D08435F" w:rsidR="00E97E1A" w:rsidRPr="00A56240" w:rsidRDefault="00152499" w:rsidP="00D253F7">
            <w:pPr>
              <w:pStyle w:val="Tabelltext"/>
              <w:keepNext/>
              <w:jc w:val="right"/>
              <w:rPr>
                <w:szCs w:val="18"/>
              </w:rPr>
            </w:pPr>
            <w:r w:rsidRPr="00A56240">
              <w:rPr>
                <w:color w:val="000000"/>
                <w:szCs w:val="18"/>
              </w:rPr>
              <w:t>21</w:t>
            </w:r>
            <w:r w:rsidR="00E97E1A" w:rsidRPr="00A56240">
              <w:rPr>
                <w:color w:val="000000"/>
                <w:szCs w:val="18"/>
              </w:rPr>
              <w:t>,</w:t>
            </w:r>
            <w:r w:rsidR="002A62AB" w:rsidRPr="00A56240">
              <w:rPr>
                <w:color w:val="000000"/>
                <w:szCs w:val="18"/>
              </w:rPr>
              <w:t>7</w:t>
            </w:r>
            <w:r w:rsidR="00E97E1A" w:rsidRPr="00A56240">
              <w:rPr>
                <w:color w:val="000000"/>
                <w:szCs w:val="18"/>
              </w:rPr>
              <w:t>8</w:t>
            </w:r>
          </w:p>
        </w:tc>
        <w:tc>
          <w:tcPr>
            <w:tcW w:w="674" w:type="dxa"/>
            <w:tcBorders>
              <w:top w:val="nil"/>
              <w:left w:val="nil"/>
              <w:right w:val="nil"/>
            </w:tcBorders>
            <w:shd w:val="clear" w:color="auto" w:fill="auto"/>
            <w:vAlign w:val="bottom"/>
          </w:tcPr>
          <w:p w14:paraId="67C735E8" w14:textId="5518AD34" w:rsidR="00E97E1A" w:rsidRPr="00A56240" w:rsidRDefault="00152499" w:rsidP="00D253F7">
            <w:pPr>
              <w:pStyle w:val="Tabelltext"/>
              <w:keepNext/>
              <w:jc w:val="right"/>
              <w:rPr>
                <w:szCs w:val="18"/>
              </w:rPr>
            </w:pPr>
            <w:r w:rsidRPr="00A56240">
              <w:rPr>
                <w:color w:val="000000"/>
                <w:szCs w:val="18"/>
              </w:rPr>
              <w:t>21</w:t>
            </w:r>
            <w:r w:rsidR="00E97E1A" w:rsidRPr="00A56240">
              <w:rPr>
                <w:color w:val="000000"/>
                <w:szCs w:val="18"/>
              </w:rPr>
              <w:t>,8</w:t>
            </w:r>
            <w:r w:rsidR="002A62AB" w:rsidRPr="00A56240">
              <w:rPr>
                <w:color w:val="000000"/>
                <w:szCs w:val="18"/>
              </w:rPr>
              <w:t>1</w:t>
            </w:r>
          </w:p>
        </w:tc>
        <w:tc>
          <w:tcPr>
            <w:tcW w:w="673" w:type="dxa"/>
            <w:tcBorders>
              <w:top w:val="nil"/>
              <w:left w:val="nil"/>
              <w:right w:val="nil"/>
            </w:tcBorders>
            <w:shd w:val="clear" w:color="auto" w:fill="auto"/>
            <w:vAlign w:val="bottom"/>
          </w:tcPr>
          <w:p w14:paraId="606BE8DC" w14:textId="36B82950" w:rsidR="00E97E1A" w:rsidRPr="00A56240" w:rsidRDefault="00152499" w:rsidP="00D253F7">
            <w:pPr>
              <w:pStyle w:val="Tabelltext"/>
              <w:keepNext/>
              <w:jc w:val="right"/>
              <w:rPr>
                <w:szCs w:val="18"/>
              </w:rPr>
            </w:pPr>
            <w:r w:rsidRPr="00A56240">
              <w:rPr>
                <w:color w:val="000000"/>
                <w:szCs w:val="18"/>
              </w:rPr>
              <w:t>2</w:t>
            </w:r>
            <w:r w:rsidR="002A62AB" w:rsidRPr="00A56240">
              <w:rPr>
                <w:color w:val="000000"/>
                <w:szCs w:val="18"/>
              </w:rPr>
              <w:t>1</w:t>
            </w:r>
            <w:r w:rsidR="00E97E1A" w:rsidRPr="00A56240">
              <w:rPr>
                <w:color w:val="000000"/>
                <w:szCs w:val="18"/>
              </w:rPr>
              <w:t>,</w:t>
            </w:r>
            <w:r w:rsidR="002A62AB" w:rsidRPr="00A56240">
              <w:rPr>
                <w:color w:val="000000"/>
                <w:szCs w:val="18"/>
              </w:rPr>
              <w:t>99</w:t>
            </w:r>
          </w:p>
        </w:tc>
        <w:tc>
          <w:tcPr>
            <w:tcW w:w="673" w:type="dxa"/>
            <w:tcBorders>
              <w:top w:val="nil"/>
              <w:left w:val="nil"/>
              <w:right w:val="nil"/>
            </w:tcBorders>
            <w:shd w:val="clear" w:color="auto" w:fill="auto"/>
            <w:vAlign w:val="bottom"/>
          </w:tcPr>
          <w:p w14:paraId="26D12920" w14:textId="210E0DBF" w:rsidR="00E97E1A" w:rsidRPr="00A56240" w:rsidRDefault="00E97E1A" w:rsidP="00D253F7">
            <w:pPr>
              <w:pStyle w:val="Tabelltext"/>
              <w:keepNext/>
              <w:jc w:val="right"/>
              <w:rPr>
                <w:szCs w:val="18"/>
              </w:rPr>
            </w:pPr>
            <w:r w:rsidRPr="00A56240">
              <w:rPr>
                <w:color w:val="000000"/>
                <w:szCs w:val="18"/>
              </w:rPr>
              <w:t>2</w:t>
            </w:r>
            <w:r w:rsidR="002A62AB" w:rsidRPr="00A56240">
              <w:rPr>
                <w:color w:val="000000"/>
                <w:szCs w:val="18"/>
              </w:rPr>
              <w:t>1</w:t>
            </w:r>
            <w:r w:rsidRPr="00A56240">
              <w:rPr>
                <w:color w:val="000000"/>
                <w:szCs w:val="18"/>
              </w:rPr>
              <w:t>,</w:t>
            </w:r>
            <w:r w:rsidR="002A62AB" w:rsidRPr="00A56240">
              <w:rPr>
                <w:color w:val="000000"/>
                <w:szCs w:val="18"/>
              </w:rPr>
              <w:t>98</w:t>
            </w:r>
          </w:p>
        </w:tc>
        <w:tc>
          <w:tcPr>
            <w:tcW w:w="674" w:type="dxa"/>
            <w:tcBorders>
              <w:top w:val="nil"/>
              <w:left w:val="nil"/>
              <w:right w:val="nil"/>
            </w:tcBorders>
            <w:shd w:val="clear" w:color="auto" w:fill="auto"/>
            <w:vAlign w:val="bottom"/>
          </w:tcPr>
          <w:p w14:paraId="41236500" w14:textId="23E698F9" w:rsidR="00E97E1A" w:rsidRPr="00A56240" w:rsidRDefault="00E97E1A" w:rsidP="00D253F7">
            <w:pPr>
              <w:pStyle w:val="Tabelltext"/>
              <w:keepNext/>
              <w:jc w:val="right"/>
              <w:rPr>
                <w:szCs w:val="18"/>
              </w:rPr>
            </w:pPr>
            <w:r w:rsidRPr="00A56240">
              <w:rPr>
                <w:color w:val="000000"/>
                <w:szCs w:val="18"/>
              </w:rPr>
              <w:t>2</w:t>
            </w:r>
            <w:r w:rsidR="00152499" w:rsidRPr="00A56240">
              <w:rPr>
                <w:color w:val="000000"/>
                <w:szCs w:val="18"/>
              </w:rPr>
              <w:t>2</w:t>
            </w:r>
            <w:r w:rsidRPr="00A56240">
              <w:rPr>
                <w:color w:val="000000"/>
                <w:szCs w:val="18"/>
              </w:rPr>
              <w:t>,</w:t>
            </w:r>
            <w:r w:rsidR="00152499" w:rsidRPr="00A56240">
              <w:rPr>
                <w:color w:val="000000"/>
                <w:szCs w:val="18"/>
              </w:rPr>
              <w:t>0</w:t>
            </w:r>
            <w:r w:rsidR="002A62AB" w:rsidRPr="00A56240">
              <w:rPr>
                <w:color w:val="000000"/>
                <w:szCs w:val="18"/>
              </w:rPr>
              <w:t>1</w:t>
            </w:r>
          </w:p>
        </w:tc>
        <w:tc>
          <w:tcPr>
            <w:tcW w:w="673" w:type="dxa"/>
            <w:tcBorders>
              <w:top w:val="nil"/>
              <w:left w:val="nil"/>
              <w:right w:val="nil"/>
            </w:tcBorders>
            <w:shd w:val="clear" w:color="auto" w:fill="auto"/>
            <w:vAlign w:val="bottom"/>
          </w:tcPr>
          <w:p w14:paraId="05E68992" w14:textId="43406163" w:rsidR="00E97E1A" w:rsidRPr="00A56240" w:rsidRDefault="00E97E1A" w:rsidP="00D253F7">
            <w:pPr>
              <w:pStyle w:val="Tabelltext"/>
              <w:keepNext/>
              <w:jc w:val="right"/>
              <w:rPr>
                <w:szCs w:val="18"/>
              </w:rPr>
            </w:pPr>
            <w:r w:rsidRPr="00A56240">
              <w:rPr>
                <w:color w:val="000000"/>
                <w:szCs w:val="18"/>
              </w:rPr>
              <w:t>2</w:t>
            </w:r>
            <w:r w:rsidR="00152499" w:rsidRPr="00A56240">
              <w:rPr>
                <w:color w:val="000000"/>
                <w:szCs w:val="18"/>
              </w:rPr>
              <w:t>2</w:t>
            </w:r>
            <w:r w:rsidRPr="00A56240">
              <w:rPr>
                <w:color w:val="000000"/>
                <w:szCs w:val="18"/>
              </w:rPr>
              <w:t>,0</w:t>
            </w:r>
            <w:r w:rsidR="002A62AB" w:rsidRPr="00A56240">
              <w:rPr>
                <w:color w:val="000000"/>
                <w:szCs w:val="18"/>
              </w:rPr>
              <w:t>1</w:t>
            </w:r>
          </w:p>
        </w:tc>
        <w:tc>
          <w:tcPr>
            <w:tcW w:w="674" w:type="dxa"/>
            <w:tcBorders>
              <w:top w:val="single" w:sz="4" w:space="0" w:color="auto"/>
              <w:left w:val="nil"/>
              <w:right w:val="single" w:sz="4" w:space="0" w:color="auto"/>
            </w:tcBorders>
            <w:shd w:val="clear" w:color="auto" w:fill="auto"/>
            <w:vAlign w:val="bottom"/>
          </w:tcPr>
          <w:p w14:paraId="78384DF9" w14:textId="51CE2068" w:rsidR="00E97E1A" w:rsidRPr="00A56240" w:rsidRDefault="00E97E1A" w:rsidP="00D253F7">
            <w:pPr>
              <w:pStyle w:val="Tabelltext"/>
              <w:keepNext/>
              <w:jc w:val="right"/>
              <w:rPr>
                <w:szCs w:val="18"/>
              </w:rPr>
            </w:pPr>
            <w:r w:rsidRPr="00A56240">
              <w:rPr>
                <w:color w:val="000000"/>
                <w:szCs w:val="18"/>
              </w:rPr>
              <w:t>2</w:t>
            </w:r>
            <w:r w:rsidR="002A62AB" w:rsidRPr="00A56240">
              <w:rPr>
                <w:color w:val="000000"/>
                <w:szCs w:val="18"/>
              </w:rPr>
              <w:t>1</w:t>
            </w:r>
            <w:r w:rsidRPr="00A56240">
              <w:rPr>
                <w:color w:val="000000"/>
                <w:szCs w:val="18"/>
              </w:rPr>
              <w:t>,</w:t>
            </w:r>
            <w:r w:rsidR="002A62AB" w:rsidRPr="00A56240">
              <w:rPr>
                <w:color w:val="000000"/>
                <w:szCs w:val="18"/>
              </w:rPr>
              <w:t>98</w:t>
            </w:r>
          </w:p>
        </w:tc>
      </w:tr>
      <w:tr w:rsidR="00E97E1A" w14:paraId="012AE493" w14:textId="77777777" w:rsidTr="00D253F7">
        <w:trPr>
          <w:trHeight w:val="344"/>
        </w:trPr>
        <w:tc>
          <w:tcPr>
            <w:tcW w:w="1276" w:type="dxa"/>
            <w:tcBorders>
              <w:left w:val="single" w:sz="4" w:space="0" w:color="auto"/>
              <w:right w:val="single" w:sz="4" w:space="0" w:color="auto"/>
            </w:tcBorders>
            <w:vAlign w:val="bottom"/>
          </w:tcPr>
          <w:p w14:paraId="5B49965A" w14:textId="77777777" w:rsidR="00E97E1A" w:rsidRDefault="00E97E1A" w:rsidP="00D253F7">
            <w:pPr>
              <w:pStyle w:val="Tabelltext"/>
              <w:keepNext/>
            </w:pPr>
            <w:r>
              <w:t>I riket</w:t>
            </w:r>
          </w:p>
        </w:tc>
        <w:tc>
          <w:tcPr>
            <w:tcW w:w="673" w:type="dxa"/>
            <w:tcBorders>
              <w:top w:val="nil"/>
              <w:left w:val="nil"/>
              <w:bottom w:val="single" w:sz="4" w:space="0" w:color="auto"/>
              <w:right w:val="nil"/>
            </w:tcBorders>
            <w:shd w:val="clear" w:color="auto" w:fill="auto"/>
            <w:vAlign w:val="bottom"/>
          </w:tcPr>
          <w:p w14:paraId="3119DBF4" w14:textId="77777777" w:rsidR="00E97E1A" w:rsidRPr="00A56240" w:rsidRDefault="00E97E1A" w:rsidP="00D253F7">
            <w:pPr>
              <w:pStyle w:val="Tabelltext"/>
              <w:keepNext/>
              <w:jc w:val="right"/>
              <w:rPr>
                <w:szCs w:val="18"/>
              </w:rPr>
            </w:pPr>
            <w:r w:rsidRPr="00A56240">
              <w:rPr>
                <w:color w:val="000000"/>
                <w:szCs w:val="18"/>
              </w:rPr>
              <w:t>20</w:t>
            </w:r>
          </w:p>
        </w:tc>
        <w:tc>
          <w:tcPr>
            <w:tcW w:w="673" w:type="dxa"/>
            <w:tcBorders>
              <w:top w:val="nil"/>
              <w:left w:val="nil"/>
              <w:bottom w:val="single" w:sz="4" w:space="0" w:color="auto"/>
              <w:right w:val="nil"/>
            </w:tcBorders>
            <w:shd w:val="clear" w:color="auto" w:fill="auto"/>
            <w:vAlign w:val="bottom"/>
          </w:tcPr>
          <w:p w14:paraId="4817F0A3" w14:textId="77777777" w:rsidR="00E97E1A" w:rsidRPr="00A56240" w:rsidRDefault="00E97E1A" w:rsidP="00D253F7">
            <w:pPr>
              <w:pStyle w:val="Tabelltext"/>
              <w:keepNext/>
              <w:jc w:val="right"/>
              <w:rPr>
                <w:szCs w:val="18"/>
              </w:rPr>
            </w:pPr>
            <w:r w:rsidRPr="00A56240">
              <w:rPr>
                <w:color w:val="000000"/>
                <w:szCs w:val="18"/>
              </w:rPr>
              <w:t>20</w:t>
            </w:r>
          </w:p>
        </w:tc>
        <w:tc>
          <w:tcPr>
            <w:tcW w:w="674" w:type="dxa"/>
            <w:tcBorders>
              <w:top w:val="nil"/>
              <w:left w:val="nil"/>
              <w:bottom w:val="single" w:sz="4" w:space="0" w:color="auto"/>
              <w:right w:val="nil"/>
            </w:tcBorders>
            <w:shd w:val="clear" w:color="auto" w:fill="auto"/>
            <w:vAlign w:val="bottom"/>
          </w:tcPr>
          <w:p w14:paraId="5977849D" w14:textId="77777777" w:rsidR="00E97E1A" w:rsidRPr="00A56240" w:rsidRDefault="00E97E1A" w:rsidP="00D253F7">
            <w:pPr>
              <w:pStyle w:val="Tabelltext"/>
              <w:keepNext/>
              <w:jc w:val="right"/>
              <w:rPr>
                <w:szCs w:val="18"/>
              </w:rPr>
            </w:pPr>
            <w:r w:rsidRPr="00A56240">
              <w:rPr>
                <w:color w:val="000000"/>
                <w:szCs w:val="18"/>
              </w:rPr>
              <w:t>20</w:t>
            </w:r>
          </w:p>
        </w:tc>
        <w:tc>
          <w:tcPr>
            <w:tcW w:w="673" w:type="dxa"/>
            <w:tcBorders>
              <w:top w:val="nil"/>
              <w:left w:val="nil"/>
              <w:bottom w:val="single" w:sz="4" w:space="0" w:color="auto"/>
              <w:right w:val="nil"/>
            </w:tcBorders>
            <w:shd w:val="clear" w:color="auto" w:fill="auto"/>
            <w:vAlign w:val="bottom"/>
          </w:tcPr>
          <w:p w14:paraId="59276E59" w14:textId="77777777" w:rsidR="00E97E1A" w:rsidRPr="00A56240" w:rsidRDefault="00E97E1A" w:rsidP="00D253F7">
            <w:pPr>
              <w:pStyle w:val="Tabelltext"/>
              <w:keepNext/>
              <w:jc w:val="right"/>
              <w:rPr>
                <w:szCs w:val="18"/>
              </w:rPr>
            </w:pPr>
            <w:r w:rsidRPr="00A56240">
              <w:rPr>
                <w:color w:val="000000"/>
                <w:szCs w:val="18"/>
              </w:rPr>
              <w:t>20</w:t>
            </w:r>
          </w:p>
        </w:tc>
        <w:tc>
          <w:tcPr>
            <w:tcW w:w="673" w:type="dxa"/>
            <w:tcBorders>
              <w:top w:val="nil"/>
              <w:left w:val="nil"/>
              <w:bottom w:val="single" w:sz="4" w:space="0" w:color="auto"/>
              <w:right w:val="nil"/>
            </w:tcBorders>
            <w:shd w:val="clear" w:color="auto" w:fill="auto"/>
            <w:vAlign w:val="bottom"/>
          </w:tcPr>
          <w:p w14:paraId="58C13B13" w14:textId="77777777" w:rsidR="00E97E1A" w:rsidRPr="00A56240" w:rsidRDefault="00E97E1A" w:rsidP="00D253F7">
            <w:pPr>
              <w:pStyle w:val="Tabelltext"/>
              <w:keepNext/>
              <w:jc w:val="right"/>
              <w:rPr>
                <w:szCs w:val="18"/>
              </w:rPr>
            </w:pPr>
            <w:r w:rsidRPr="00A56240">
              <w:rPr>
                <w:color w:val="000000"/>
                <w:szCs w:val="18"/>
              </w:rPr>
              <w:t>20</w:t>
            </w:r>
          </w:p>
        </w:tc>
        <w:tc>
          <w:tcPr>
            <w:tcW w:w="674" w:type="dxa"/>
            <w:tcBorders>
              <w:top w:val="nil"/>
              <w:left w:val="nil"/>
              <w:bottom w:val="single" w:sz="4" w:space="0" w:color="auto"/>
              <w:right w:val="nil"/>
            </w:tcBorders>
            <w:shd w:val="clear" w:color="auto" w:fill="auto"/>
            <w:vAlign w:val="bottom"/>
          </w:tcPr>
          <w:p w14:paraId="08043394" w14:textId="77777777" w:rsidR="00E97E1A" w:rsidRPr="00A56240" w:rsidRDefault="00E97E1A" w:rsidP="00D253F7">
            <w:pPr>
              <w:pStyle w:val="Tabelltext"/>
              <w:keepNext/>
              <w:jc w:val="right"/>
              <w:rPr>
                <w:szCs w:val="18"/>
              </w:rPr>
            </w:pPr>
            <w:r w:rsidRPr="00A56240">
              <w:rPr>
                <w:color w:val="000000"/>
                <w:szCs w:val="18"/>
              </w:rPr>
              <w:t>20</w:t>
            </w:r>
          </w:p>
        </w:tc>
        <w:tc>
          <w:tcPr>
            <w:tcW w:w="673" w:type="dxa"/>
            <w:tcBorders>
              <w:top w:val="nil"/>
              <w:left w:val="nil"/>
              <w:bottom w:val="single" w:sz="4" w:space="0" w:color="auto"/>
              <w:right w:val="nil"/>
            </w:tcBorders>
            <w:shd w:val="clear" w:color="auto" w:fill="auto"/>
            <w:vAlign w:val="bottom"/>
          </w:tcPr>
          <w:p w14:paraId="243B68EB" w14:textId="77777777" w:rsidR="00E97E1A" w:rsidRPr="00A56240" w:rsidRDefault="00E97E1A" w:rsidP="00D253F7">
            <w:pPr>
              <w:pStyle w:val="Tabelltext"/>
              <w:keepNext/>
              <w:jc w:val="right"/>
              <w:rPr>
                <w:szCs w:val="18"/>
              </w:rPr>
            </w:pPr>
            <w:r w:rsidRPr="00A56240">
              <w:rPr>
                <w:color w:val="000000"/>
                <w:szCs w:val="18"/>
              </w:rPr>
              <w:t>20</w:t>
            </w:r>
          </w:p>
        </w:tc>
        <w:tc>
          <w:tcPr>
            <w:tcW w:w="674" w:type="dxa"/>
            <w:tcBorders>
              <w:top w:val="nil"/>
              <w:left w:val="nil"/>
              <w:bottom w:val="single" w:sz="4" w:space="0" w:color="auto"/>
              <w:right w:val="single" w:sz="4" w:space="0" w:color="auto"/>
            </w:tcBorders>
            <w:shd w:val="clear" w:color="auto" w:fill="auto"/>
            <w:vAlign w:val="bottom"/>
          </w:tcPr>
          <w:p w14:paraId="1634C309" w14:textId="77777777" w:rsidR="00E97E1A" w:rsidRPr="00A56240" w:rsidRDefault="00E97E1A" w:rsidP="00D253F7">
            <w:pPr>
              <w:pStyle w:val="Tabelltext"/>
              <w:keepNext/>
              <w:jc w:val="right"/>
              <w:rPr>
                <w:szCs w:val="18"/>
              </w:rPr>
            </w:pPr>
            <w:r w:rsidRPr="00A56240">
              <w:rPr>
                <w:color w:val="000000"/>
                <w:szCs w:val="18"/>
              </w:rPr>
              <w:t>20</w:t>
            </w:r>
          </w:p>
        </w:tc>
      </w:tr>
      <w:tr w:rsidR="00E97E1A" w14:paraId="5B642DA1" w14:textId="77777777" w:rsidTr="00D253F7">
        <w:trPr>
          <w:trHeight w:val="537"/>
        </w:trPr>
        <w:tc>
          <w:tcPr>
            <w:tcW w:w="1276" w:type="dxa"/>
            <w:tcBorders>
              <w:top w:val="single" w:sz="4" w:space="0" w:color="auto"/>
              <w:left w:val="single" w:sz="4" w:space="0" w:color="auto"/>
              <w:right w:val="single" w:sz="4" w:space="0" w:color="auto"/>
            </w:tcBorders>
            <w:vAlign w:val="bottom"/>
          </w:tcPr>
          <w:p w14:paraId="658F86A2" w14:textId="77777777" w:rsidR="00E97E1A" w:rsidRDefault="00E97E1A" w:rsidP="00D253F7">
            <w:pPr>
              <w:pStyle w:val="Tabelltext"/>
              <w:keepNext/>
            </w:pPr>
            <w:r>
              <w:t>Skillnad (%-enheter)</w:t>
            </w:r>
          </w:p>
        </w:tc>
        <w:tc>
          <w:tcPr>
            <w:tcW w:w="673" w:type="dxa"/>
            <w:tcBorders>
              <w:top w:val="single" w:sz="4" w:space="0" w:color="auto"/>
              <w:left w:val="nil"/>
              <w:bottom w:val="nil"/>
              <w:right w:val="nil"/>
            </w:tcBorders>
            <w:shd w:val="clear" w:color="auto" w:fill="auto"/>
            <w:vAlign w:val="bottom"/>
          </w:tcPr>
          <w:p w14:paraId="4E2CEDA3" w14:textId="74A6A13A" w:rsidR="00E97E1A" w:rsidRPr="00A56240" w:rsidRDefault="00152499" w:rsidP="00D253F7">
            <w:pPr>
              <w:pStyle w:val="Tabelltext"/>
              <w:keepNext/>
              <w:jc w:val="right"/>
              <w:rPr>
                <w:szCs w:val="18"/>
              </w:rPr>
            </w:pPr>
            <w:r w:rsidRPr="00A56240">
              <w:rPr>
                <w:color w:val="000000"/>
                <w:szCs w:val="18"/>
              </w:rPr>
              <w:t>2</w:t>
            </w:r>
            <w:r w:rsidR="00E97E1A" w:rsidRPr="00A56240">
              <w:rPr>
                <w:color w:val="000000"/>
                <w:szCs w:val="18"/>
              </w:rPr>
              <w:t>,</w:t>
            </w:r>
            <w:r w:rsidRPr="00A56240">
              <w:rPr>
                <w:color w:val="000000"/>
                <w:szCs w:val="18"/>
              </w:rPr>
              <w:t>0</w:t>
            </w:r>
            <w:r w:rsidR="002A62AB" w:rsidRPr="00A56240">
              <w:rPr>
                <w:color w:val="000000"/>
                <w:szCs w:val="18"/>
              </w:rPr>
              <w:t>4</w:t>
            </w:r>
          </w:p>
        </w:tc>
        <w:tc>
          <w:tcPr>
            <w:tcW w:w="673" w:type="dxa"/>
            <w:tcBorders>
              <w:top w:val="single" w:sz="4" w:space="0" w:color="auto"/>
              <w:left w:val="nil"/>
              <w:bottom w:val="nil"/>
              <w:right w:val="nil"/>
            </w:tcBorders>
            <w:shd w:val="clear" w:color="auto" w:fill="auto"/>
            <w:vAlign w:val="bottom"/>
          </w:tcPr>
          <w:p w14:paraId="2CA56407" w14:textId="669073DC" w:rsidR="00E97E1A" w:rsidRPr="00A56240" w:rsidRDefault="00F554D2" w:rsidP="00D253F7">
            <w:pPr>
              <w:pStyle w:val="Tabelltext"/>
              <w:keepNext/>
              <w:jc w:val="right"/>
              <w:rPr>
                <w:szCs w:val="18"/>
              </w:rPr>
            </w:pPr>
            <w:r w:rsidRPr="00A56240">
              <w:rPr>
                <w:color w:val="000000"/>
                <w:szCs w:val="18"/>
              </w:rPr>
              <w:t>1</w:t>
            </w:r>
            <w:r w:rsidR="00E97E1A" w:rsidRPr="00A56240">
              <w:rPr>
                <w:color w:val="000000"/>
                <w:szCs w:val="18"/>
              </w:rPr>
              <w:t>,</w:t>
            </w:r>
            <w:r w:rsidR="002A62AB" w:rsidRPr="00A56240">
              <w:rPr>
                <w:color w:val="000000"/>
                <w:szCs w:val="18"/>
              </w:rPr>
              <w:t>78</w:t>
            </w:r>
          </w:p>
        </w:tc>
        <w:tc>
          <w:tcPr>
            <w:tcW w:w="674" w:type="dxa"/>
            <w:tcBorders>
              <w:top w:val="single" w:sz="4" w:space="0" w:color="auto"/>
              <w:left w:val="nil"/>
              <w:bottom w:val="nil"/>
              <w:right w:val="nil"/>
            </w:tcBorders>
            <w:shd w:val="clear" w:color="auto" w:fill="auto"/>
            <w:vAlign w:val="bottom"/>
          </w:tcPr>
          <w:p w14:paraId="5FFB23E7" w14:textId="781926FB" w:rsidR="00E97E1A" w:rsidRPr="00A56240" w:rsidRDefault="00F554D2" w:rsidP="00D253F7">
            <w:pPr>
              <w:pStyle w:val="Tabelltext"/>
              <w:keepNext/>
              <w:jc w:val="right"/>
              <w:rPr>
                <w:szCs w:val="18"/>
              </w:rPr>
            </w:pPr>
            <w:r w:rsidRPr="00A56240">
              <w:rPr>
                <w:color w:val="000000"/>
                <w:szCs w:val="18"/>
              </w:rPr>
              <w:t>1</w:t>
            </w:r>
            <w:r w:rsidR="00E97E1A" w:rsidRPr="00A56240">
              <w:rPr>
                <w:color w:val="000000"/>
                <w:szCs w:val="18"/>
              </w:rPr>
              <w:t>,</w:t>
            </w:r>
            <w:r w:rsidR="002A62AB" w:rsidRPr="00A56240">
              <w:rPr>
                <w:color w:val="000000"/>
                <w:szCs w:val="18"/>
              </w:rPr>
              <w:t>81</w:t>
            </w:r>
          </w:p>
        </w:tc>
        <w:tc>
          <w:tcPr>
            <w:tcW w:w="673" w:type="dxa"/>
            <w:tcBorders>
              <w:top w:val="single" w:sz="4" w:space="0" w:color="auto"/>
              <w:left w:val="nil"/>
              <w:bottom w:val="nil"/>
              <w:right w:val="nil"/>
            </w:tcBorders>
            <w:shd w:val="clear" w:color="auto" w:fill="auto"/>
            <w:vAlign w:val="bottom"/>
          </w:tcPr>
          <w:p w14:paraId="409D3A12" w14:textId="4DF71590" w:rsidR="00E97E1A" w:rsidRPr="00A56240" w:rsidRDefault="002A62AB" w:rsidP="00D253F7">
            <w:pPr>
              <w:pStyle w:val="Tabelltext"/>
              <w:keepNext/>
              <w:jc w:val="right"/>
              <w:rPr>
                <w:szCs w:val="18"/>
              </w:rPr>
            </w:pPr>
            <w:r w:rsidRPr="00A56240">
              <w:rPr>
                <w:color w:val="000000"/>
                <w:szCs w:val="18"/>
              </w:rPr>
              <w:t>1</w:t>
            </w:r>
            <w:r w:rsidR="00E97E1A" w:rsidRPr="00A56240">
              <w:rPr>
                <w:color w:val="000000"/>
                <w:szCs w:val="18"/>
              </w:rPr>
              <w:t>,</w:t>
            </w:r>
            <w:r w:rsidRPr="00A56240">
              <w:rPr>
                <w:color w:val="000000"/>
                <w:szCs w:val="18"/>
              </w:rPr>
              <w:t>99</w:t>
            </w:r>
          </w:p>
        </w:tc>
        <w:tc>
          <w:tcPr>
            <w:tcW w:w="673" w:type="dxa"/>
            <w:tcBorders>
              <w:top w:val="single" w:sz="4" w:space="0" w:color="auto"/>
              <w:left w:val="nil"/>
              <w:bottom w:val="nil"/>
              <w:right w:val="nil"/>
            </w:tcBorders>
            <w:shd w:val="clear" w:color="auto" w:fill="auto"/>
            <w:vAlign w:val="bottom"/>
          </w:tcPr>
          <w:p w14:paraId="6AC9A69E" w14:textId="1E85CE26" w:rsidR="00E97E1A" w:rsidRPr="00A56240" w:rsidRDefault="002A62AB" w:rsidP="00D253F7">
            <w:pPr>
              <w:pStyle w:val="Tabelltext"/>
              <w:keepNext/>
              <w:jc w:val="right"/>
              <w:rPr>
                <w:szCs w:val="18"/>
              </w:rPr>
            </w:pPr>
            <w:r w:rsidRPr="00A56240">
              <w:rPr>
                <w:color w:val="000000"/>
                <w:szCs w:val="18"/>
              </w:rPr>
              <w:t>1</w:t>
            </w:r>
            <w:r w:rsidR="00E97E1A" w:rsidRPr="00A56240">
              <w:rPr>
                <w:color w:val="000000"/>
                <w:szCs w:val="18"/>
              </w:rPr>
              <w:t>,</w:t>
            </w:r>
            <w:r w:rsidRPr="00A56240">
              <w:rPr>
                <w:color w:val="000000"/>
                <w:szCs w:val="18"/>
              </w:rPr>
              <w:t>98</w:t>
            </w:r>
          </w:p>
        </w:tc>
        <w:tc>
          <w:tcPr>
            <w:tcW w:w="674" w:type="dxa"/>
            <w:tcBorders>
              <w:top w:val="single" w:sz="4" w:space="0" w:color="auto"/>
              <w:left w:val="nil"/>
              <w:bottom w:val="nil"/>
              <w:right w:val="nil"/>
            </w:tcBorders>
            <w:shd w:val="clear" w:color="auto" w:fill="auto"/>
            <w:vAlign w:val="bottom"/>
          </w:tcPr>
          <w:p w14:paraId="5509F2AF" w14:textId="211F3CD9" w:rsidR="00E97E1A" w:rsidRPr="00A56240" w:rsidRDefault="00F554D2" w:rsidP="00D253F7">
            <w:pPr>
              <w:pStyle w:val="Tabelltext"/>
              <w:keepNext/>
              <w:jc w:val="right"/>
              <w:rPr>
                <w:szCs w:val="18"/>
              </w:rPr>
            </w:pPr>
            <w:r w:rsidRPr="00A56240">
              <w:rPr>
                <w:color w:val="000000"/>
                <w:szCs w:val="18"/>
              </w:rPr>
              <w:t>2</w:t>
            </w:r>
            <w:r w:rsidR="00E97E1A" w:rsidRPr="00A56240">
              <w:rPr>
                <w:color w:val="000000"/>
                <w:szCs w:val="18"/>
              </w:rPr>
              <w:t>,</w:t>
            </w:r>
            <w:r w:rsidRPr="00A56240">
              <w:rPr>
                <w:color w:val="000000"/>
                <w:szCs w:val="18"/>
              </w:rPr>
              <w:t>0</w:t>
            </w:r>
            <w:r w:rsidR="002A62AB" w:rsidRPr="00A56240">
              <w:rPr>
                <w:color w:val="000000"/>
                <w:szCs w:val="18"/>
              </w:rPr>
              <w:t>1</w:t>
            </w:r>
          </w:p>
        </w:tc>
        <w:tc>
          <w:tcPr>
            <w:tcW w:w="673" w:type="dxa"/>
            <w:tcBorders>
              <w:top w:val="single" w:sz="4" w:space="0" w:color="auto"/>
              <w:left w:val="nil"/>
              <w:bottom w:val="nil"/>
              <w:right w:val="nil"/>
            </w:tcBorders>
            <w:shd w:val="clear" w:color="auto" w:fill="auto"/>
            <w:vAlign w:val="bottom"/>
          </w:tcPr>
          <w:p w14:paraId="79B00401" w14:textId="05D33A6F" w:rsidR="00E97E1A" w:rsidRPr="00A56240" w:rsidRDefault="00F554D2" w:rsidP="00D253F7">
            <w:pPr>
              <w:pStyle w:val="Tabelltext"/>
              <w:keepNext/>
              <w:jc w:val="right"/>
              <w:rPr>
                <w:szCs w:val="18"/>
              </w:rPr>
            </w:pPr>
            <w:r w:rsidRPr="00A56240">
              <w:rPr>
                <w:color w:val="000000"/>
                <w:szCs w:val="18"/>
              </w:rPr>
              <w:t>2</w:t>
            </w:r>
            <w:r w:rsidR="00E97E1A" w:rsidRPr="00A56240">
              <w:rPr>
                <w:color w:val="000000"/>
                <w:szCs w:val="18"/>
              </w:rPr>
              <w:t>,0</w:t>
            </w:r>
            <w:r w:rsidR="002A62AB" w:rsidRPr="00A56240">
              <w:rPr>
                <w:color w:val="000000"/>
                <w:szCs w:val="18"/>
              </w:rPr>
              <w:t>1</w:t>
            </w:r>
          </w:p>
        </w:tc>
        <w:tc>
          <w:tcPr>
            <w:tcW w:w="674" w:type="dxa"/>
            <w:tcBorders>
              <w:top w:val="single" w:sz="4" w:space="0" w:color="auto"/>
              <w:left w:val="nil"/>
              <w:bottom w:val="nil"/>
              <w:right w:val="single" w:sz="4" w:space="0" w:color="auto"/>
            </w:tcBorders>
            <w:shd w:val="clear" w:color="auto" w:fill="auto"/>
            <w:vAlign w:val="bottom"/>
          </w:tcPr>
          <w:p w14:paraId="709691CC" w14:textId="48B60ABC" w:rsidR="00E97E1A" w:rsidRPr="00A56240" w:rsidRDefault="002A62AB" w:rsidP="00D253F7">
            <w:pPr>
              <w:pStyle w:val="Tabelltext"/>
              <w:keepNext/>
              <w:jc w:val="right"/>
              <w:rPr>
                <w:szCs w:val="18"/>
              </w:rPr>
            </w:pPr>
            <w:r w:rsidRPr="00A56240">
              <w:rPr>
                <w:color w:val="000000"/>
                <w:szCs w:val="18"/>
              </w:rPr>
              <w:t>1</w:t>
            </w:r>
            <w:r w:rsidR="00E97E1A" w:rsidRPr="00A56240">
              <w:rPr>
                <w:color w:val="000000"/>
                <w:szCs w:val="18"/>
              </w:rPr>
              <w:t>,</w:t>
            </w:r>
            <w:r w:rsidRPr="00A56240">
              <w:rPr>
                <w:color w:val="000000"/>
                <w:szCs w:val="18"/>
              </w:rPr>
              <w:t>98</w:t>
            </w:r>
          </w:p>
        </w:tc>
      </w:tr>
    </w:tbl>
    <w:p w14:paraId="2D375055" w14:textId="77777777" w:rsidR="00E97E1A" w:rsidRDefault="00E97E1A" w:rsidP="00E97E1A">
      <w:pPr>
        <w:pStyle w:val="ANormal"/>
      </w:pPr>
    </w:p>
    <w:p w14:paraId="3E11945C" w14:textId="77777777" w:rsidR="00E97E1A" w:rsidRDefault="00E97E1A" w:rsidP="00E97E1A">
      <w:pPr>
        <w:pStyle w:val="RubrikD"/>
      </w:pPr>
      <w:r>
        <w:lastRenderedPageBreak/>
        <w:t>Total skattesats för samfällda förmåner:</w:t>
      </w:r>
    </w:p>
    <w:p w14:paraId="43757233" w14:textId="77777777" w:rsidR="00E97E1A" w:rsidRPr="007A6E9F" w:rsidRDefault="00E97E1A" w:rsidP="00E97E1A">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E97E1A" w:rsidRPr="000854C3" w14:paraId="28B6F9D1" w14:textId="77777777" w:rsidTr="00D253F7">
        <w:trPr>
          <w:trHeight w:val="304"/>
        </w:trPr>
        <w:tc>
          <w:tcPr>
            <w:tcW w:w="1276" w:type="dxa"/>
            <w:tcBorders>
              <w:left w:val="single" w:sz="4" w:space="0" w:color="auto"/>
              <w:bottom w:val="single" w:sz="4" w:space="0" w:color="auto"/>
              <w:right w:val="single" w:sz="4" w:space="0" w:color="auto"/>
            </w:tcBorders>
            <w:vAlign w:val="bottom"/>
          </w:tcPr>
          <w:p w14:paraId="0BAAF422" w14:textId="77777777" w:rsidR="00E97E1A" w:rsidRPr="007A6E9F" w:rsidRDefault="00E97E1A" w:rsidP="00D253F7">
            <w:pPr>
              <w:pStyle w:val="Tabelltext"/>
              <w:keepNext/>
              <w:rPr>
                <w:bCs/>
              </w:rPr>
            </w:pPr>
            <w:r w:rsidRPr="007A6E9F">
              <w:rPr>
                <w:bCs/>
              </w:rPr>
              <w:t>Skattesats (%)</w:t>
            </w:r>
          </w:p>
        </w:tc>
        <w:tc>
          <w:tcPr>
            <w:tcW w:w="673" w:type="dxa"/>
            <w:tcBorders>
              <w:left w:val="single" w:sz="4" w:space="0" w:color="auto"/>
              <w:bottom w:val="single" w:sz="4" w:space="0" w:color="auto"/>
              <w:right w:val="single" w:sz="4" w:space="0" w:color="auto"/>
            </w:tcBorders>
            <w:vAlign w:val="bottom"/>
          </w:tcPr>
          <w:p w14:paraId="38647B84" w14:textId="43288F1C" w:rsidR="00E97E1A" w:rsidRPr="000854C3" w:rsidRDefault="00E97E1A" w:rsidP="00D253F7">
            <w:pPr>
              <w:pStyle w:val="Tabelltext"/>
              <w:keepNext/>
              <w:jc w:val="center"/>
              <w:rPr>
                <w:b/>
              </w:rPr>
            </w:pPr>
            <w:r w:rsidRPr="000854C3">
              <w:rPr>
                <w:b/>
              </w:rPr>
              <w:t>20</w:t>
            </w:r>
            <w:r>
              <w:rPr>
                <w:b/>
              </w:rPr>
              <w:t>2</w:t>
            </w:r>
            <w:r w:rsidR="00152499">
              <w:rPr>
                <w:b/>
              </w:rPr>
              <w:t>3</w:t>
            </w:r>
          </w:p>
        </w:tc>
        <w:tc>
          <w:tcPr>
            <w:tcW w:w="673" w:type="dxa"/>
            <w:tcBorders>
              <w:left w:val="single" w:sz="4" w:space="0" w:color="auto"/>
              <w:bottom w:val="single" w:sz="4" w:space="0" w:color="auto"/>
              <w:right w:val="single" w:sz="4" w:space="0" w:color="auto"/>
            </w:tcBorders>
            <w:vAlign w:val="bottom"/>
          </w:tcPr>
          <w:p w14:paraId="01E35584" w14:textId="542756A2" w:rsidR="00E97E1A" w:rsidRPr="000854C3" w:rsidRDefault="00E97E1A" w:rsidP="00D253F7">
            <w:pPr>
              <w:pStyle w:val="Tabelltext"/>
              <w:keepNext/>
              <w:jc w:val="center"/>
              <w:rPr>
                <w:b/>
              </w:rPr>
            </w:pPr>
            <w:r w:rsidRPr="000854C3">
              <w:rPr>
                <w:b/>
              </w:rPr>
              <w:t>20</w:t>
            </w:r>
            <w:r>
              <w:rPr>
                <w:b/>
              </w:rPr>
              <w:t>2</w:t>
            </w:r>
            <w:r w:rsidR="00152499">
              <w:rPr>
                <w:b/>
              </w:rPr>
              <w:t>4</w:t>
            </w:r>
          </w:p>
        </w:tc>
        <w:tc>
          <w:tcPr>
            <w:tcW w:w="674" w:type="dxa"/>
            <w:tcBorders>
              <w:left w:val="single" w:sz="4" w:space="0" w:color="auto"/>
              <w:bottom w:val="single" w:sz="4" w:space="0" w:color="auto"/>
              <w:right w:val="single" w:sz="4" w:space="0" w:color="auto"/>
            </w:tcBorders>
            <w:vAlign w:val="bottom"/>
          </w:tcPr>
          <w:p w14:paraId="09546546" w14:textId="43BB8757" w:rsidR="00E97E1A" w:rsidRPr="000854C3" w:rsidRDefault="00E97E1A" w:rsidP="00D253F7">
            <w:pPr>
              <w:pStyle w:val="Tabelltext"/>
              <w:keepNext/>
              <w:jc w:val="center"/>
              <w:rPr>
                <w:b/>
              </w:rPr>
            </w:pPr>
            <w:r w:rsidRPr="000854C3">
              <w:rPr>
                <w:b/>
              </w:rPr>
              <w:t>20</w:t>
            </w:r>
            <w:r>
              <w:rPr>
                <w:b/>
              </w:rPr>
              <w:t>2</w:t>
            </w:r>
            <w:r w:rsidR="00152499">
              <w:rPr>
                <w:b/>
              </w:rPr>
              <w:t>5</w:t>
            </w:r>
          </w:p>
        </w:tc>
        <w:tc>
          <w:tcPr>
            <w:tcW w:w="673" w:type="dxa"/>
            <w:tcBorders>
              <w:left w:val="single" w:sz="4" w:space="0" w:color="auto"/>
              <w:bottom w:val="single" w:sz="4" w:space="0" w:color="auto"/>
              <w:right w:val="single" w:sz="4" w:space="0" w:color="auto"/>
            </w:tcBorders>
            <w:vAlign w:val="bottom"/>
          </w:tcPr>
          <w:p w14:paraId="05BDEA61" w14:textId="2636308B" w:rsidR="00E97E1A" w:rsidRPr="000854C3" w:rsidRDefault="00E97E1A" w:rsidP="00D253F7">
            <w:pPr>
              <w:pStyle w:val="Tabelltext"/>
              <w:keepNext/>
              <w:jc w:val="center"/>
              <w:rPr>
                <w:b/>
              </w:rPr>
            </w:pPr>
            <w:r w:rsidRPr="000854C3">
              <w:rPr>
                <w:b/>
              </w:rPr>
              <w:t>20</w:t>
            </w:r>
            <w:r>
              <w:rPr>
                <w:b/>
              </w:rPr>
              <w:t>2</w:t>
            </w:r>
            <w:r w:rsidR="00152499">
              <w:rPr>
                <w:b/>
              </w:rPr>
              <w:t>6</w:t>
            </w:r>
          </w:p>
        </w:tc>
        <w:tc>
          <w:tcPr>
            <w:tcW w:w="673" w:type="dxa"/>
            <w:tcBorders>
              <w:left w:val="single" w:sz="4" w:space="0" w:color="auto"/>
              <w:bottom w:val="single" w:sz="4" w:space="0" w:color="auto"/>
              <w:right w:val="single" w:sz="4" w:space="0" w:color="auto"/>
            </w:tcBorders>
            <w:vAlign w:val="bottom"/>
          </w:tcPr>
          <w:p w14:paraId="61D53B55" w14:textId="45AA577F" w:rsidR="00E97E1A" w:rsidRPr="000854C3" w:rsidRDefault="00E97E1A" w:rsidP="00D253F7">
            <w:pPr>
              <w:pStyle w:val="Tabelltext"/>
              <w:keepNext/>
              <w:jc w:val="center"/>
              <w:rPr>
                <w:b/>
              </w:rPr>
            </w:pPr>
            <w:r w:rsidRPr="000854C3">
              <w:rPr>
                <w:b/>
              </w:rPr>
              <w:t>20</w:t>
            </w:r>
            <w:r>
              <w:rPr>
                <w:b/>
              </w:rPr>
              <w:t>2</w:t>
            </w:r>
            <w:r w:rsidR="00152499">
              <w:rPr>
                <w:b/>
              </w:rPr>
              <w:t>7</w:t>
            </w:r>
          </w:p>
        </w:tc>
        <w:tc>
          <w:tcPr>
            <w:tcW w:w="674" w:type="dxa"/>
            <w:tcBorders>
              <w:left w:val="single" w:sz="4" w:space="0" w:color="auto"/>
              <w:bottom w:val="single" w:sz="4" w:space="0" w:color="auto"/>
              <w:right w:val="single" w:sz="4" w:space="0" w:color="auto"/>
            </w:tcBorders>
            <w:vAlign w:val="bottom"/>
          </w:tcPr>
          <w:p w14:paraId="4C520DFD" w14:textId="0D96C679" w:rsidR="00E97E1A" w:rsidRPr="000854C3" w:rsidRDefault="00E97E1A" w:rsidP="00D253F7">
            <w:pPr>
              <w:pStyle w:val="Tabelltext"/>
              <w:keepNext/>
              <w:jc w:val="center"/>
              <w:rPr>
                <w:b/>
              </w:rPr>
            </w:pPr>
            <w:r w:rsidRPr="000854C3">
              <w:rPr>
                <w:b/>
              </w:rPr>
              <w:t>20</w:t>
            </w:r>
            <w:r>
              <w:rPr>
                <w:b/>
              </w:rPr>
              <w:t>2</w:t>
            </w:r>
            <w:r w:rsidR="00152499">
              <w:rPr>
                <w:b/>
              </w:rPr>
              <w:t>8</w:t>
            </w:r>
          </w:p>
        </w:tc>
        <w:tc>
          <w:tcPr>
            <w:tcW w:w="673" w:type="dxa"/>
            <w:tcBorders>
              <w:left w:val="single" w:sz="4" w:space="0" w:color="auto"/>
              <w:bottom w:val="single" w:sz="4" w:space="0" w:color="auto"/>
              <w:right w:val="single" w:sz="4" w:space="0" w:color="auto"/>
            </w:tcBorders>
            <w:vAlign w:val="bottom"/>
          </w:tcPr>
          <w:p w14:paraId="02EF7B41" w14:textId="3E08704D" w:rsidR="00E97E1A" w:rsidRPr="000854C3" w:rsidRDefault="00E97E1A" w:rsidP="00D253F7">
            <w:pPr>
              <w:pStyle w:val="Tabelltext"/>
              <w:keepNext/>
              <w:jc w:val="right"/>
              <w:rPr>
                <w:b/>
              </w:rPr>
            </w:pPr>
            <w:r>
              <w:rPr>
                <w:b/>
              </w:rPr>
              <w:t>202</w:t>
            </w:r>
            <w:r w:rsidR="00152499">
              <w:rPr>
                <w:b/>
              </w:rPr>
              <w:t>9</w:t>
            </w:r>
          </w:p>
        </w:tc>
        <w:tc>
          <w:tcPr>
            <w:tcW w:w="674" w:type="dxa"/>
            <w:tcBorders>
              <w:left w:val="single" w:sz="4" w:space="0" w:color="auto"/>
              <w:bottom w:val="single" w:sz="4" w:space="0" w:color="auto"/>
              <w:right w:val="single" w:sz="4" w:space="0" w:color="auto"/>
            </w:tcBorders>
            <w:vAlign w:val="bottom"/>
          </w:tcPr>
          <w:p w14:paraId="38582602" w14:textId="7B9BFFCD" w:rsidR="00E97E1A" w:rsidRPr="000854C3" w:rsidRDefault="00E97E1A" w:rsidP="00D253F7">
            <w:pPr>
              <w:pStyle w:val="Tabelltext"/>
              <w:keepNext/>
              <w:jc w:val="right"/>
              <w:rPr>
                <w:b/>
              </w:rPr>
            </w:pPr>
            <w:r>
              <w:rPr>
                <w:b/>
              </w:rPr>
              <w:t>20</w:t>
            </w:r>
            <w:r w:rsidR="00152499">
              <w:rPr>
                <w:b/>
              </w:rPr>
              <w:t>30</w:t>
            </w:r>
          </w:p>
        </w:tc>
      </w:tr>
      <w:tr w:rsidR="00E97E1A" w14:paraId="4F8BC9B1" w14:textId="77777777" w:rsidTr="00D253F7">
        <w:trPr>
          <w:trHeight w:val="332"/>
        </w:trPr>
        <w:tc>
          <w:tcPr>
            <w:tcW w:w="1276" w:type="dxa"/>
            <w:tcBorders>
              <w:top w:val="single" w:sz="4" w:space="0" w:color="auto"/>
              <w:left w:val="single" w:sz="4" w:space="0" w:color="auto"/>
              <w:right w:val="single" w:sz="4" w:space="0" w:color="auto"/>
            </w:tcBorders>
            <w:vAlign w:val="bottom"/>
          </w:tcPr>
          <w:p w14:paraId="0E9A7E4D" w14:textId="77777777" w:rsidR="00E97E1A" w:rsidRDefault="00E97E1A" w:rsidP="00D253F7">
            <w:pPr>
              <w:pStyle w:val="Tabelltext"/>
              <w:keepNext/>
            </w:pPr>
            <w:r>
              <w:t>I landskapet</w:t>
            </w:r>
          </w:p>
        </w:tc>
        <w:tc>
          <w:tcPr>
            <w:tcW w:w="673" w:type="dxa"/>
            <w:tcBorders>
              <w:top w:val="nil"/>
              <w:left w:val="nil"/>
              <w:right w:val="nil"/>
            </w:tcBorders>
            <w:shd w:val="clear" w:color="auto" w:fill="auto"/>
            <w:vAlign w:val="bottom"/>
          </w:tcPr>
          <w:p w14:paraId="57EC0C5D" w14:textId="0D3EE038"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,2</w:t>
            </w:r>
            <w:r w:rsidR="00C46157" w:rsidRPr="00A56240">
              <w:rPr>
                <w:color w:val="000000"/>
                <w:szCs w:val="18"/>
              </w:rPr>
              <w:t>0</w:t>
            </w:r>
          </w:p>
        </w:tc>
        <w:tc>
          <w:tcPr>
            <w:tcW w:w="673" w:type="dxa"/>
            <w:tcBorders>
              <w:top w:val="nil"/>
              <w:left w:val="nil"/>
              <w:right w:val="nil"/>
            </w:tcBorders>
            <w:shd w:val="clear" w:color="auto" w:fill="auto"/>
            <w:vAlign w:val="bottom"/>
          </w:tcPr>
          <w:p w14:paraId="15A33510" w14:textId="4F02F07D"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8</w:t>
            </w:r>
            <w:r w:rsidRPr="00A56240">
              <w:rPr>
                <w:color w:val="000000"/>
                <w:szCs w:val="18"/>
              </w:rPr>
              <w:t>,</w:t>
            </w:r>
            <w:r w:rsidR="00C46157" w:rsidRPr="00A56240">
              <w:rPr>
                <w:color w:val="000000"/>
                <w:szCs w:val="18"/>
              </w:rPr>
              <w:t>85</w:t>
            </w:r>
          </w:p>
        </w:tc>
        <w:tc>
          <w:tcPr>
            <w:tcW w:w="674" w:type="dxa"/>
            <w:tcBorders>
              <w:top w:val="nil"/>
              <w:left w:val="nil"/>
              <w:right w:val="nil"/>
            </w:tcBorders>
            <w:shd w:val="clear" w:color="auto" w:fill="auto"/>
            <w:vAlign w:val="bottom"/>
          </w:tcPr>
          <w:p w14:paraId="31376228" w14:textId="6C6AE00E"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8</w:t>
            </w:r>
            <w:r w:rsidRPr="00A56240">
              <w:rPr>
                <w:color w:val="000000"/>
                <w:szCs w:val="18"/>
              </w:rPr>
              <w:t>,</w:t>
            </w:r>
            <w:r w:rsidR="00D54BA2" w:rsidRPr="00A56240">
              <w:rPr>
                <w:color w:val="000000"/>
                <w:szCs w:val="18"/>
              </w:rPr>
              <w:t>9</w:t>
            </w:r>
            <w:r w:rsidR="00C46157" w:rsidRPr="00A56240">
              <w:rPr>
                <w:color w:val="000000"/>
                <w:szCs w:val="18"/>
              </w:rPr>
              <w:t>0</w:t>
            </w:r>
          </w:p>
        </w:tc>
        <w:tc>
          <w:tcPr>
            <w:tcW w:w="673" w:type="dxa"/>
            <w:tcBorders>
              <w:top w:val="nil"/>
              <w:left w:val="nil"/>
              <w:right w:val="nil"/>
            </w:tcBorders>
            <w:shd w:val="clear" w:color="auto" w:fill="auto"/>
            <w:vAlign w:val="bottom"/>
          </w:tcPr>
          <w:p w14:paraId="34BD6CFA" w14:textId="51B9BE7A"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w:t>
            </w:r>
            <w:r w:rsidR="00D54BA2" w:rsidRPr="00A56240">
              <w:rPr>
                <w:color w:val="000000"/>
                <w:szCs w:val="18"/>
              </w:rPr>
              <w:t>1</w:t>
            </w:r>
            <w:r w:rsidR="00C46157" w:rsidRPr="00A56240">
              <w:rPr>
                <w:color w:val="000000"/>
                <w:szCs w:val="18"/>
              </w:rPr>
              <w:t>3</w:t>
            </w:r>
          </w:p>
        </w:tc>
        <w:tc>
          <w:tcPr>
            <w:tcW w:w="673" w:type="dxa"/>
            <w:tcBorders>
              <w:top w:val="nil"/>
              <w:left w:val="nil"/>
              <w:right w:val="nil"/>
            </w:tcBorders>
            <w:shd w:val="clear" w:color="auto" w:fill="auto"/>
            <w:vAlign w:val="bottom"/>
          </w:tcPr>
          <w:p w14:paraId="620A817E" w14:textId="78CF0BA4"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w:t>
            </w:r>
            <w:r w:rsidR="00C46157" w:rsidRPr="00A56240">
              <w:rPr>
                <w:color w:val="000000"/>
                <w:szCs w:val="18"/>
              </w:rPr>
              <w:t>13</w:t>
            </w:r>
          </w:p>
        </w:tc>
        <w:tc>
          <w:tcPr>
            <w:tcW w:w="674" w:type="dxa"/>
            <w:tcBorders>
              <w:top w:val="nil"/>
              <w:left w:val="nil"/>
              <w:right w:val="nil"/>
            </w:tcBorders>
            <w:shd w:val="clear" w:color="auto" w:fill="auto"/>
            <w:vAlign w:val="bottom"/>
          </w:tcPr>
          <w:p w14:paraId="4816B456" w14:textId="51ED8300"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w:t>
            </w:r>
            <w:r w:rsidR="00C46157" w:rsidRPr="00A56240">
              <w:rPr>
                <w:color w:val="000000"/>
                <w:szCs w:val="18"/>
              </w:rPr>
              <w:t>17</w:t>
            </w:r>
          </w:p>
        </w:tc>
        <w:tc>
          <w:tcPr>
            <w:tcW w:w="673" w:type="dxa"/>
            <w:tcBorders>
              <w:top w:val="nil"/>
              <w:left w:val="nil"/>
              <w:right w:val="nil"/>
            </w:tcBorders>
            <w:shd w:val="clear" w:color="auto" w:fill="auto"/>
            <w:vAlign w:val="bottom"/>
          </w:tcPr>
          <w:p w14:paraId="2A1120DC" w14:textId="4B070DF0"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w:t>
            </w:r>
            <w:r w:rsidR="00C46157" w:rsidRPr="00A56240">
              <w:rPr>
                <w:color w:val="000000"/>
                <w:szCs w:val="18"/>
              </w:rPr>
              <w:t>16</w:t>
            </w:r>
          </w:p>
        </w:tc>
        <w:tc>
          <w:tcPr>
            <w:tcW w:w="674" w:type="dxa"/>
            <w:tcBorders>
              <w:top w:val="single" w:sz="4" w:space="0" w:color="auto"/>
              <w:left w:val="nil"/>
              <w:right w:val="single" w:sz="4" w:space="0" w:color="auto"/>
            </w:tcBorders>
            <w:shd w:val="clear" w:color="auto" w:fill="auto"/>
            <w:vAlign w:val="bottom"/>
          </w:tcPr>
          <w:p w14:paraId="6E2654B0" w14:textId="0BA9F7F1" w:rsidR="00E97E1A" w:rsidRPr="00A56240" w:rsidRDefault="00E97E1A" w:rsidP="00D253F7">
            <w:pPr>
              <w:pStyle w:val="Tabelltext"/>
              <w:keepNext/>
              <w:jc w:val="right"/>
              <w:rPr>
                <w:szCs w:val="18"/>
              </w:rPr>
            </w:pPr>
            <w:r w:rsidRPr="00A56240">
              <w:rPr>
                <w:color w:val="000000"/>
                <w:szCs w:val="18"/>
              </w:rPr>
              <w:t>2</w:t>
            </w:r>
            <w:r w:rsidR="00D54BA2" w:rsidRPr="00A56240">
              <w:rPr>
                <w:color w:val="000000"/>
                <w:szCs w:val="18"/>
              </w:rPr>
              <w:t>9</w:t>
            </w:r>
            <w:r w:rsidRPr="00A56240">
              <w:rPr>
                <w:color w:val="000000"/>
                <w:szCs w:val="18"/>
              </w:rPr>
              <w:t>,</w:t>
            </w:r>
            <w:r w:rsidR="00C46157" w:rsidRPr="00A56240">
              <w:rPr>
                <w:color w:val="000000"/>
                <w:szCs w:val="18"/>
              </w:rPr>
              <w:t>1</w:t>
            </w:r>
            <w:r w:rsidR="00D54BA2" w:rsidRPr="00A56240">
              <w:rPr>
                <w:color w:val="000000"/>
                <w:szCs w:val="18"/>
              </w:rPr>
              <w:t>2</w:t>
            </w:r>
          </w:p>
        </w:tc>
      </w:tr>
      <w:tr w:rsidR="00E97E1A" w14:paraId="2CF0A78A" w14:textId="77777777" w:rsidTr="00D253F7">
        <w:trPr>
          <w:trHeight w:val="332"/>
        </w:trPr>
        <w:tc>
          <w:tcPr>
            <w:tcW w:w="1276" w:type="dxa"/>
            <w:tcBorders>
              <w:left w:val="single" w:sz="4" w:space="0" w:color="auto"/>
              <w:right w:val="single" w:sz="4" w:space="0" w:color="auto"/>
            </w:tcBorders>
            <w:vAlign w:val="bottom"/>
          </w:tcPr>
          <w:p w14:paraId="40C5588D" w14:textId="77777777" w:rsidR="00E97E1A" w:rsidRDefault="00E97E1A" w:rsidP="00D253F7">
            <w:pPr>
              <w:pStyle w:val="Tabelltext"/>
              <w:keepNext/>
            </w:pPr>
            <w:r>
              <w:t>I riket</w:t>
            </w:r>
          </w:p>
        </w:tc>
        <w:tc>
          <w:tcPr>
            <w:tcW w:w="673" w:type="dxa"/>
            <w:tcBorders>
              <w:top w:val="nil"/>
              <w:left w:val="nil"/>
              <w:bottom w:val="single" w:sz="4" w:space="0" w:color="auto"/>
              <w:right w:val="nil"/>
            </w:tcBorders>
            <w:shd w:val="clear" w:color="auto" w:fill="auto"/>
            <w:vAlign w:val="bottom"/>
          </w:tcPr>
          <w:p w14:paraId="6DE2FD79" w14:textId="77777777" w:rsidR="00E97E1A" w:rsidRPr="00A56240" w:rsidRDefault="00E97E1A" w:rsidP="00D253F7">
            <w:pPr>
              <w:pStyle w:val="Tabelltext"/>
              <w:keepNext/>
              <w:jc w:val="right"/>
              <w:rPr>
                <w:szCs w:val="18"/>
              </w:rPr>
            </w:pPr>
            <w:r w:rsidRPr="00A56240">
              <w:rPr>
                <w:color w:val="000000"/>
                <w:szCs w:val="18"/>
              </w:rPr>
              <w:t>26,5</w:t>
            </w:r>
          </w:p>
        </w:tc>
        <w:tc>
          <w:tcPr>
            <w:tcW w:w="673" w:type="dxa"/>
            <w:tcBorders>
              <w:top w:val="nil"/>
              <w:left w:val="nil"/>
              <w:bottom w:val="single" w:sz="4" w:space="0" w:color="auto"/>
              <w:right w:val="nil"/>
            </w:tcBorders>
            <w:shd w:val="clear" w:color="auto" w:fill="auto"/>
            <w:vAlign w:val="bottom"/>
          </w:tcPr>
          <w:p w14:paraId="38230C82" w14:textId="77777777" w:rsidR="00E97E1A" w:rsidRPr="00A56240" w:rsidRDefault="00E97E1A" w:rsidP="00D253F7">
            <w:pPr>
              <w:pStyle w:val="Tabelltext"/>
              <w:keepNext/>
              <w:jc w:val="right"/>
              <w:rPr>
                <w:szCs w:val="18"/>
              </w:rPr>
            </w:pPr>
            <w:r w:rsidRPr="00A56240">
              <w:rPr>
                <w:color w:val="000000"/>
                <w:szCs w:val="18"/>
              </w:rPr>
              <w:t>26,5</w:t>
            </w:r>
          </w:p>
        </w:tc>
        <w:tc>
          <w:tcPr>
            <w:tcW w:w="674" w:type="dxa"/>
            <w:tcBorders>
              <w:top w:val="nil"/>
              <w:left w:val="nil"/>
              <w:bottom w:val="single" w:sz="4" w:space="0" w:color="auto"/>
              <w:right w:val="nil"/>
            </w:tcBorders>
            <w:shd w:val="clear" w:color="auto" w:fill="auto"/>
            <w:vAlign w:val="bottom"/>
          </w:tcPr>
          <w:p w14:paraId="33A3B351" w14:textId="77777777" w:rsidR="00E97E1A" w:rsidRPr="00A56240" w:rsidRDefault="00E97E1A" w:rsidP="00D253F7">
            <w:pPr>
              <w:pStyle w:val="Tabelltext"/>
              <w:keepNext/>
              <w:jc w:val="right"/>
              <w:rPr>
                <w:szCs w:val="18"/>
              </w:rPr>
            </w:pPr>
            <w:r w:rsidRPr="00A56240">
              <w:rPr>
                <w:color w:val="000000"/>
                <w:szCs w:val="18"/>
              </w:rPr>
              <w:t>26,5</w:t>
            </w:r>
          </w:p>
        </w:tc>
        <w:tc>
          <w:tcPr>
            <w:tcW w:w="673" w:type="dxa"/>
            <w:tcBorders>
              <w:top w:val="nil"/>
              <w:left w:val="nil"/>
              <w:bottom w:val="single" w:sz="4" w:space="0" w:color="auto"/>
              <w:right w:val="nil"/>
            </w:tcBorders>
            <w:shd w:val="clear" w:color="auto" w:fill="auto"/>
            <w:vAlign w:val="bottom"/>
          </w:tcPr>
          <w:p w14:paraId="2A22E6F8" w14:textId="77777777" w:rsidR="00E97E1A" w:rsidRPr="00A56240" w:rsidRDefault="00E97E1A" w:rsidP="00D253F7">
            <w:pPr>
              <w:pStyle w:val="Tabelltext"/>
              <w:keepNext/>
              <w:jc w:val="right"/>
              <w:rPr>
                <w:szCs w:val="18"/>
              </w:rPr>
            </w:pPr>
            <w:r w:rsidRPr="00A56240">
              <w:rPr>
                <w:color w:val="000000"/>
                <w:szCs w:val="18"/>
              </w:rPr>
              <w:t>26,5</w:t>
            </w:r>
          </w:p>
        </w:tc>
        <w:tc>
          <w:tcPr>
            <w:tcW w:w="673" w:type="dxa"/>
            <w:tcBorders>
              <w:top w:val="nil"/>
              <w:left w:val="nil"/>
              <w:bottom w:val="single" w:sz="4" w:space="0" w:color="auto"/>
              <w:right w:val="nil"/>
            </w:tcBorders>
            <w:shd w:val="clear" w:color="auto" w:fill="auto"/>
            <w:vAlign w:val="bottom"/>
          </w:tcPr>
          <w:p w14:paraId="180388F2" w14:textId="77777777" w:rsidR="00E97E1A" w:rsidRPr="00A56240" w:rsidRDefault="00E97E1A" w:rsidP="00D253F7">
            <w:pPr>
              <w:pStyle w:val="Tabelltext"/>
              <w:keepNext/>
              <w:jc w:val="right"/>
              <w:rPr>
                <w:szCs w:val="18"/>
              </w:rPr>
            </w:pPr>
            <w:r w:rsidRPr="00A56240">
              <w:rPr>
                <w:color w:val="000000"/>
                <w:szCs w:val="18"/>
              </w:rPr>
              <w:t>26,5</w:t>
            </w:r>
          </w:p>
        </w:tc>
        <w:tc>
          <w:tcPr>
            <w:tcW w:w="674" w:type="dxa"/>
            <w:tcBorders>
              <w:top w:val="nil"/>
              <w:left w:val="nil"/>
              <w:bottom w:val="single" w:sz="4" w:space="0" w:color="auto"/>
              <w:right w:val="nil"/>
            </w:tcBorders>
            <w:shd w:val="clear" w:color="auto" w:fill="auto"/>
            <w:vAlign w:val="bottom"/>
          </w:tcPr>
          <w:p w14:paraId="5AA95F04" w14:textId="77777777" w:rsidR="00E97E1A" w:rsidRPr="00A56240" w:rsidRDefault="00E97E1A" w:rsidP="00D253F7">
            <w:pPr>
              <w:pStyle w:val="Tabelltext"/>
              <w:keepNext/>
              <w:jc w:val="right"/>
              <w:rPr>
                <w:szCs w:val="18"/>
              </w:rPr>
            </w:pPr>
            <w:r w:rsidRPr="00A56240">
              <w:rPr>
                <w:color w:val="000000"/>
                <w:szCs w:val="18"/>
              </w:rPr>
              <w:t>26,5</w:t>
            </w:r>
          </w:p>
        </w:tc>
        <w:tc>
          <w:tcPr>
            <w:tcW w:w="673" w:type="dxa"/>
            <w:tcBorders>
              <w:top w:val="nil"/>
              <w:left w:val="nil"/>
              <w:bottom w:val="single" w:sz="4" w:space="0" w:color="auto"/>
              <w:right w:val="nil"/>
            </w:tcBorders>
            <w:shd w:val="clear" w:color="auto" w:fill="auto"/>
            <w:vAlign w:val="bottom"/>
          </w:tcPr>
          <w:p w14:paraId="2EAEF1A6" w14:textId="77777777" w:rsidR="00E97E1A" w:rsidRPr="00A56240" w:rsidRDefault="00E97E1A" w:rsidP="00D253F7">
            <w:pPr>
              <w:pStyle w:val="Tabelltext"/>
              <w:keepNext/>
              <w:jc w:val="right"/>
              <w:rPr>
                <w:szCs w:val="18"/>
              </w:rPr>
            </w:pPr>
            <w:r w:rsidRPr="00A56240">
              <w:rPr>
                <w:color w:val="000000"/>
                <w:szCs w:val="18"/>
              </w:rPr>
              <w:t>26,5</w:t>
            </w:r>
          </w:p>
        </w:tc>
        <w:tc>
          <w:tcPr>
            <w:tcW w:w="674" w:type="dxa"/>
            <w:tcBorders>
              <w:top w:val="nil"/>
              <w:left w:val="nil"/>
              <w:bottom w:val="single" w:sz="4" w:space="0" w:color="auto"/>
              <w:right w:val="single" w:sz="4" w:space="0" w:color="auto"/>
            </w:tcBorders>
            <w:shd w:val="clear" w:color="auto" w:fill="auto"/>
            <w:vAlign w:val="bottom"/>
          </w:tcPr>
          <w:p w14:paraId="087934F1" w14:textId="77777777" w:rsidR="00E97E1A" w:rsidRPr="00A56240" w:rsidRDefault="00E97E1A" w:rsidP="00D253F7">
            <w:pPr>
              <w:pStyle w:val="Tabelltext"/>
              <w:keepNext/>
              <w:jc w:val="right"/>
              <w:rPr>
                <w:szCs w:val="18"/>
              </w:rPr>
            </w:pPr>
            <w:r w:rsidRPr="00A56240">
              <w:rPr>
                <w:color w:val="000000"/>
                <w:szCs w:val="18"/>
              </w:rPr>
              <w:t>26,5</w:t>
            </w:r>
          </w:p>
        </w:tc>
      </w:tr>
      <w:tr w:rsidR="00E97E1A" w14:paraId="7CA6DD95" w14:textId="77777777" w:rsidTr="00D253F7">
        <w:trPr>
          <w:trHeight w:val="539"/>
        </w:trPr>
        <w:tc>
          <w:tcPr>
            <w:tcW w:w="1276" w:type="dxa"/>
            <w:tcBorders>
              <w:top w:val="single" w:sz="4" w:space="0" w:color="auto"/>
              <w:left w:val="single" w:sz="4" w:space="0" w:color="auto"/>
              <w:right w:val="single" w:sz="4" w:space="0" w:color="auto"/>
            </w:tcBorders>
            <w:vAlign w:val="bottom"/>
          </w:tcPr>
          <w:p w14:paraId="2758367F" w14:textId="77777777" w:rsidR="00E97E1A" w:rsidRDefault="00E97E1A" w:rsidP="00D253F7">
            <w:pPr>
              <w:pStyle w:val="Tabelltext"/>
              <w:keepNext/>
            </w:pPr>
            <w:r>
              <w:t>Skillnad (%-enheter)</w:t>
            </w:r>
          </w:p>
        </w:tc>
        <w:tc>
          <w:tcPr>
            <w:tcW w:w="673" w:type="dxa"/>
            <w:tcBorders>
              <w:top w:val="single" w:sz="4" w:space="0" w:color="auto"/>
              <w:left w:val="nil"/>
              <w:bottom w:val="nil"/>
              <w:right w:val="nil"/>
            </w:tcBorders>
            <w:shd w:val="clear" w:color="auto" w:fill="auto"/>
            <w:vAlign w:val="bottom"/>
          </w:tcPr>
          <w:p w14:paraId="7E2F660C" w14:textId="3344E40F"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Pr="00A56240">
              <w:rPr>
                <w:color w:val="000000"/>
                <w:szCs w:val="18"/>
              </w:rPr>
              <w:t>7</w:t>
            </w:r>
            <w:r w:rsidR="00F025A1" w:rsidRPr="00A56240">
              <w:rPr>
                <w:color w:val="000000"/>
                <w:szCs w:val="18"/>
              </w:rPr>
              <w:t>0</w:t>
            </w:r>
          </w:p>
        </w:tc>
        <w:tc>
          <w:tcPr>
            <w:tcW w:w="673" w:type="dxa"/>
            <w:tcBorders>
              <w:top w:val="single" w:sz="4" w:space="0" w:color="auto"/>
              <w:left w:val="nil"/>
              <w:bottom w:val="nil"/>
              <w:right w:val="nil"/>
            </w:tcBorders>
            <w:shd w:val="clear" w:color="auto" w:fill="auto"/>
            <w:vAlign w:val="bottom"/>
          </w:tcPr>
          <w:p w14:paraId="7B6AD83C" w14:textId="269AEF69" w:rsidR="00E97E1A" w:rsidRPr="00A56240" w:rsidRDefault="00D54BA2" w:rsidP="00D253F7">
            <w:pPr>
              <w:pStyle w:val="Tabelltext"/>
              <w:keepNext/>
              <w:jc w:val="right"/>
              <w:rPr>
                <w:szCs w:val="18"/>
              </w:rPr>
            </w:pPr>
            <w:r w:rsidRPr="00A56240">
              <w:rPr>
                <w:color w:val="000000"/>
                <w:szCs w:val="18"/>
              </w:rPr>
              <w:t>2,</w:t>
            </w:r>
            <w:r w:rsidR="00F025A1" w:rsidRPr="00A56240">
              <w:rPr>
                <w:color w:val="000000"/>
                <w:szCs w:val="18"/>
              </w:rPr>
              <w:t>35</w:t>
            </w:r>
          </w:p>
        </w:tc>
        <w:tc>
          <w:tcPr>
            <w:tcW w:w="674" w:type="dxa"/>
            <w:tcBorders>
              <w:top w:val="single" w:sz="4" w:space="0" w:color="auto"/>
              <w:left w:val="nil"/>
              <w:bottom w:val="nil"/>
              <w:right w:val="nil"/>
            </w:tcBorders>
            <w:shd w:val="clear" w:color="auto" w:fill="auto"/>
            <w:vAlign w:val="bottom"/>
          </w:tcPr>
          <w:p w14:paraId="4CF67BFE" w14:textId="33F9B22C"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Pr="00A56240">
              <w:rPr>
                <w:color w:val="000000"/>
                <w:szCs w:val="18"/>
              </w:rPr>
              <w:t>4</w:t>
            </w:r>
            <w:r w:rsidR="00F025A1" w:rsidRPr="00A56240">
              <w:rPr>
                <w:color w:val="000000"/>
                <w:szCs w:val="18"/>
              </w:rPr>
              <w:t>0</w:t>
            </w:r>
          </w:p>
        </w:tc>
        <w:tc>
          <w:tcPr>
            <w:tcW w:w="673" w:type="dxa"/>
            <w:tcBorders>
              <w:top w:val="single" w:sz="4" w:space="0" w:color="auto"/>
              <w:left w:val="nil"/>
              <w:bottom w:val="nil"/>
              <w:right w:val="nil"/>
            </w:tcBorders>
            <w:shd w:val="clear" w:color="auto" w:fill="auto"/>
            <w:vAlign w:val="bottom"/>
          </w:tcPr>
          <w:p w14:paraId="26FFA567" w14:textId="63DADF75"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00F025A1" w:rsidRPr="00A56240">
              <w:rPr>
                <w:color w:val="000000"/>
                <w:szCs w:val="18"/>
              </w:rPr>
              <w:t>63</w:t>
            </w:r>
          </w:p>
        </w:tc>
        <w:tc>
          <w:tcPr>
            <w:tcW w:w="673" w:type="dxa"/>
            <w:tcBorders>
              <w:top w:val="single" w:sz="4" w:space="0" w:color="auto"/>
              <w:left w:val="nil"/>
              <w:bottom w:val="nil"/>
              <w:right w:val="nil"/>
            </w:tcBorders>
            <w:shd w:val="clear" w:color="auto" w:fill="auto"/>
            <w:vAlign w:val="bottom"/>
          </w:tcPr>
          <w:p w14:paraId="38792A00" w14:textId="0C46D2B6"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00F025A1" w:rsidRPr="00A56240">
              <w:rPr>
                <w:color w:val="000000"/>
                <w:szCs w:val="18"/>
              </w:rPr>
              <w:t>63</w:t>
            </w:r>
          </w:p>
        </w:tc>
        <w:tc>
          <w:tcPr>
            <w:tcW w:w="674" w:type="dxa"/>
            <w:tcBorders>
              <w:top w:val="single" w:sz="4" w:space="0" w:color="auto"/>
              <w:left w:val="nil"/>
              <w:bottom w:val="nil"/>
              <w:right w:val="nil"/>
            </w:tcBorders>
            <w:shd w:val="clear" w:color="auto" w:fill="auto"/>
            <w:vAlign w:val="bottom"/>
          </w:tcPr>
          <w:p w14:paraId="1B4D03B7" w14:textId="0101FE61"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00F025A1" w:rsidRPr="00A56240">
              <w:rPr>
                <w:color w:val="000000"/>
                <w:szCs w:val="18"/>
              </w:rPr>
              <w:t>6</w:t>
            </w:r>
            <w:r w:rsidRPr="00A56240">
              <w:rPr>
                <w:color w:val="000000"/>
                <w:szCs w:val="18"/>
              </w:rPr>
              <w:t>7</w:t>
            </w:r>
          </w:p>
        </w:tc>
        <w:tc>
          <w:tcPr>
            <w:tcW w:w="673" w:type="dxa"/>
            <w:tcBorders>
              <w:top w:val="single" w:sz="4" w:space="0" w:color="auto"/>
              <w:left w:val="nil"/>
              <w:bottom w:val="nil"/>
              <w:right w:val="nil"/>
            </w:tcBorders>
            <w:shd w:val="clear" w:color="auto" w:fill="auto"/>
            <w:vAlign w:val="bottom"/>
          </w:tcPr>
          <w:p w14:paraId="7494426B" w14:textId="467EAF6A"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00F025A1" w:rsidRPr="00A56240">
              <w:rPr>
                <w:color w:val="000000"/>
                <w:szCs w:val="18"/>
              </w:rPr>
              <w:t>66</w:t>
            </w:r>
          </w:p>
        </w:tc>
        <w:tc>
          <w:tcPr>
            <w:tcW w:w="674" w:type="dxa"/>
            <w:tcBorders>
              <w:top w:val="single" w:sz="4" w:space="0" w:color="auto"/>
              <w:left w:val="nil"/>
              <w:bottom w:val="nil"/>
              <w:right w:val="single" w:sz="4" w:space="0" w:color="auto"/>
            </w:tcBorders>
            <w:shd w:val="clear" w:color="auto" w:fill="auto"/>
            <w:vAlign w:val="bottom"/>
          </w:tcPr>
          <w:p w14:paraId="76C4F2E3" w14:textId="77B41D55" w:rsidR="00E97E1A" w:rsidRPr="00A56240" w:rsidRDefault="00D54BA2" w:rsidP="00D253F7">
            <w:pPr>
              <w:pStyle w:val="Tabelltext"/>
              <w:keepNext/>
              <w:jc w:val="right"/>
              <w:rPr>
                <w:szCs w:val="18"/>
              </w:rPr>
            </w:pPr>
            <w:r w:rsidRPr="00A56240">
              <w:rPr>
                <w:color w:val="000000"/>
                <w:szCs w:val="18"/>
              </w:rPr>
              <w:t>2</w:t>
            </w:r>
            <w:r w:rsidR="00E97E1A" w:rsidRPr="00A56240">
              <w:rPr>
                <w:color w:val="000000"/>
                <w:szCs w:val="18"/>
              </w:rPr>
              <w:t>,</w:t>
            </w:r>
            <w:r w:rsidR="00F025A1" w:rsidRPr="00A56240">
              <w:rPr>
                <w:color w:val="000000"/>
                <w:szCs w:val="18"/>
              </w:rPr>
              <w:t>62</w:t>
            </w:r>
          </w:p>
        </w:tc>
      </w:tr>
    </w:tbl>
    <w:p w14:paraId="288F855B" w14:textId="77777777" w:rsidR="00E97E1A" w:rsidRDefault="00E97E1A" w:rsidP="00E97E1A">
      <w:pPr>
        <w:pStyle w:val="ANormal"/>
      </w:pPr>
    </w:p>
    <w:p w14:paraId="2F1DDFC1" w14:textId="020AEDDF" w:rsidR="00DB25A5" w:rsidRDefault="00E97E1A" w:rsidP="00E97E1A">
      <w:pPr>
        <w:pStyle w:val="ANormal"/>
      </w:pPr>
      <w:r>
        <w:tab/>
        <w:t xml:space="preserve">Landskapsregeringen har inte haft för avsikt att </w:t>
      </w:r>
      <w:r w:rsidR="00E3736C">
        <w:t>höja</w:t>
      </w:r>
      <w:r>
        <w:t xml:space="preserve"> skattesatsen för samfund utan anser att den totala skattesatsen för åländska företag </w:t>
      </w:r>
      <w:r w:rsidR="00E3736C">
        <w:t>ska vara oförändrad</w:t>
      </w:r>
      <w:r>
        <w:t>.</w:t>
      </w:r>
      <w:r w:rsidR="0062129D" w:rsidRPr="0062129D">
        <w:t xml:space="preserve"> </w:t>
      </w:r>
      <w:r w:rsidR="0062129D">
        <w:t>Landskapsregeringen anser inte heller att det finns någo</w:t>
      </w:r>
      <w:r w:rsidR="00E5175E">
        <w:t>t</w:t>
      </w:r>
      <w:r w:rsidR="0062129D">
        <w:t xml:space="preserve"> </w:t>
      </w:r>
      <w:r w:rsidR="00E5175E">
        <w:t xml:space="preserve">som skulle motivera </w:t>
      </w:r>
      <w:r w:rsidR="0062129D">
        <w:t xml:space="preserve">en </w:t>
      </w:r>
      <w:r w:rsidR="00E3736C">
        <w:t>högre</w:t>
      </w:r>
      <w:r w:rsidR="0062129D">
        <w:t xml:space="preserve"> skattesats totalt sett för åländska samfälligheter.</w:t>
      </w:r>
      <w:r w:rsidR="00E3736C">
        <w:t xml:space="preserve"> Med hänvisning till det föreslår landskapsregeringen att de kommunalskattesatser för samfund och samfällda förmåner som anges i 29</w:t>
      </w:r>
      <w:r w:rsidR="004E3B75">
        <w:t> §</w:t>
      </w:r>
      <w:r w:rsidR="00E3736C">
        <w:t xml:space="preserve"> och 29f</w:t>
      </w:r>
      <w:r w:rsidR="004E3B75">
        <w:t> §</w:t>
      </w:r>
      <w:r w:rsidR="00E3736C">
        <w:t xml:space="preserve"> i kommunalskattelagen ändras så att de totala skattesatserna förblir 20 procent för samfund och 26,5 </w:t>
      </w:r>
      <w:r w:rsidR="00E3736C" w:rsidRPr="006136BD">
        <w:t>procent</w:t>
      </w:r>
      <w:r w:rsidR="00E3736C">
        <w:t xml:space="preserve"> för samfällda förmåner.</w:t>
      </w:r>
      <w:r w:rsidR="002343BD">
        <w:t xml:space="preserve"> De föreslagna kommunalskattesatserna för skatteåren 2023–20</w:t>
      </w:r>
      <w:r w:rsidR="006A560E">
        <w:t>30</w:t>
      </w:r>
      <w:r w:rsidR="002343BD">
        <w:t xml:space="preserve"> framgår av nedanstående tabell</w:t>
      </w:r>
      <w:r w:rsidR="004C31F9">
        <w:t>:</w:t>
      </w:r>
    </w:p>
    <w:p w14:paraId="6A1785E6" w14:textId="77777777" w:rsidR="002343BD" w:rsidRDefault="002343BD" w:rsidP="002343BD">
      <w:pPr>
        <w:pStyle w:val="ANormal"/>
      </w:pPr>
    </w:p>
    <w:p w14:paraId="2378B2BB" w14:textId="25278BEF" w:rsidR="002343BD" w:rsidRDefault="002343BD" w:rsidP="002343BD">
      <w:pPr>
        <w:pStyle w:val="RubrikD"/>
      </w:pPr>
      <w:r>
        <w:t>Kommunalskattesatse</w:t>
      </w:r>
      <w:r w:rsidR="00513919">
        <w:t>r</w:t>
      </w:r>
      <w:r>
        <w:t xml:space="preserve"> för samfund </w:t>
      </w:r>
      <w:r w:rsidR="00513919">
        <w:t>och samfällda förmåner skatteåren 2023–20</w:t>
      </w:r>
      <w:r w:rsidR="006A560E">
        <w:t>30 (skattesatserna för 2030 är avsedda att vara permanenta)</w:t>
      </w:r>
      <w:r>
        <w:t>:</w:t>
      </w:r>
    </w:p>
    <w:p w14:paraId="686D722B" w14:textId="77777777" w:rsidR="002343BD" w:rsidRPr="007A6E9F" w:rsidRDefault="002343BD" w:rsidP="002343BD">
      <w:pPr>
        <w:pStyle w:val="Rubrikmellanrum"/>
      </w:pPr>
    </w:p>
    <w:tbl>
      <w:tblPr>
        <w:tblStyle w:val="Tabellrutnt"/>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204"/>
        <w:gridCol w:w="1205"/>
        <w:gridCol w:w="1205"/>
        <w:gridCol w:w="1205"/>
      </w:tblGrid>
      <w:tr w:rsidR="002343BD" w:rsidRPr="000854C3" w14:paraId="4D5CF15A" w14:textId="77777777" w:rsidTr="00A21507">
        <w:trPr>
          <w:trHeight w:val="304"/>
        </w:trPr>
        <w:tc>
          <w:tcPr>
            <w:tcW w:w="988" w:type="dxa"/>
            <w:tcBorders>
              <w:left w:val="single" w:sz="4" w:space="0" w:color="auto"/>
              <w:bottom w:val="single" w:sz="4" w:space="0" w:color="auto"/>
              <w:right w:val="single" w:sz="4" w:space="0" w:color="auto"/>
            </w:tcBorders>
            <w:vAlign w:val="bottom"/>
          </w:tcPr>
          <w:p w14:paraId="12B875DC" w14:textId="77777777" w:rsidR="002343BD" w:rsidRPr="00513919" w:rsidRDefault="002343BD" w:rsidP="00513919">
            <w:pPr>
              <w:pStyle w:val="Tabelltext"/>
              <w:keepNext/>
              <w:jc w:val="right"/>
              <w:rPr>
                <w:b/>
              </w:rPr>
            </w:pPr>
          </w:p>
          <w:p w14:paraId="6F300C61" w14:textId="77777777" w:rsidR="002343BD" w:rsidRPr="00513919" w:rsidRDefault="002343BD" w:rsidP="00513919">
            <w:pPr>
              <w:pStyle w:val="Tabelltext"/>
              <w:keepNext/>
              <w:jc w:val="right"/>
              <w:rPr>
                <w:b/>
              </w:rPr>
            </w:pPr>
          </w:p>
          <w:p w14:paraId="49C1CB57" w14:textId="498E3264" w:rsidR="002343BD" w:rsidRPr="00513919" w:rsidRDefault="002343BD" w:rsidP="00513919">
            <w:pPr>
              <w:pStyle w:val="Tabelltext"/>
              <w:keepNext/>
              <w:jc w:val="right"/>
              <w:rPr>
                <w:b/>
              </w:rPr>
            </w:pPr>
          </w:p>
        </w:tc>
        <w:tc>
          <w:tcPr>
            <w:tcW w:w="2409" w:type="dxa"/>
            <w:gridSpan w:val="2"/>
            <w:tcBorders>
              <w:left w:val="single" w:sz="4" w:space="0" w:color="auto"/>
              <w:bottom w:val="single" w:sz="4" w:space="0" w:color="auto"/>
              <w:right w:val="single" w:sz="4" w:space="0" w:color="auto"/>
            </w:tcBorders>
            <w:vAlign w:val="bottom"/>
          </w:tcPr>
          <w:p w14:paraId="29E00E15" w14:textId="77777777" w:rsidR="00513919" w:rsidRDefault="002343BD" w:rsidP="00875386">
            <w:pPr>
              <w:pStyle w:val="Tabelltext"/>
              <w:keepNext/>
              <w:jc w:val="center"/>
              <w:rPr>
                <w:b/>
              </w:rPr>
            </w:pPr>
            <w:r>
              <w:rPr>
                <w:b/>
              </w:rPr>
              <w:t xml:space="preserve">Samfund </w:t>
            </w:r>
          </w:p>
          <w:p w14:paraId="2AA29BC7" w14:textId="27BA1C65" w:rsidR="002343BD" w:rsidRPr="000854C3" w:rsidRDefault="002343BD" w:rsidP="00875386">
            <w:pPr>
              <w:pStyle w:val="Tabelltext"/>
              <w:keepNext/>
              <w:jc w:val="center"/>
              <w:rPr>
                <w:b/>
              </w:rPr>
            </w:pPr>
            <w:r>
              <w:rPr>
                <w:b/>
              </w:rPr>
              <w:t>(total skattesats 20 %)</w:t>
            </w:r>
          </w:p>
        </w:tc>
        <w:tc>
          <w:tcPr>
            <w:tcW w:w="2410" w:type="dxa"/>
            <w:gridSpan w:val="2"/>
            <w:tcBorders>
              <w:left w:val="single" w:sz="4" w:space="0" w:color="auto"/>
              <w:bottom w:val="single" w:sz="4" w:space="0" w:color="auto"/>
              <w:right w:val="single" w:sz="4" w:space="0" w:color="auto"/>
            </w:tcBorders>
            <w:vAlign w:val="bottom"/>
          </w:tcPr>
          <w:p w14:paraId="45F2987E" w14:textId="77777777" w:rsidR="002343BD" w:rsidRDefault="00513919" w:rsidP="00875386">
            <w:pPr>
              <w:pStyle w:val="Tabelltext"/>
              <w:keepNext/>
              <w:jc w:val="center"/>
              <w:rPr>
                <w:b/>
              </w:rPr>
            </w:pPr>
            <w:r>
              <w:rPr>
                <w:b/>
              </w:rPr>
              <w:t>Samfällda förmåner</w:t>
            </w:r>
          </w:p>
          <w:p w14:paraId="3B3EEC99" w14:textId="3A645A5C" w:rsidR="00513919" w:rsidRPr="000854C3" w:rsidRDefault="00513919" w:rsidP="00875386">
            <w:pPr>
              <w:pStyle w:val="Tabelltext"/>
              <w:keepNext/>
              <w:jc w:val="center"/>
              <w:rPr>
                <w:b/>
              </w:rPr>
            </w:pPr>
            <w:r>
              <w:rPr>
                <w:b/>
              </w:rPr>
              <w:t>(total skattesats 26,5 %)</w:t>
            </w:r>
          </w:p>
        </w:tc>
      </w:tr>
      <w:tr w:rsidR="007A2296" w14:paraId="0E10939D" w14:textId="77777777" w:rsidTr="00A21507">
        <w:trPr>
          <w:trHeight w:val="557"/>
        </w:trPr>
        <w:tc>
          <w:tcPr>
            <w:tcW w:w="988" w:type="dxa"/>
            <w:tcBorders>
              <w:top w:val="single" w:sz="4" w:space="0" w:color="auto"/>
              <w:left w:val="single" w:sz="4" w:space="0" w:color="auto"/>
              <w:right w:val="single" w:sz="4" w:space="0" w:color="auto"/>
            </w:tcBorders>
            <w:vAlign w:val="bottom"/>
          </w:tcPr>
          <w:p w14:paraId="3005D145" w14:textId="77777777" w:rsidR="007A2296" w:rsidRPr="00513919" w:rsidRDefault="007A2296" w:rsidP="00513919">
            <w:pPr>
              <w:pStyle w:val="Tabelltext"/>
              <w:keepNext/>
              <w:jc w:val="right"/>
              <w:rPr>
                <w:b/>
              </w:rPr>
            </w:pPr>
          </w:p>
        </w:tc>
        <w:tc>
          <w:tcPr>
            <w:tcW w:w="1204" w:type="dxa"/>
            <w:tcBorders>
              <w:top w:val="single" w:sz="4" w:space="0" w:color="auto"/>
              <w:left w:val="single" w:sz="4" w:space="0" w:color="auto"/>
              <w:right w:val="single" w:sz="4" w:space="0" w:color="auto"/>
            </w:tcBorders>
            <w:shd w:val="clear" w:color="auto" w:fill="auto"/>
            <w:vAlign w:val="bottom"/>
          </w:tcPr>
          <w:p w14:paraId="501E6084" w14:textId="6C82D4ED" w:rsidR="007A2296" w:rsidRPr="0015321A" w:rsidRDefault="007A2296" w:rsidP="007A2296">
            <w:pPr>
              <w:pStyle w:val="Tabelltext"/>
              <w:keepNext/>
              <w:jc w:val="center"/>
            </w:pPr>
            <w:r>
              <w:t>Enligt gällande lag</w:t>
            </w:r>
          </w:p>
        </w:tc>
        <w:tc>
          <w:tcPr>
            <w:tcW w:w="1205" w:type="dxa"/>
            <w:tcBorders>
              <w:top w:val="single" w:sz="4" w:space="0" w:color="auto"/>
              <w:left w:val="single" w:sz="4" w:space="0" w:color="auto"/>
              <w:right w:val="single" w:sz="4" w:space="0" w:color="auto"/>
            </w:tcBorders>
            <w:shd w:val="clear" w:color="auto" w:fill="auto"/>
            <w:vAlign w:val="bottom"/>
          </w:tcPr>
          <w:p w14:paraId="1B7CFC99" w14:textId="5E398E39" w:rsidR="007A2296" w:rsidRDefault="007A2296" w:rsidP="007A2296">
            <w:pPr>
              <w:pStyle w:val="Tabelltext"/>
              <w:keepNext/>
              <w:jc w:val="center"/>
            </w:pPr>
            <w:r>
              <w:t>Enligt</w:t>
            </w:r>
          </w:p>
          <w:p w14:paraId="6A3A02C7" w14:textId="69F71D05" w:rsidR="007A2296" w:rsidRPr="0015321A" w:rsidRDefault="007A2296" w:rsidP="007A2296">
            <w:pPr>
              <w:pStyle w:val="Tabelltext"/>
              <w:keepNext/>
              <w:jc w:val="center"/>
            </w:pPr>
            <w:r>
              <w:t>förslaget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14:paraId="74F25507" w14:textId="7C7F3922" w:rsidR="007A2296" w:rsidRPr="002E2242" w:rsidRDefault="007A2296" w:rsidP="007A2296">
            <w:pPr>
              <w:pStyle w:val="Tabelltext"/>
              <w:keepNext/>
              <w:jc w:val="center"/>
            </w:pPr>
            <w:r>
              <w:t>Enligt gällande lag</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14:paraId="216A7ABC" w14:textId="6111FBF8" w:rsidR="007A2296" w:rsidRDefault="007A2296" w:rsidP="007A2296">
            <w:pPr>
              <w:pStyle w:val="Tabelltext"/>
              <w:keepNext/>
              <w:jc w:val="center"/>
            </w:pPr>
            <w:r>
              <w:t>Enligt</w:t>
            </w:r>
          </w:p>
          <w:p w14:paraId="4E898DC5" w14:textId="24F335FA" w:rsidR="007A2296" w:rsidRPr="002E2242" w:rsidRDefault="007A2296" w:rsidP="007A2296">
            <w:pPr>
              <w:pStyle w:val="Tabelltext"/>
              <w:keepNext/>
              <w:jc w:val="center"/>
            </w:pPr>
            <w:r>
              <w:t>förslaget</w:t>
            </w:r>
          </w:p>
        </w:tc>
      </w:tr>
      <w:tr w:rsidR="00A21507" w14:paraId="0F1FE1ED" w14:textId="77777777" w:rsidTr="00A21507">
        <w:trPr>
          <w:trHeight w:val="399"/>
        </w:trPr>
        <w:tc>
          <w:tcPr>
            <w:tcW w:w="988" w:type="dxa"/>
            <w:tcBorders>
              <w:top w:val="single" w:sz="4" w:space="0" w:color="auto"/>
              <w:left w:val="single" w:sz="4" w:space="0" w:color="auto"/>
              <w:right w:val="single" w:sz="4" w:space="0" w:color="auto"/>
            </w:tcBorders>
            <w:vAlign w:val="bottom"/>
          </w:tcPr>
          <w:p w14:paraId="01A3ECD4" w14:textId="7591CE02" w:rsidR="00A21507" w:rsidRPr="00513919" w:rsidRDefault="00A21507" w:rsidP="00A21507">
            <w:pPr>
              <w:pStyle w:val="Tabelltext"/>
              <w:keepNext/>
              <w:jc w:val="right"/>
              <w:rPr>
                <w:b/>
              </w:rPr>
            </w:pPr>
            <w:r w:rsidRPr="00513919">
              <w:rPr>
                <w:b/>
              </w:rPr>
              <w:t>2023</w:t>
            </w:r>
          </w:p>
        </w:tc>
        <w:tc>
          <w:tcPr>
            <w:tcW w:w="1204" w:type="dxa"/>
            <w:tcBorders>
              <w:top w:val="single" w:sz="4" w:space="0" w:color="auto"/>
              <w:left w:val="single" w:sz="4" w:space="0" w:color="auto"/>
              <w:right w:val="single" w:sz="4" w:space="0" w:color="auto"/>
            </w:tcBorders>
            <w:shd w:val="clear" w:color="auto" w:fill="auto"/>
            <w:vAlign w:val="bottom"/>
          </w:tcPr>
          <w:p w14:paraId="58B02972" w14:textId="726073EF" w:rsidR="00A21507" w:rsidRPr="00A56240" w:rsidRDefault="00A21507" w:rsidP="00A21507">
            <w:pPr>
              <w:pStyle w:val="Tabelltext"/>
              <w:keepNext/>
              <w:jc w:val="right"/>
              <w:rPr>
                <w:szCs w:val="18"/>
              </w:rPr>
            </w:pPr>
            <w:r w:rsidRPr="00A56240">
              <w:rPr>
                <w:szCs w:val="18"/>
              </w:rPr>
              <w:t>6,818</w:t>
            </w:r>
          </w:p>
        </w:tc>
        <w:tc>
          <w:tcPr>
            <w:tcW w:w="1205" w:type="dxa"/>
            <w:tcBorders>
              <w:top w:val="single" w:sz="4" w:space="0" w:color="auto"/>
              <w:left w:val="single" w:sz="4" w:space="0" w:color="auto"/>
              <w:right w:val="single" w:sz="4" w:space="0" w:color="auto"/>
            </w:tcBorders>
            <w:shd w:val="clear" w:color="auto" w:fill="auto"/>
            <w:vAlign w:val="bottom"/>
          </w:tcPr>
          <w:p w14:paraId="08C14069" w14:textId="173A5D63" w:rsidR="00A21507" w:rsidRPr="00A56240" w:rsidRDefault="00A21507" w:rsidP="00A21507">
            <w:pPr>
              <w:pStyle w:val="Tabelltext"/>
              <w:keepNext/>
              <w:jc w:val="right"/>
              <w:rPr>
                <w:szCs w:val="18"/>
              </w:rPr>
            </w:pPr>
            <w:r w:rsidRPr="00A56240">
              <w:t>4,782</w:t>
            </w:r>
          </w:p>
        </w:tc>
        <w:tc>
          <w:tcPr>
            <w:tcW w:w="1205" w:type="dxa"/>
            <w:tcBorders>
              <w:top w:val="single" w:sz="4" w:space="0" w:color="auto"/>
              <w:left w:val="single" w:sz="4" w:space="0" w:color="auto"/>
              <w:right w:val="single" w:sz="4" w:space="0" w:color="auto"/>
            </w:tcBorders>
            <w:shd w:val="clear" w:color="auto" w:fill="auto"/>
            <w:vAlign w:val="bottom"/>
          </w:tcPr>
          <w:p w14:paraId="553A3A67" w14:textId="11664FEE" w:rsidR="00A21507" w:rsidRPr="00A56240" w:rsidRDefault="00A21507" w:rsidP="00A21507">
            <w:pPr>
              <w:pStyle w:val="Tabelltext"/>
              <w:keepNext/>
              <w:jc w:val="right"/>
              <w:rPr>
                <w:szCs w:val="18"/>
              </w:rPr>
            </w:pPr>
            <w:r w:rsidRPr="00A56240">
              <w:rPr>
                <w:szCs w:val="18"/>
              </w:rPr>
              <w:t>9,03385</w:t>
            </w:r>
          </w:p>
        </w:tc>
        <w:tc>
          <w:tcPr>
            <w:tcW w:w="1205" w:type="dxa"/>
            <w:tcBorders>
              <w:top w:val="single" w:sz="4" w:space="0" w:color="auto"/>
              <w:left w:val="single" w:sz="4" w:space="0" w:color="auto"/>
              <w:right w:val="single" w:sz="4" w:space="0" w:color="auto"/>
            </w:tcBorders>
            <w:shd w:val="clear" w:color="auto" w:fill="auto"/>
            <w:vAlign w:val="bottom"/>
          </w:tcPr>
          <w:p w14:paraId="78D0A2E1" w14:textId="500FBC76" w:rsidR="00A21507" w:rsidRPr="00A56240" w:rsidRDefault="00A21507" w:rsidP="00A21507">
            <w:pPr>
              <w:pStyle w:val="Tabelltext"/>
              <w:keepNext/>
              <w:jc w:val="right"/>
              <w:rPr>
                <w:szCs w:val="18"/>
              </w:rPr>
            </w:pPr>
            <w:r w:rsidRPr="00A56240">
              <w:t>6,33615</w:t>
            </w:r>
          </w:p>
        </w:tc>
      </w:tr>
      <w:tr w:rsidR="00A21507" w14:paraId="123EF055" w14:textId="77777777" w:rsidTr="007025AA">
        <w:trPr>
          <w:trHeight w:val="399"/>
        </w:trPr>
        <w:tc>
          <w:tcPr>
            <w:tcW w:w="988" w:type="dxa"/>
            <w:tcBorders>
              <w:left w:val="single" w:sz="4" w:space="0" w:color="auto"/>
              <w:right w:val="single" w:sz="4" w:space="0" w:color="auto"/>
            </w:tcBorders>
            <w:vAlign w:val="bottom"/>
          </w:tcPr>
          <w:p w14:paraId="2F2C8492" w14:textId="398261D8" w:rsidR="00A21507" w:rsidRPr="00513919" w:rsidRDefault="00A21507" w:rsidP="00A21507">
            <w:pPr>
              <w:pStyle w:val="Tabelltext"/>
              <w:keepNext/>
              <w:jc w:val="right"/>
              <w:rPr>
                <w:b/>
              </w:rPr>
            </w:pPr>
            <w:r w:rsidRPr="00513919">
              <w:rPr>
                <w:b/>
              </w:rPr>
              <w:t>2024</w:t>
            </w:r>
          </w:p>
        </w:tc>
        <w:tc>
          <w:tcPr>
            <w:tcW w:w="1204" w:type="dxa"/>
            <w:tcBorders>
              <w:top w:val="nil"/>
              <w:left w:val="single" w:sz="4" w:space="0" w:color="auto"/>
              <w:right w:val="single" w:sz="4" w:space="0" w:color="auto"/>
            </w:tcBorders>
            <w:shd w:val="clear" w:color="auto" w:fill="auto"/>
            <w:vAlign w:val="bottom"/>
          </w:tcPr>
          <w:p w14:paraId="31614915" w14:textId="24259041" w:rsidR="00A21507" w:rsidRPr="00A56240" w:rsidRDefault="00A21507" w:rsidP="00A21507">
            <w:pPr>
              <w:pStyle w:val="Tabelltext"/>
              <w:keepNext/>
              <w:jc w:val="right"/>
              <w:rPr>
                <w:color w:val="000000"/>
                <w:szCs w:val="18"/>
              </w:rPr>
            </w:pPr>
            <w:r w:rsidRPr="00A56240">
              <w:rPr>
                <w:color w:val="000000"/>
                <w:szCs w:val="18"/>
              </w:rPr>
              <w:t>6,514</w:t>
            </w:r>
          </w:p>
        </w:tc>
        <w:tc>
          <w:tcPr>
            <w:tcW w:w="1205" w:type="dxa"/>
            <w:tcBorders>
              <w:top w:val="nil"/>
              <w:left w:val="single" w:sz="4" w:space="0" w:color="auto"/>
              <w:right w:val="single" w:sz="4" w:space="0" w:color="auto"/>
            </w:tcBorders>
            <w:shd w:val="clear" w:color="auto" w:fill="auto"/>
            <w:vAlign w:val="bottom"/>
          </w:tcPr>
          <w:p w14:paraId="59E6AB48" w14:textId="0F1C12B2" w:rsidR="00A21507" w:rsidRPr="00A56240" w:rsidRDefault="00A21507" w:rsidP="00A21507">
            <w:pPr>
              <w:pStyle w:val="Tabelltext"/>
              <w:keepNext/>
              <w:jc w:val="right"/>
              <w:rPr>
                <w:color w:val="000000"/>
                <w:szCs w:val="18"/>
              </w:rPr>
            </w:pPr>
            <w:r w:rsidRPr="00A56240">
              <w:t>4,738</w:t>
            </w:r>
          </w:p>
        </w:tc>
        <w:tc>
          <w:tcPr>
            <w:tcW w:w="1205" w:type="dxa"/>
            <w:tcBorders>
              <w:top w:val="nil"/>
              <w:left w:val="single" w:sz="4" w:space="0" w:color="auto"/>
              <w:right w:val="single" w:sz="4" w:space="0" w:color="auto"/>
            </w:tcBorders>
            <w:shd w:val="clear" w:color="auto" w:fill="auto"/>
            <w:vAlign w:val="bottom"/>
          </w:tcPr>
          <w:p w14:paraId="7301EEB3" w14:textId="4A6A1EB1" w:rsidR="00A21507" w:rsidRPr="00A56240" w:rsidRDefault="00A21507" w:rsidP="00A21507">
            <w:pPr>
              <w:pStyle w:val="Tabelltext"/>
              <w:keepNext/>
              <w:jc w:val="right"/>
              <w:rPr>
                <w:color w:val="000000"/>
                <w:szCs w:val="18"/>
              </w:rPr>
            </w:pPr>
            <w:r w:rsidRPr="00A56240">
              <w:rPr>
                <w:color w:val="000000"/>
                <w:szCs w:val="18"/>
              </w:rPr>
              <w:t>8,63105</w:t>
            </w:r>
          </w:p>
        </w:tc>
        <w:tc>
          <w:tcPr>
            <w:tcW w:w="1205" w:type="dxa"/>
            <w:tcBorders>
              <w:top w:val="nil"/>
              <w:left w:val="single" w:sz="4" w:space="0" w:color="auto"/>
              <w:right w:val="single" w:sz="4" w:space="0" w:color="auto"/>
            </w:tcBorders>
            <w:shd w:val="clear" w:color="auto" w:fill="auto"/>
            <w:vAlign w:val="bottom"/>
          </w:tcPr>
          <w:p w14:paraId="0145C59F" w14:textId="06BDD1DD" w:rsidR="00A21507" w:rsidRPr="00A56240" w:rsidRDefault="00A21507" w:rsidP="00A21507">
            <w:pPr>
              <w:pStyle w:val="Tabelltext"/>
              <w:keepNext/>
              <w:jc w:val="right"/>
              <w:rPr>
                <w:color w:val="000000"/>
                <w:szCs w:val="18"/>
              </w:rPr>
            </w:pPr>
            <w:r w:rsidRPr="00A56240">
              <w:t>6,27785</w:t>
            </w:r>
          </w:p>
        </w:tc>
      </w:tr>
      <w:tr w:rsidR="00A21507" w14:paraId="75DDA5CD" w14:textId="77777777" w:rsidTr="00CB476C">
        <w:trPr>
          <w:trHeight w:val="399"/>
        </w:trPr>
        <w:tc>
          <w:tcPr>
            <w:tcW w:w="988" w:type="dxa"/>
            <w:tcBorders>
              <w:left w:val="single" w:sz="4" w:space="0" w:color="auto"/>
              <w:right w:val="single" w:sz="4" w:space="0" w:color="auto"/>
            </w:tcBorders>
            <w:vAlign w:val="bottom"/>
          </w:tcPr>
          <w:p w14:paraId="078B71D5" w14:textId="6CD7C7E9" w:rsidR="00A21507" w:rsidRPr="00513919" w:rsidRDefault="00A21507" w:rsidP="00A21507">
            <w:pPr>
              <w:pStyle w:val="Tabelltext"/>
              <w:keepNext/>
              <w:jc w:val="right"/>
              <w:rPr>
                <w:b/>
              </w:rPr>
            </w:pPr>
            <w:r w:rsidRPr="00513919">
              <w:rPr>
                <w:b/>
              </w:rPr>
              <w:t>2025</w:t>
            </w:r>
          </w:p>
        </w:tc>
        <w:tc>
          <w:tcPr>
            <w:tcW w:w="1204" w:type="dxa"/>
            <w:tcBorders>
              <w:top w:val="nil"/>
              <w:left w:val="single" w:sz="4" w:space="0" w:color="auto"/>
              <w:right w:val="single" w:sz="4" w:space="0" w:color="auto"/>
            </w:tcBorders>
            <w:shd w:val="clear" w:color="auto" w:fill="auto"/>
            <w:vAlign w:val="bottom"/>
          </w:tcPr>
          <w:p w14:paraId="2DF17755" w14:textId="0CC1FBF4" w:rsidR="00A21507" w:rsidRPr="00A56240" w:rsidRDefault="00A21507" w:rsidP="00A21507">
            <w:pPr>
              <w:pStyle w:val="Tabelltext"/>
              <w:keepNext/>
              <w:jc w:val="right"/>
              <w:rPr>
                <w:color w:val="000000"/>
                <w:szCs w:val="18"/>
              </w:rPr>
            </w:pPr>
            <w:r w:rsidRPr="00A56240">
              <w:rPr>
                <w:color w:val="000000"/>
                <w:szCs w:val="18"/>
              </w:rPr>
              <w:t>6,552</w:t>
            </w:r>
          </w:p>
        </w:tc>
        <w:tc>
          <w:tcPr>
            <w:tcW w:w="1205" w:type="dxa"/>
            <w:tcBorders>
              <w:top w:val="nil"/>
              <w:left w:val="single" w:sz="4" w:space="0" w:color="auto"/>
              <w:right w:val="single" w:sz="4" w:space="0" w:color="auto"/>
            </w:tcBorders>
            <w:shd w:val="clear" w:color="auto" w:fill="auto"/>
            <w:vAlign w:val="bottom"/>
          </w:tcPr>
          <w:p w14:paraId="0B9ABA65" w14:textId="58AF0967" w:rsidR="00A21507" w:rsidRPr="00A56240" w:rsidRDefault="00A21507" w:rsidP="00A21507">
            <w:pPr>
              <w:pStyle w:val="Tabelltext"/>
              <w:keepNext/>
              <w:jc w:val="right"/>
              <w:rPr>
                <w:color w:val="000000"/>
                <w:szCs w:val="18"/>
              </w:rPr>
            </w:pPr>
            <w:r w:rsidRPr="00A56240">
              <w:t>4,738</w:t>
            </w:r>
          </w:p>
        </w:tc>
        <w:tc>
          <w:tcPr>
            <w:tcW w:w="1205" w:type="dxa"/>
            <w:tcBorders>
              <w:top w:val="nil"/>
              <w:left w:val="single" w:sz="4" w:space="0" w:color="auto"/>
              <w:right w:val="single" w:sz="4" w:space="0" w:color="auto"/>
            </w:tcBorders>
            <w:shd w:val="clear" w:color="auto" w:fill="auto"/>
            <w:vAlign w:val="bottom"/>
          </w:tcPr>
          <w:p w14:paraId="2AB42C4A" w14:textId="1A201C97" w:rsidR="00A21507" w:rsidRPr="00A56240" w:rsidRDefault="00A21507" w:rsidP="00A21507">
            <w:pPr>
              <w:pStyle w:val="Tabelltext"/>
              <w:keepNext/>
              <w:jc w:val="right"/>
              <w:rPr>
                <w:color w:val="000000"/>
                <w:szCs w:val="18"/>
              </w:rPr>
            </w:pPr>
            <w:r w:rsidRPr="00A56240">
              <w:rPr>
                <w:color w:val="000000"/>
                <w:szCs w:val="18"/>
              </w:rPr>
              <w:t>8,6814</w:t>
            </w:r>
          </w:p>
        </w:tc>
        <w:tc>
          <w:tcPr>
            <w:tcW w:w="1205" w:type="dxa"/>
            <w:tcBorders>
              <w:top w:val="nil"/>
              <w:left w:val="single" w:sz="4" w:space="0" w:color="auto"/>
              <w:right w:val="single" w:sz="4" w:space="0" w:color="auto"/>
            </w:tcBorders>
            <w:shd w:val="clear" w:color="auto" w:fill="auto"/>
            <w:vAlign w:val="bottom"/>
          </w:tcPr>
          <w:p w14:paraId="49ED6924" w14:textId="3B28BA57" w:rsidR="00A21507" w:rsidRPr="00A56240" w:rsidRDefault="00A21507" w:rsidP="00A21507">
            <w:pPr>
              <w:pStyle w:val="Tabelltext"/>
              <w:keepNext/>
              <w:jc w:val="right"/>
              <w:rPr>
                <w:color w:val="000000"/>
                <w:szCs w:val="18"/>
              </w:rPr>
            </w:pPr>
            <w:r w:rsidRPr="00A56240">
              <w:t>6,27785</w:t>
            </w:r>
          </w:p>
        </w:tc>
      </w:tr>
      <w:tr w:rsidR="00A21507" w14:paraId="0B2BC11E" w14:textId="77777777" w:rsidTr="00393963">
        <w:trPr>
          <w:trHeight w:val="399"/>
        </w:trPr>
        <w:tc>
          <w:tcPr>
            <w:tcW w:w="988" w:type="dxa"/>
            <w:tcBorders>
              <w:left w:val="single" w:sz="4" w:space="0" w:color="auto"/>
              <w:right w:val="single" w:sz="4" w:space="0" w:color="auto"/>
            </w:tcBorders>
            <w:vAlign w:val="bottom"/>
          </w:tcPr>
          <w:p w14:paraId="7BF6B8DE" w14:textId="5FCE8B7E" w:rsidR="00A21507" w:rsidRPr="00513919" w:rsidRDefault="00A21507" w:rsidP="00A21507">
            <w:pPr>
              <w:pStyle w:val="Tabelltext"/>
              <w:keepNext/>
              <w:jc w:val="right"/>
              <w:rPr>
                <w:b/>
              </w:rPr>
            </w:pPr>
            <w:r w:rsidRPr="00513919">
              <w:rPr>
                <w:b/>
              </w:rPr>
              <w:t>2026</w:t>
            </w:r>
          </w:p>
        </w:tc>
        <w:tc>
          <w:tcPr>
            <w:tcW w:w="1204" w:type="dxa"/>
            <w:tcBorders>
              <w:top w:val="nil"/>
              <w:left w:val="single" w:sz="4" w:space="0" w:color="auto"/>
              <w:right w:val="single" w:sz="4" w:space="0" w:color="auto"/>
            </w:tcBorders>
            <w:shd w:val="clear" w:color="auto" w:fill="auto"/>
            <w:vAlign w:val="bottom"/>
          </w:tcPr>
          <w:p w14:paraId="50FE4B95" w14:textId="606E5039" w:rsidR="00A21507" w:rsidRPr="00A56240" w:rsidRDefault="00A21507" w:rsidP="00A21507">
            <w:pPr>
              <w:pStyle w:val="Tabelltext"/>
              <w:keepNext/>
              <w:jc w:val="right"/>
              <w:rPr>
                <w:color w:val="000000"/>
                <w:szCs w:val="18"/>
              </w:rPr>
            </w:pPr>
            <w:r w:rsidRPr="00A56240">
              <w:rPr>
                <w:color w:val="000000"/>
                <w:szCs w:val="18"/>
              </w:rPr>
              <w:t>6,752</w:t>
            </w:r>
          </w:p>
        </w:tc>
        <w:tc>
          <w:tcPr>
            <w:tcW w:w="1205" w:type="dxa"/>
            <w:tcBorders>
              <w:top w:val="nil"/>
              <w:left w:val="single" w:sz="4" w:space="0" w:color="auto"/>
              <w:right w:val="single" w:sz="4" w:space="0" w:color="auto"/>
            </w:tcBorders>
            <w:shd w:val="clear" w:color="auto" w:fill="auto"/>
            <w:vAlign w:val="bottom"/>
          </w:tcPr>
          <w:p w14:paraId="431F1655" w14:textId="57F7FAFF" w:rsidR="00A21507" w:rsidRPr="00A56240" w:rsidRDefault="00A21507" w:rsidP="00A21507">
            <w:pPr>
              <w:pStyle w:val="Tabelltext"/>
              <w:keepNext/>
              <w:jc w:val="right"/>
              <w:rPr>
                <w:color w:val="000000"/>
                <w:szCs w:val="18"/>
              </w:rPr>
            </w:pPr>
            <w:r w:rsidRPr="00A56240">
              <w:t>4,584</w:t>
            </w:r>
          </w:p>
        </w:tc>
        <w:tc>
          <w:tcPr>
            <w:tcW w:w="1205" w:type="dxa"/>
            <w:tcBorders>
              <w:top w:val="nil"/>
              <w:left w:val="single" w:sz="4" w:space="0" w:color="auto"/>
              <w:right w:val="single" w:sz="4" w:space="0" w:color="auto"/>
            </w:tcBorders>
            <w:shd w:val="clear" w:color="auto" w:fill="auto"/>
            <w:vAlign w:val="bottom"/>
          </w:tcPr>
          <w:p w14:paraId="1D3101FD" w14:textId="467A4140" w:rsidR="00A21507" w:rsidRPr="00A56240" w:rsidRDefault="00A21507" w:rsidP="00A21507">
            <w:pPr>
              <w:pStyle w:val="Tabelltext"/>
              <w:keepNext/>
              <w:jc w:val="right"/>
              <w:rPr>
                <w:color w:val="000000"/>
                <w:szCs w:val="18"/>
              </w:rPr>
            </w:pPr>
            <w:r w:rsidRPr="00A56240">
              <w:rPr>
                <w:color w:val="000000"/>
                <w:szCs w:val="18"/>
              </w:rPr>
              <w:t>8,7079</w:t>
            </w:r>
          </w:p>
        </w:tc>
        <w:tc>
          <w:tcPr>
            <w:tcW w:w="1205" w:type="dxa"/>
            <w:tcBorders>
              <w:top w:val="nil"/>
              <w:left w:val="single" w:sz="4" w:space="0" w:color="auto"/>
              <w:right w:val="single" w:sz="4" w:space="0" w:color="auto"/>
            </w:tcBorders>
            <w:shd w:val="clear" w:color="auto" w:fill="auto"/>
            <w:vAlign w:val="bottom"/>
          </w:tcPr>
          <w:p w14:paraId="1AA8941F" w14:textId="24817825" w:rsidR="00A21507" w:rsidRPr="00A56240" w:rsidRDefault="00A21507" w:rsidP="00A21507">
            <w:pPr>
              <w:pStyle w:val="Tabelltext"/>
              <w:keepNext/>
              <w:jc w:val="right"/>
              <w:rPr>
                <w:color w:val="000000"/>
                <w:szCs w:val="18"/>
              </w:rPr>
            </w:pPr>
            <w:r w:rsidRPr="00A56240">
              <w:t>6,0738</w:t>
            </w:r>
          </w:p>
        </w:tc>
      </w:tr>
      <w:tr w:rsidR="00A21507" w14:paraId="7DE4DDFB" w14:textId="77777777" w:rsidTr="00FE6592">
        <w:trPr>
          <w:trHeight w:val="399"/>
        </w:trPr>
        <w:tc>
          <w:tcPr>
            <w:tcW w:w="988" w:type="dxa"/>
            <w:tcBorders>
              <w:left w:val="single" w:sz="4" w:space="0" w:color="auto"/>
              <w:right w:val="single" w:sz="4" w:space="0" w:color="auto"/>
            </w:tcBorders>
            <w:vAlign w:val="bottom"/>
          </w:tcPr>
          <w:p w14:paraId="0C54D106" w14:textId="02DBA9FB" w:rsidR="00A21507" w:rsidRPr="00513919" w:rsidRDefault="00A21507" w:rsidP="00A21507">
            <w:pPr>
              <w:pStyle w:val="Tabelltext"/>
              <w:keepNext/>
              <w:jc w:val="right"/>
              <w:rPr>
                <w:b/>
              </w:rPr>
            </w:pPr>
            <w:r w:rsidRPr="00513919">
              <w:rPr>
                <w:b/>
              </w:rPr>
              <w:t>2027</w:t>
            </w:r>
          </w:p>
        </w:tc>
        <w:tc>
          <w:tcPr>
            <w:tcW w:w="1204" w:type="dxa"/>
            <w:tcBorders>
              <w:top w:val="nil"/>
              <w:left w:val="single" w:sz="4" w:space="0" w:color="auto"/>
              <w:right w:val="single" w:sz="4" w:space="0" w:color="auto"/>
            </w:tcBorders>
            <w:shd w:val="clear" w:color="auto" w:fill="auto"/>
            <w:vAlign w:val="bottom"/>
          </w:tcPr>
          <w:p w14:paraId="510E31C1" w14:textId="4B9C59B8" w:rsidR="00A21507" w:rsidRPr="00A56240" w:rsidRDefault="00A21507" w:rsidP="00A21507">
            <w:pPr>
              <w:pStyle w:val="Tabelltext"/>
              <w:keepNext/>
              <w:jc w:val="right"/>
              <w:rPr>
                <w:color w:val="000000"/>
                <w:szCs w:val="18"/>
              </w:rPr>
            </w:pPr>
            <w:r w:rsidRPr="00A56240">
              <w:rPr>
                <w:color w:val="000000"/>
                <w:szCs w:val="18"/>
              </w:rPr>
              <w:t>6,594</w:t>
            </w:r>
          </w:p>
        </w:tc>
        <w:tc>
          <w:tcPr>
            <w:tcW w:w="1205" w:type="dxa"/>
            <w:tcBorders>
              <w:top w:val="nil"/>
              <w:left w:val="single" w:sz="4" w:space="0" w:color="auto"/>
              <w:right w:val="single" w:sz="4" w:space="0" w:color="auto"/>
            </w:tcBorders>
            <w:shd w:val="clear" w:color="auto" w:fill="auto"/>
            <w:vAlign w:val="bottom"/>
          </w:tcPr>
          <w:p w14:paraId="2CE397BE" w14:textId="20B67D6E" w:rsidR="00A21507" w:rsidRPr="00A56240" w:rsidRDefault="00A21507" w:rsidP="00A21507">
            <w:pPr>
              <w:pStyle w:val="Tabelltext"/>
              <w:keepNext/>
              <w:jc w:val="right"/>
              <w:rPr>
                <w:color w:val="000000"/>
                <w:szCs w:val="18"/>
              </w:rPr>
            </w:pPr>
            <w:r w:rsidRPr="00A56240">
              <w:t>4,612</w:t>
            </w:r>
          </w:p>
        </w:tc>
        <w:tc>
          <w:tcPr>
            <w:tcW w:w="1205" w:type="dxa"/>
            <w:tcBorders>
              <w:top w:val="nil"/>
              <w:left w:val="single" w:sz="4" w:space="0" w:color="auto"/>
              <w:right w:val="single" w:sz="4" w:space="0" w:color="auto"/>
            </w:tcBorders>
            <w:shd w:val="clear" w:color="auto" w:fill="auto"/>
            <w:vAlign w:val="bottom"/>
          </w:tcPr>
          <w:p w14:paraId="6BF6EC95" w14:textId="698E3270" w:rsidR="00A21507" w:rsidRPr="00A56240" w:rsidRDefault="00A21507" w:rsidP="00A21507">
            <w:pPr>
              <w:pStyle w:val="Tabelltext"/>
              <w:keepNext/>
              <w:jc w:val="right"/>
              <w:rPr>
                <w:color w:val="000000"/>
                <w:szCs w:val="18"/>
              </w:rPr>
            </w:pPr>
            <w:r w:rsidRPr="00A56240">
              <w:rPr>
                <w:color w:val="000000"/>
                <w:szCs w:val="18"/>
              </w:rPr>
              <w:t>8,73705</w:t>
            </w:r>
          </w:p>
        </w:tc>
        <w:tc>
          <w:tcPr>
            <w:tcW w:w="1205" w:type="dxa"/>
            <w:tcBorders>
              <w:top w:val="nil"/>
              <w:left w:val="single" w:sz="4" w:space="0" w:color="auto"/>
              <w:right w:val="single" w:sz="4" w:space="0" w:color="auto"/>
            </w:tcBorders>
            <w:shd w:val="clear" w:color="auto" w:fill="auto"/>
            <w:vAlign w:val="bottom"/>
          </w:tcPr>
          <w:p w14:paraId="32410F38" w14:textId="15EAE36F" w:rsidR="00A21507" w:rsidRPr="00A56240" w:rsidRDefault="00A21507" w:rsidP="00A21507">
            <w:pPr>
              <w:pStyle w:val="Tabelltext"/>
              <w:keepNext/>
              <w:jc w:val="right"/>
              <w:rPr>
                <w:color w:val="000000"/>
                <w:szCs w:val="18"/>
              </w:rPr>
            </w:pPr>
            <w:r w:rsidRPr="00A56240">
              <w:t>6,1109</w:t>
            </w:r>
          </w:p>
        </w:tc>
      </w:tr>
      <w:tr w:rsidR="00A21507" w14:paraId="208BBD41" w14:textId="77777777" w:rsidTr="0066113B">
        <w:trPr>
          <w:trHeight w:val="399"/>
        </w:trPr>
        <w:tc>
          <w:tcPr>
            <w:tcW w:w="988" w:type="dxa"/>
            <w:tcBorders>
              <w:left w:val="single" w:sz="4" w:space="0" w:color="auto"/>
              <w:right w:val="single" w:sz="4" w:space="0" w:color="auto"/>
            </w:tcBorders>
            <w:vAlign w:val="bottom"/>
          </w:tcPr>
          <w:p w14:paraId="6E120C7D" w14:textId="421DC5D2" w:rsidR="00A21507" w:rsidRPr="00513919" w:rsidRDefault="00A21507" w:rsidP="00A21507">
            <w:pPr>
              <w:pStyle w:val="Tabelltext"/>
              <w:keepNext/>
              <w:jc w:val="right"/>
              <w:rPr>
                <w:b/>
              </w:rPr>
            </w:pPr>
            <w:r w:rsidRPr="00513919">
              <w:rPr>
                <w:b/>
              </w:rPr>
              <w:t>2028</w:t>
            </w:r>
          </w:p>
        </w:tc>
        <w:tc>
          <w:tcPr>
            <w:tcW w:w="1204" w:type="dxa"/>
            <w:tcBorders>
              <w:top w:val="nil"/>
              <w:left w:val="single" w:sz="4" w:space="0" w:color="auto"/>
              <w:right w:val="single" w:sz="4" w:space="0" w:color="auto"/>
            </w:tcBorders>
            <w:shd w:val="clear" w:color="auto" w:fill="auto"/>
            <w:vAlign w:val="bottom"/>
          </w:tcPr>
          <w:p w14:paraId="3C5382BE" w14:textId="685B3252" w:rsidR="00A21507" w:rsidRPr="00A56240" w:rsidRDefault="00A21507" w:rsidP="00A21507">
            <w:pPr>
              <w:pStyle w:val="Tabelltext"/>
              <w:keepNext/>
              <w:jc w:val="right"/>
              <w:rPr>
                <w:color w:val="000000"/>
                <w:szCs w:val="18"/>
              </w:rPr>
            </w:pPr>
            <w:r w:rsidRPr="00A56240">
              <w:rPr>
                <w:color w:val="000000"/>
                <w:szCs w:val="18"/>
              </w:rPr>
              <w:t>6,66</w:t>
            </w:r>
          </w:p>
        </w:tc>
        <w:tc>
          <w:tcPr>
            <w:tcW w:w="1205" w:type="dxa"/>
            <w:tcBorders>
              <w:top w:val="nil"/>
              <w:left w:val="single" w:sz="4" w:space="0" w:color="auto"/>
              <w:right w:val="single" w:sz="4" w:space="0" w:color="auto"/>
            </w:tcBorders>
            <w:shd w:val="clear" w:color="auto" w:fill="auto"/>
            <w:vAlign w:val="bottom"/>
          </w:tcPr>
          <w:p w14:paraId="457616B7" w14:textId="3EA95276" w:rsidR="00A21507" w:rsidRPr="00A56240" w:rsidRDefault="00A21507" w:rsidP="00A21507">
            <w:pPr>
              <w:pStyle w:val="Tabelltext"/>
              <w:keepNext/>
              <w:jc w:val="right"/>
              <w:rPr>
                <w:color w:val="000000"/>
                <w:szCs w:val="18"/>
              </w:rPr>
            </w:pPr>
            <w:r w:rsidRPr="00A56240">
              <w:t>4,646</w:t>
            </w:r>
          </w:p>
        </w:tc>
        <w:tc>
          <w:tcPr>
            <w:tcW w:w="1205" w:type="dxa"/>
            <w:tcBorders>
              <w:top w:val="nil"/>
              <w:left w:val="single" w:sz="4" w:space="0" w:color="auto"/>
              <w:right w:val="single" w:sz="4" w:space="0" w:color="auto"/>
            </w:tcBorders>
            <w:shd w:val="clear" w:color="auto" w:fill="auto"/>
            <w:vAlign w:val="bottom"/>
          </w:tcPr>
          <w:p w14:paraId="4DD0FECF" w14:textId="70FCD822" w:rsidR="00A21507" w:rsidRPr="00A56240" w:rsidRDefault="00A21507" w:rsidP="00A21507">
            <w:pPr>
              <w:pStyle w:val="Tabelltext"/>
              <w:keepNext/>
              <w:jc w:val="right"/>
              <w:rPr>
                <w:color w:val="000000"/>
                <w:szCs w:val="18"/>
              </w:rPr>
            </w:pPr>
            <w:r w:rsidRPr="00A56240">
              <w:rPr>
                <w:color w:val="000000"/>
                <w:szCs w:val="18"/>
              </w:rPr>
              <w:t>8,8245</w:t>
            </w:r>
          </w:p>
        </w:tc>
        <w:tc>
          <w:tcPr>
            <w:tcW w:w="1205" w:type="dxa"/>
            <w:tcBorders>
              <w:top w:val="nil"/>
              <w:left w:val="single" w:sz="4" w:space="0" w:color="auto"/>
              <w:right w:val="single" w:sz="4" w:space="0" w:color="auto"/>
            </w:tcBorders>
            <w:shd w:val="clear" w:color="auto" w:fill="auto"/>
            <w:vAlign w:val="bottom"/>
          </w:tcPr>
          <w:p w14:paraId="5E523555" w14:textId="6F23D171" w:rsidR="00A21507" w:rsidRPr="00A56240" w:rsidRDefault="00A21507" w:rsidP="00A21507">
            <w:pPr>
              <w:pStyle w:val="Tabelltext"/>
              <w:keepNext/>
              <w:jc w:val="right"/>
              <w:rPr>
                <w:color w:val="000000"/>
                <w:szCs w:val="18"/>
              </w:rPr>
            </w:pPr>
            <w:r w:rsidRPr="00A56240">
              <w:t>6,15595</w:t>
            </w:r>
          </w:p>
        </w:tc>
      </w:tr>
      <w:tr w:rsidR="00A21507" w14:paraId="79D9E20A" w14:textId="77777777" w:rsidTr="00C818FB">
        <w:trPr>
          <w:trHeight w:val="399"/>
        </w:trPr>
        <w:tc>
          <w:tcPr>
            <w:tcW w:w="988" w:type="dxa"/>
            <w:tcBorders>
              <w:left w:val="single" w:sz="4" w:space="0" w:color="auto"/>
              <w:right w:val="single" w:sz="4" w:space="0" w:color="auto"/>
            </w:tcBorders>
            <w:vAlign w:val="bottom"/>
          </w:tcPr>
          <w:p w14:paraId="391C1076" w14:textId="0FE2D711" w:rsidR="00A21507" w:rsidRPr="00513919" w:rsidRDefault="00A21507" w:rsidP="00A21507">
            <w:pPr>
              <w:pStyle w:val="Tabelltext"/>
              <w:keepNext/>
              <w:jc w:val="right"/>
              <w:rPr>
                <w:b/>
              </w:rPr>
            </w:pPr>
            <w:r w:rsidRPr="00513919">
              <w:rPr>
                <w:b/>
              </w:rPr>
              <w:t>2029</w:t>
            </w:r>
          </w:p>
        </w:tc>
        <w:tc>
          <w:tcPr>
            <w:tcW w:w="1204" w:type="dxa"/>
            <w:tcBorders>
              <w:top w:val="nil"/>
              <w:left w:val="single" w:sz="4" w:space="0" w:color="auto"/>
              <w:right w:val="single" w:sz="4" w:space="0" w:color="auto"/>
            </w:tcBorders>
            <w:shd w:val="clear" w:color="auto" w:fill="auto"/>
            <w:vAlign w:val="bottom"/>
          </w:tcPr>
          <w:p w14:paraId="59ABE9A9" w14:textId="16735F4E" w:rsidR="00A21507" w:rsidRPr="00A56240" w:rsidRDefault="00A21507" w:rsidP="00A21507">
            <w:pPr>
              <w:pStyle w:val="Tabelltext"/>
              <w:keepNext/>
              <w:jc w:val="right"/>
              <w:rPr>
                <w:color w:val="000000"/>
                <w:szCs w:val="18"/>
              </w:rPr>
            </w:pPr>
            <w:r w:rsidRPr="00A56240">
              <w:rPr>
                <w:color w:val="000000"/>
                <w:szCs w:val="18"/>
              </w:rPr>
              <w:t>6,66</w:t>
            </w:r>
          </w:p>
        </w:tc>
        <w:tc>
          <w:tcPr>
            <w:tcW w:w="1205" w:type="dxa"/>
            <w:tcBorders>
              <w:top w:val="nil"/>
              <w:left w:val="single" w:sz="4" w:space="0" w:color="auto"/>
              <w:right w:val="single" w:sz="4" w:space="0" w:color="auto"/>
            </w:tcBorders>
            <w:shd w:val="clear" w:color="auto" w:fill="auto"/>
            <w:vAlign w:val="bottom"/>
          </w:tcPr>
          <w:p w14:paraId="04B052CA" w14:textId="0067398E" w:rsidR="00A21507" w:rsidRPr="00A56240" w:rsidRDefault="00A21507" w:rsidP="00A21507">
            <w:pPr>
              <w:pStyle w:val="Tabelltext"/>
              <w:keepNext/>
              <w:jc w:val="right"/>
              <w:rPr>
                <w:color w:val="000000"/>
                <w:szCs w:val="18"/>
              </w:rPr>
            </w:pPr>
            <w:r w:rsidRPr="00A56240">
              <w:t>4,654</w:t>
            </w:r>
          </w:p>
        </w:tc>
        <w:tc>
          <w:tcPr>
            <w:tcW w:w="1205" w:type="dxa"/>
            <w:tcBorders>
              <w:top w:val="nil"/>
              <w:left w:val="single" w:sz="4" w:space="0" w:color="auto"/>
              <w:right w:val="single" w:sz="4" w:space="0" w:color="auto"/>
            </w:tcBorders>
            <w:shd w:val="clear" w:color="auto" w:fill="auto"/>
            <w:vAlign w:val="bottom"/>
          </w:tcPr>
          <w:p w14:paraId="62D02D7F" w14:textId="2EFC726F" w:rsidR="00A21507" w:rsidRPr="00A56240" w:rsidRDefault="00A21507" w:rsidP="00A21507">
            <w:pPr>
              <w:pStyle w:val="Tabelltext"/>
              <w:keepNext/>
              <w:jc w:val="right"/>
              <w:rPr>
                <w:color w:val="000000"/>
                <w:szCs w:val="18"/>
              </w:rPr>
            </w:pPr>
            <w:r w:rsidRPr="00A56240">
              <w:rPr>
                <w:color w:val="000000"/>
                <w:szCs w:val="18"/>
              </w:rPr>
              <w:t>8,8245</w:t>
            </w:r>
          </w:p>
        </w:tc>
        <w:tc>
          <w:tcPr>
            <w:tcW w:w="1205" w:type="dxa"/>
            <w:tcBorders>
              <w:top w:val="nil"/>
              <w:left w:val="single" w:sz="4" w:space="0" w:color="auto"/>
              <w:right w:val="single" w:sz="4" w:space="0" w:color="auto"/>
            </w:tcBorders>
            <w:shd w:val="clear" w:color="auto" w:fill="auto"/>
            <w:vAlign w:val="bottom"/>
          </w:tcPr>
          <w:p w14:paraId="7B64D3A4" w14:textId="4C26DE20" w:rsidR="00A21507" w:rsidRPr="00A56240" w:rsidRDefault="00A21507" w:rsidP="00A21507">
            <w:pPr>
              <w:pStyle w:val="Tabelltext"/>
              <w:keepNext/>
              <w:jc w:val="right"/>
              <w:rPr>
                <w:color w:val="000000"/>
                <w:szCs w:val="18"/>
              </w:rPr>
            </w:pPr>
            <w:r w:rsidRPr="00A56240">
              <w:t>6,16655</w:t>
            </w:r>
          </w:p>
        </w:tc>
      </w:tr>
      <w:tr w:rsidR="00A21507" w14:paraId="1FAC20A8" w14:textId="77777777" w:rsidTr="001970F0">
        <w:trPr>
          <w:trHeight w:val="399"/>
        </w:trPr>
        <w:tc>
          <w:tcPr>
            <w:tcW w:w="988" w:type="dxa"/>
            <w:tcBorders>
              <w:left w:val="single" w:sz="4" w:space="0" w:color="auto"/>
              <w:right w:val="single" w:sz="4" w:space="0" w:color="auto"/>
            </w:tcBorders>
            <w:vAlign w:val="bottom"/>
          </w:tcPr>
          <w:p w14:paraId="10026596" w14:textId="008C4A4B" w:rsidR="00A21507" w:rsidRPr="00513919" w:rsidRDefault="00A21507" w:rsidP="00A21507">
            <w:pPr>
              <w:pStyle w:val="Tabelltext"/>
              <w:keepNext/>
              <w:jc w:val="right"/>
              <w:rPr>
                <w:b/>
              </w:rPr>
            </w:pPr>
            <w:r w:rsidRPr="00513919">
              <w:rPr>
                <w:b/>
              </w:rPr>
              <w:t>20</w:t>
            </w:r>
            <w:r>
              <w:rPr>
                <w:b/>
              </w:rPr>
              <w:t>30</w:t>
            </w:r>
          </w:p>
        </w:tc>
        <w:tc>
          <w:tcPr>
            <w:tcW w:w="1204" w:type="dxa"/>
            <w:tcBorders>
              <w:top w:val="nil"/>
              <w:left w:val="single" w:sz="4" w:space="0" w:color="auto"/>
              <w:right w:val="single" w:sz="4" w:space="0" w:color="auto"/>
            </w:tcBorders>
            <w:shd w:val="clear" w:color="auto" w:fill="auto"/>
            <w:vAlign w:val="bottom"/>
          </w:tcPr>
          <w:p w14:paraId="562C4950" w14:textId="4168EFF3" w:rsidR="00A21507" w:rsidRPr="00A56240" w:rsidRDefault="00A21507" w:rsidP="00A21507">
            <w:pPr>
              <w:pStyle w:val="Tabelltext"/>
              <w:keepNext/>
              <w:jc w:val="right"/>
              <w:rPr>
                <w:color w:val="000000"/>
                <w:szCs w:val="18"/>
              </w:rPr>
            </w:pPr>
            <w:r w:rsidRPr="00A56240">
              <w:rPr>
                <w:color w:val="000000"/>
                <w:szCs w:val="18"/>
              </w:rPr>
              <w:t>6,66</w:t>
            </w:r>
          </w:p>
        </w:tc>
        <w:tc>
          <w:tcPr>
            <w:tcW w:w="1205" w:type="dxa"/>
            <w:tcBorders>
              <w:top w:val="nil"/>
              <w:left w:val="single" w:sz="4" w:space="0" w:color="auto"/>
              <w:right w:val="single" w:sz="4" w:space="0" w:color="auto"/>
            </w:tcBorders>
            <w:shd w:val="clear" w:color="auto" w:fill="auto"/>
            <w:vAlign w:val="bottom"/>
          </w:tcPr>
          <w:p w14:paraId="46FFDCDF" w14:textId="52B7C73E" w:rsidR="00A21507" w:rsidRPr="00A56240" w:rsidRDefault="00A21507" w:rsidP="00A21507">
            <w:pPr>
              <w:pStyle w:val="Tabelltext"/>
              <w:keepNext/>
              <w:jc w:val="right"/>
              <w:rPr>
                <w:color w:val="000000"/>
                <w:szCs w:val="18"/>
              </w:rPr>
            </w:pPr>
            <w:r w:rsidRPr="00A56240">
              <w:t>4,68</w:t>
            </w:r>
          </w:p>
        </w:tc>
        <w:tc>
          <w:tcPr>
            <w:tcW w:w="1205" w:type="dxa"/>
            <w:tcBorders>
              <w:top w:val="nil"/>
              <w:left w:val="single" w:sz="4" w:space="0" w:color="auto"/>
              <w:right w:val="single" w:sz="4" w:space="0" w:color="auto"/>
            </w:tcBorders>
            <w:shd w:val="clear" w:color="auto" w:fill="auto"/>
            <w:vAlign w:val="bottom"/>
          </w:tcPr>
          <w:p w14:paraId="13F388FF" w14:textId="25BEDD53" w:rsidR="00A21507" w:rsidRPr="00A56240" w:rsidRDefault="00A21507" w:rsidP="00A21507">
            <w:pPr>
              <w:pStyle w:val="Tabelltext"/>
              <w:keepNext/>
              <w:jc w:val="right"/>
              <w:rPr>
                <w:color w:val="000000"/>
                <w:szCs w:val="18"/>
              </w:rPr>
            </w:pPr>
            <w:r w:rsidRPr="00A56240">
              <w:rPr>
                <w:color w:val="000000"/>
                <w:szCs w:val="18"/>
              </w:rPr>
              <w:t>8,8245</w:t>
            </w:r>
          </w:p>
        </w:tc>
        <w:tc>
          <w:tcPr>
            <w:tcW w:w="1205" w:type="dxa"/>
            <w:tcBorders>
              <w:top w:val="nil"/>
              <w:left w:val="single" w:sz="4" w:space="0" w:color="auto"/>
              <w:right w:val="single" w:sz="4" w:space="0" w:color="auto"/>
            </w:tcBorders>
            <w:shd w:val="clear" w:color="auto" w:fill="auto"/>
            <w:vAlign w:val="bottom"/>
          </w:tcPr>
          <w:p w14:paraId="60C92563" w14:textId="0A24580E" w:rsidR="00A21507" w:rsidRPr="00A56240" w:rsidRDefault="00A21507" w:rsidP="00A21507">
            <w:pPr>
              <w:pStyle w:val="Tabelltext"/>
              <w:keepNext/>
              <w:jc w:val="right"/>
              <w:rPr>
                <w:color w:val="000000"/>
                <w:szCs w:val="18"/>
              </w:rPr>
            </w:pPr>
            <w:r w:rsidRPr="00A56240">
              <w:t>6,201</w:t>
            </w:r>
          </w:p>
        </w:tc>
      </w:tr>
    </w:tbl>
    <w:p w14:paraId="526014D1" w14:textId="698BC81A" w:rsidR="008912E9" w:rsidRDefault="008912E9" w:rsidP="00E97E1A">
      <w:pPr>
        <w:pStyle w:val="ANormal"/>
      </w:pPr>
    </w:p>
    <w:p w14:paraId="328876CC" w14:textId="77777777" w:rsidR="00DD3CD1" w:rsidRDefault="00DD3CD1" w:rsidP="00E97E1A">
      <w:pPr>
        <w:pStyle w:val="ANormal"/>
      </w:pPr>
    </w:p>
    <w:p w14:paraId="0FB1D08D" w14:textId="6D0F6EEA" w:rsidR="008912E9" w:rsidRDefault="008912E9" w:rsidP="008912E9">
      <w:pPr>
        <w:pStyle w:val="RubrikB"/>
      </w:pPr>
      <w:bookmarkStart w:id="14" w:name="_Toc129771248"/>
      <w:r>
        <w:t>3. Förslagets konsekvenser</w:t>
      </w:r>
      <w:bookmarkEnd w:id="14"/>
    </w:p>
    <w:p w14:paraId="041F0737" w14:textId="3564745D" w:rsidR="008912E9" w:rsidRDefault="008912E9" w:rsidP="008912E9">
      <w:pPr>
        <w:pStyle w:val="Rubrikmellanrum"/>
      </w:pPr>
    </w:p>
    <w:p w14:paraId="3D52BDF2" w14:textId="09FC3C14" w:rsidR="008765D7" w:rsidRDefault="008765D7" w:rsidP="008765D7">
      <w:pPr>
        <w:pStyle w:val="ANormal"/>
      </w:pPr>
      <w:r>
        <w:t>Landskapsregeringens lagförslag har ekonomiska konsekvenser för kommunerna och för de skattskyldiga.</w:t>
      </w:r>
    </w:p>
    <w:p w14:paraId="24D5F4C8" w14:textId="7FDC9EFD" w:rsidR="00D33DBE" w:rsidRDefault="00D33DBE" w:rsidP="00D33DBE">
      <w:pPr>
        <w:pStyle w:val="ANormal"/>
      </w:pPr>
      <w:r>
        <w:tab/>
      </w:r>
      <w:r w:rsidR="001213C8">
        <w:t>D</w:t>
      </w:r>
      <w:r w:rsidR="00B02B07">
        <w:t>e</w:t>
      </w:r>
      <w:r w:rsidR="006704ED">
        <w:t>n</w:t>
      </w:r>
      <w:r w:rsidR="00B02B07">
        <w:t xml:space="preserve"> nya </w:t>
      </w:r>
      <w:r w:rsidR="006704ED">
        <w:t xml:space="preserve">rätten till </w:t>
      </w:r>
      <w:r w:rsidR="00B02B07">
        <w:t>tilläggsavdrag för</w:t>
      </w:r>
      <w:r>
        <w:t xml:space="preserve"> forsknings- och utvecklingsverksamhet minskar lönekostnaderna för forskningsarbetet och kostnaderna för köpta tjänster inom forsknings- och utvecklingsverksamhet och sporrar därigenom de skattskyldiga att öka eller utvidga forsknings- och utvecklingsverksamheten. Denna kombinerade form av skatteincitament bestående av dels ett grundläggande tilläggsavdrag som beräknas på basis av beloppet av utgifterna för forsknings- och utvecklingsverksamhet, dels ett extra tilläggsavdrag som beräknas på basis av en ökning av utgifterna, bedöms </w:t>
      </w:r>
      <w:r w:rsidR="001213C8">
        <w:t>stimulera</w:t>
      </w:r>
      <w:r>
        <w:t xml:space="preserve"> forsknings- och utvecklingsverksamheten mer än ett avdrag som endast </w:t>
      </w:r>
      <w:r w:rsidR="001213C8">
        <w:t>är</w:t>
      </w:r>
      <w:r>
        <w:t xml:space="preserve"> beloppsbaserat.</w:t>
      </w:r>
      <w:r w:rsidR="001213C8">
        <w:t xml:space="preserve"> Genom förslaget </w:t>
      </w:r>
      <w:r w:rsidR="006704ED">
        <w:t>får åländska näringsidkare och jordbrukare rätt att göra</w:t>
      </w:r>
      <w:r w:rsidR="001213C8">
        <w:t xml:space="preserve"> </w:t>
      </w:r>
      <w:r w:rsidR="006704ED">
        <w:t>tilläggs</w:t>
      </w:r>
      <w:r w:rsidR="001213C8">
        <w:t xml:space="preserve">avdrag </w:t>
      </w:r>
      <w:r w:rsidR="006704ED">
        <w:t xml:space="preserve">vid kommunalbeskattningen </w:t>
      </w:r>
      <w:r w:rsidR="001213C8">
        <w:t xml:space="preserve">på samma villkor som </w:t>
      </w:r>
      <w:r w:rsidR="006704ED">
        <w:t xml:space="preserve">gäller </w:t>
      </w:r>
      <w:r w:rsidR="001213C8">
        <w:t>i riket.</w:t>
      </w:r>
    </w:p>
    <w:p w14:paraId="4142821E" w14:textId="6973C385" w:rsidR="00D33DBE" w:rsidRDefault="00D33DBE" w:rsidP="00D33DBE">
      <w:pPr>
        <w:pStyle w:val="ANormal"/>
      </w:pPr>
      <w:r>
        <w:lastRenderedPageBreak/>
        <w:tab/>
      </w:r>
      <w:r w:rsidR="001213C8">
        <w:t>Genom att det nya</w:t>
      </w:r>
      <w:r>
        <w:t xml:space="preserve"> kombinerade </w:t>
      </w:r>
      <w:r w:rsidR="001213C8">
        <w:t>tilläggs</w:t>
      </w:r>
      <w:r>
        <w:t xml:space="preserve">avdraget är ett helt nytt skatteincitament </w:t>
      </w:r>
      <w:r w:rsidR="001213C8">
        <w:t>är det svårt att bedöma</w:t>
      </w:r>
      <w:r>
        <w:t xml:space="preserve"> dess konsekvenser.</w:t>
      </w:r>
      <w:r w:rsidR="001213C8">
        <w:t xml:space="preserve"> </w:t>
      </w:r>
      <w:r w:rsidR="006704ED">
        <w:t>I</w:t>
      </w:r>
      <w:r w:rsidR="001213C8">
        <w:t xml:space="preserve"> den lagmotion som ligger till grund för lagen </w:t>
      </w:r>
      <w:r w:rsidR="006704ED">
        <w:t>uppskattas</w:t>
      </w:r>
      <w:r w:rsidR="001213C8">
        <w:t xml:space="preserve"> att </w:t>
      </w:r>
      <w:r w:rsidR="008C4CC1">
        <w:t>kommunernas skatteintäkter skulle sjunka med cirka en miljon euro på årsnivå under skatteåren 2023 och 2024. Den bedömningen avser hela Finland. Effekten är dock helt och hållet beroende av i vilken mån det förekommer forsknings- och utvecklingsverksamhet och framför allt i vilken utsträckning den kommer att öka.</w:t>
      </w:r>
    </w:p>
    <w:p w14:paraId="3D17419A" w14:textId="035084A2" w:rsidR="008C4CC1" w:rsidRDefault="008765D7" w:rsidP="008765D7">
      <w:pPr>
        <w:pStyle w:val="ANormal"/>
      </w:pPr>
      <w:r>
        <w:tab/>
        <w:t xml:space="preserve">Förslaget om att förlänga giltighetstiden för blankettlagen om skattelättnader vid kommunalbeskattningen </w:t>
      </w:r>
      <w:r w:rsidR="00E411FC">
        <w:t>innebär att avdragsmöjligheterna för företag och andra skattskyldiga som bedriver näringsverksamhet eller jordbruk ökar under</w:t>
      </w:r>
      <w:r w:rsidR="00E411FC" w:rsidRPr="00E411FC">
        <w:t xml:space="preserve"> </w:t>
      </w:r>
      <w:r w:rsidR="00E411FC">
        <w:t xml:space="preserve">skatteåren 2024 och 2025. Samtidigt innebär ändringen att kommunernas </w:t>
      </w:r>
      <w:r w:rsidR="006704ED">
        <w:t>skatte</w:t>
      </w:r>
      <w:r w:rsidR="00E411FC">
        <w:t xml:space="preserve">intäkter </w:t>
      </w:r>
      <w:r w:rsidR="006704ED">
        <w:t>u</w:t>
      </w:r>
      <w:r w:rsidR="00FD2B96">
        <w:t xml:space="preserve">nder dessa år </w:t>
      </w:r>
      <w:r w:rsidR="00E411FC">
        <w:t xml:space="preserve">påverkas. </w:t>
      </w:r>
      <w:r>
        <w:t xml:space="preserve">Enligt de beräkningar som redogörs för i propositionen till riksdagen leder förslaget till minskade skatteintäkter under </w:t>
      </w:r>
      <w:r w:rsidR="00E411FC">
        <w:t>dessa år</w:t>
      </w:r>
      <w:r>
        <w:t>. Men eftersom ändringen gäller periodiseringen av beskattningsbar inkomst omvandlas det bortfall av skatteintäkter som realiserats under dessa år till en ökning av skatteintäkterna från och med 202</w:t>
      </w:r>
      <w:r w:rsidR="00710D8C">
        <w:t>6</w:t>
      </w:r>
      <w:r>
        <w:t>.</w:t>
      </w:r>
    </w:p>
    <w:p w14:paraId="3E3064A7" w14:textId="42FCF811" w:rsidR="008765D7" w:rsidRDefault="008C4CC1" w:rsidP="008765D7">
      <w:pPr>
        <w:pStyle w:val="ANormal"/>
      </w:pPr>
      <w:r>
        <w:tab/>
      </w:r>
      <w:r w:rsidR="008765D7">
        <w:t xml:space="preserve">De beräknade effekterna </w:t>
      </w:r>
      <w:r>
        <w:t xml:space="preserve">av de ovannämnda skatteåtgärderna </w:t>
      </w:r>
      <w:r w:rsidR="008765D7">
        <w:t xml:space="preserve">har legat till grund för den ändrade fördelningen av samfundsskatten. </w:t>
      </w:r>
      <w:r w:rsidR="00FD2B96">
        <w:t>I de</w:t>
      </w:r>
      <w:r w:rsidR="008765D7">
        <w:t xml:space="preserve"> ändringar av skattesatserna för samfund och samfällda förmåner som ingår i det här lagförslaget </w:t>
      </w:r>
      <w:r w:rsidR="00FD2B96">
        <w:t>har således dessa effekter beaktats</w:t>
      </w:r>
      <w:r w:rsidR="008765D7">
        <w:t>.</w:t>
      </w:r>
    </w:p>
    <w:p w14:paraId="4EAC0127" w14:textId="358356E5" w:rsidR="00E411FC" w:rsidRDefault="000A5553" w:rsidP="008765D7">
      <w:pPr>
        <w:pStyle w:val="ANormal"/>
      </w:pPr>
      <w:r>
        <w:tab/>
        <w:t>De föreslagna ändringarna av kommunalskattelagen inneb</w:t>
      </w:r>
      <w:r w:rsidR="008C2276">
        <w:t>ä</w:t>
      </w:r>
      <w:r>
        <w:t xml:space="preserve">r att kommunalskattesatserna för samfund och samfällda förmåner sänks, vilket kan ses som positivt för företag och samfälligheter. I praktiken innebär förslaget </w:t>
      </w:r>
      <w:r w:rsidR="008C2276">
        <w:t xml:space="preserve">dock </w:t>
      </w:r>
      <w:r>
        <w:t xml:space="preserve">att de totala skattesatserna förblir oförändrade. </w:t>
      </w:r>
      <w:r w:rsidR="007E7D01">
        <w:t xml:space="preserve">För kommunerna </w:t>
      </w:r>
      <w:r w:rsidR="008C2276">
        <w:t>ser</w:t>
      </w:r>
      <w:r w:rsidR="007E7D01">
        <w:t xml:space="preserve"> förslaget </w:t>
      </w:r>
      <w:r w:rsidR="008C2276">
        <w:t>till den här delen ut att medföra</w:t>
      </w:r>
      <w:r w:rsidR="007E7D01">
        <w:t xml:space="preserve"> en avsevärd minskning av intäkterna från samfundsskatten. </w:t>
      </w:r>
      <w:r w:rsidR="003E52A4">
        <w:t xml:space="preserve">Det beror emellertid bara på att </w:t>
      </w:r>
      <w:r w:rsidR="0082531A">
        <w:t xml:space="preserve">ändringen av fördelningen av samfundsskatten mellan staten och kommunerna i riket till följd av den ändrade finansieringen av hälso- och sjukvården också </w:t>
      </w:r>
      <w:r w:rsidR="008612AF">
        <w:t>påverkar nivån på skattesatserna. Kommunerna kompenseras för den sänkningen</w:t>
      </w:r>
      <w:r w:rsidR="00DD7587">
        <w:t xml:space="preserve"> genom annan lagstiftning (se LF 5/2022–2023</w:t>
      </w:r>
      <w:r w:rsidR="008C4CC1">
        <w:t xml:space="preserve"> och LTB 65/2022</w:t>
      </w:r>
      <w:r w:rsidR="00DD7587">
        <w:t xml:space="preserve">). </w:t>
      </w:r>
      <w:r w:rsidR="002D68F9">
        <w:t>Om man även beaktar denna kompensation innebär förslaget de facto en ökning av kommunernas intäkter från samfundsskatten. Orsaken till det är att den kommunala andelen av samfundsskatten höjs för att kompensera kommunerna i riket för sänkningen av avgifterna för småbarnspedagogik samt höjningen av vårdtillägget till stödet för privat vård av barn. De nämnda åtgärderna medför dock varken sänkta intäkter eller höjda kostnader för de åländska kommunerna.</w:t>
      </w:r>
    </w:p>
    <w:p w14:paraId="218E3E9F" w14:textId="23DCB3FA" w:rsidR="00F21C58" w:rsidRDefault="00F21C58" w:rsidP="00F21C58">
      <w:pPr>
        <w:pStyle w:val="ANormal"/>
      </w:pPr>
      <w:r>
        <w:tab/>
        <w:t>Förslaget har för övrigt inga organisatoriska effekter och bedöms inte heller ha några direkta konsekvenser för miljön, för jämställdheten mellan kvinnor och män</w:t>
      </w:r>
      <w:r w:rsidRPr="00FA2EE9">
        <w:t xml:space="preserve"> </w:t>
      </w:r>
      <w:r>
        <w:t>eller för barn.</w:t>
      </w:r>
    </w:p>
    <w:p w14:paraId="64F14E5E" w14:textId="1858501B" w:rsidR="00986089" w:rsidRDefault="00986089" w:rsidP="00F21C58">
      <w:pPr>
        <w:pStyle w:val="ANormal"/>
      </w:pPr>
    </w:p>
    <w:p w14:paraId="0F05DB20" w14:textId="5AD2C0EC" w:rsidR="00986089" w:rsidRDefault="00986089" w:rsidP="00986089">
      <w:pPr>
        <w:pStyle w:val="RubrikB"/>
      </w:pPr>
      <w:bookmarkStart w:id="15" w:name="_Toc129771249"/>
      <w:r>
        <w:t>4. Beredning och ikraftträdande</w:t>
      </w:r>
      <w:bookmarkEnd w:id="15"/>
    </w:p>
    <w:p w14:paraId="623FF3E6" w14:textId="4A7CBA69" w:rsidR="00986089" w:rsidRDefault="00986089" w:rsidP="00986089">
      <w:pPr>
        <w:pStyle w:val="Rubrikmellanrum"/>
      </w:pPr>
    </w:p>
    <w:p w14:paraId="2E0831A7" w14:textId="4E2C7F52" w:rsidR="00986089" w:rsidRDefault="00986089" w:rsidP="00986089">
      <w:pPr>
        <w:pStyle w:val="ANormal"/>
      </w:pPr>
      <w:r>
        <w:t>Förslaget har beretts vid lagberedningen. Med hänvisning till ärendets brådskande art har förslaget inte skickats på någon remiss.</w:t>
      </w:r>
    </w:p>
    <w:p w14:paraId="241F2A34" w14:textId="3F89AB30" w:rsidR="00692C72" w:rsidRDefault="00986089" w:rsidP="00F21C58">
      <w:pPr>
        <w:pStyle w:val="ANormal"/>
      </w:pPr>
      <w:r>
        <w:tab/>
        <w:t xml:space="preserve">Förslagen om ändringarna av kommunalskattesatsen för samfund och den förlängda tillämpningstiden för landskapslagen om skattelättnader vid kommunalbeskattningen för skatteåren 2020–2023 har tidigare berörts vid samråd mellan landskapsregeringen, Ålands kommunförbund och Mariehamns stad i samband med budgetberedningen under hösten 2022. </w:t>
      </w:r>
      <w:r w:rsidR="004247EE">
        <w:t xml:space="preserve">Förslaget om tilläggsavdrag baserade på utgifter för forsknings- och utvecklingsverksamhet var i det skedet inte aktuellt eftersom motsvarande rikslag inte ingick i den proposition som då behandlades i riksdagen. Rikets lag om </w:t>
      </w:r>
      <w:r>
        <w:t>tilläggsavdrag</w:t>
      </w:r>
      <w:r w:rsidR="004247EE">
        <w:t xml:space="preserve"> baserade på utgifter</w:t>
      </w:r>
      <w:r>
        <w:t xml:space="preserve"> för forsknings- och utvecklingsverksamhet</w:t>
      </w:r>
      <w:r w:rsidR="004247EE">
        <w:t xml:space="preserve"> i beskattningen aktualiserades som tidigare nämnts genom en lagmotion som lämnades till riksdagen i slutet av november. Riksdagen fattade beslut om lagen så sent som 15 december och det var först i det skedet som landskapsregeringen</w:t>
      </w:r>
      <w:r w:rsidR="00401140">
        <w:t xml:space="preserve"> </w:t>
      </w:r>
      <w:r w:rsidR="00401140">
        <w:lastRenderedPageBreak/>
        <w:t xml:space="preserve">fick kännedom om den. </w:t>
      </w:r>
      <w:r w:rsidR="00A22EAA">
        <w:t>Med anledning av det fick en del av beredningen göras om vilket har fördröjt lagförslaget.</w:t>
      </w:r>
    </w:p>
    <w:p w14:paraId="1F792389" w14:textId="26391BCD" w:rsidR="00A22EAA" w:rsidRDefault="00A22EAA" w:rsidP="00F21C58">
      <w:pPr>
        <w:pStyle w:val="ANormal"/>
      </w:pPr>
      <w:r>
        <w:tab/>
        <w:t>När det gäller den föreslagna rätten att vid kommunalbeskattningen göra ett allmänt tilläggsavdrag baserat på utgifter för forsknings- och utvecklingsverksamhet är den avsedd att tillämpas från och med skatteåret 2023. Detta gäller även förslaget om ändring av kommunalskattesatserna för samfund och samfällda förmåner under skatteåret 2023. Till den delen kommer de föreslagna bestämmelserna att tillämpas retroaktivt. Eftersom ändringarna i det här fallet är till de skattskyldigas fördel är retroaktiviteten inte så problematisk, även om skattelagstiftning i regel inte bör vara retroaktiv. Det är dock viktigt att de föreslagna ändringarna kan träda i kraft så snart som möjligt.</w:t>
      </w:r>
    </w:p>
    <w:p w14:paraId="60DCFBA2" w14:textId="77777777" w:rsidR="00986089" w:rsidRDefault="00986089" w:rsidP="00F21C58">
      <w:pPr>
        <w:pStyle w:val="ANormal"/>
      </w:pPr>
    </w:p>
    <w:p w14:paraId="1B1E9C89" w14:textId="77777777" w:rsidR="00AF3004" w:rsidRDefault="00AF3004">
      <w:pPr>
        <w:pStyle w:val="RubrikA"/>
      </w:pPr>
      <w:bookmarkStart w:id="16" w:name="_Toc129771250"/>
      <w:r>
        <w:t>Detaljmotivering</w:t>
      </w:r>
      <w:bookmarkEnd w:id="16"/>
    </w:p>
    <w:p w14:paraId="0067F51C" w14:textId="77777777" w:rsidR="00AF3004" w:rsidRDefault="00AF3004">
      <w:pPr>
        <w:pStyle w:val="Rubrikmellanrum"/>
      </w:pPr>
    </w:p>
    <w:p w14:paraId="2F32F5A2" w14:textId="43F51190" w:rsidR="00AF3004" w:rsidRDefault="00AF3004">
      <w:pPr>
        <w:pStyle w:val="RubrikB"/>
      </w:pPr>
      <w:bookmarkStart w:id="17" w:name="_Toc129771251"/>
      <w:r>
        <w:t xml:space="preserve">1. </w:t>
      </w:r>
      <w:r w:rsidR="00F32A76">
        <w:t>L</w:t>
      </w:r>
      <w:r w:rsidR="00692C72">
        <w:t xml:space="preserve">andskapslag om </w:t>
      </w:r>
      <w:r w:rsidR="00F32A76">
        <w:t>tilläggsavdrag baserade på utgifter för forsknings- och utvecklingsverksamhet</w:t>
      </w:r>
      <w:bookmarkEnd w:id="17"/>
    </w:p>
    <w:p w14:paraId="5106261D" w14:textId="1176A992" w:rsidR="00AF3004" w:rsidRDefault="00AF3004">
      <w:pPr>
        <w:pStyle w:val="Rubrikmellanrum"/>
      </w:pPr>
    </w:p>
    <w:p w14:paraId="76A61027" w14:textId="54514C05" w:rsidR="00365BCC" w:rsidRDefault="00692C72" w:rsidP="00F32A76">
      <w:pPr>
        <w:pStyle w:val="ANormal"/>
      </w:pPr>
      <w:r>
        <w:t>1</w:t>
      </w:r>
      <w:r w:rsidR="004E3B75">
        <w:t> §</w:t>
      </w:r>
      <w:r w:rsidR="00AF3004">
        <w:rPr>
          <w:i/>
          <w:iCs/>
        </w:rPr>
        <w:t>.</w:t>
      </w:r>
      <w:r w:rsidR="00AF3004">
        <w:t xml:space="preserve"> </w:t>
      </w:r>
      <w:r w:rsidR="00F67075">
        <w:t>I paragrafen anges att näringsidkare och jordbrukare ska ha rätt att göra tilläggsavdrag baserade på utgifter för forsknings- och utvecklingsverksamhet vid kommunalbeskattningen i enlighet med lagen om tilläggsavdrag baserade på utgifter för forsknings- och utvecklingsverksamhet i beskattningen (FFS 1298/2022</w:t>
      </w:r>
      <w:r w:rsidR="0007412F">
        <w:t>, nedan kallad rikslagen</w:t>
      </w:r>
      <w:r w:rsidR="00F67075">
        <w:t>). Det är frågan om två tilläggsavdrag, ett allmänt tilläggsavdrag som baserar sig på beloppet av löneutgifter</w:t>
      </w:r>
      <w:r w:rsidR="00C973D6">
        <w:t>na</w:t>
      </w:r>
      <w:r w:rsidR="00F67075">
        <w:t xml:space="preserve"> för forsknings- och utvecklingsverksamhet och utgifter</w:t>
      </w:r>
      <w:r w:rsidR="00C973D6">
        <w:t>na</w:t>
      </w:r>
      <w:r w:rsidR="00F67075">
        <w:t xml:space="preserve"> för köpta tjänster inom sådan verksamhet samt ett extra tilläggsavdrag som baserar sig på en ökning av beloppet av sådana utgifter. För övrigt hänvisas till förarbetena till </w:t>
      </w:r>
      <w:proofErr w:type="spellStart"/>
      <w:r w:rsidR="00F67075">
        <w:t>rikslagen</w:t>
      </w:r>
      <w:proofErr w:type="spellEnd"/>
      <w:r w:rsidR="00F67075">
        <w:t xml:space="preserve"> (LM 69/2022, </w:t>
      </w:r>
      <w:proofErr w:type="spellStart"/>
      <w:r w:rsidR="00F67075">
        <w:t>FiUB</w:t>
      </w:r>
      <w:proofErr w:type="spellEnd"/>
      <w:r w:rsidR="00F67075">
        <w:t xml:space="preserve"> 35/2022).</w:t>
      </w:r>
    </w:p>
    <w:p w14:paraId="4654E2F3" w14:textId="77777777" w:rsidR="00F32A76" w:rsidRDefault="00F32A76" w:rsidP="00F32A76">
      <w:pPr>
        <w:pStyle w:val="ANormal"/>
      </w:pPr>
    </w:p>
    <w:p w14:paraId="7C44B4F3" w14:textId="62556D56" w:rsidR="00F32A76" w:rsidRDefault="00F32A76" w:rsidP="00F32A76">
      <w:pPr>
        <w:pStyle w:val="ANormal"/>
      </w:pPr>
      <w:r>
        <w:t>2</w:t>
      </w:r>
      <w:r w:rsidR="004E3B75">
        <w:t> §</w:t>
      </w:r>
      <w:r>
        <w:rPr>
          <w:i/>
          <w:iCs/>
        </w:rPr>
        <w:t>.</w:t>
      </w:r>
      <w:r>
        <w:t xml:space="preserve"> </w:t>
      </w:r>
      <w:r w:rsidR="0078759A">
        <w:t>I paragrafen anges att ändringar av rikslagen automatiskt ska träda i kraft på Åland samtidigt som de träder i kraft i riket. Dessutom anges att hänvisningar i rikslagen till andra författningar ska avse motsvarande bestämmelser i landskapslagstiftningen, förutsatt att de hör till lagtingets behörighet. I lagen finns hänvisningar till</w:t>
      </w:r>
      <w:r w:rsidR="0007412F">
        <w:t xml:space="preserve"> lagen om förskottsuppbörd (FFS 1118/1996),</w:t>
      </w:r>
      <w:r w:rsidR="0078759A">
        <w:t xml:space="preserve"> inkomstskattelagen (FFS 1535/1992), lagen om beskattning av inkomst av näringsverksamhet (FFS 360/1968)</w:t>
      </w:r>
      <w:r w:rsidR="0007412F">
        <w:t>, inkomstskattelagen för gårdsbruk (FFS 543/1967), lagen om ett tilläggsavdrag för forsknings- och utvecklingsverksamhet under skatteåren 2021–2027 (FFS 1078/2020), lagen om koncernbidrag vid beskattningen (FFS 825/1986)</w:t>
      </w:r>
      <w:r w:rsidR="0078759A">
        <w:t xml:space="preserve"> samt lagen om beskattningsförfarande (1558/1995). Dessa lagar tillämpas vid kommunalbeskattningen på Åland med stöd av </w:t>
      </w:r>
      <w:r w:rsidR="00BE4039">
        <w:t>landskapslagen (1997:32) om tillämpning i landskapet Åland av rikslagstiftningen om förskottsuppbörd</w:t>
      </w:r>
      <w:r w:rsidR="00C973D6">
        <w:t>,</w:t>
      </w:r>
      <w:r w:rsidR="00BE4039">
        <w:t xml:space="preserve"> </w:t>
      </w:r>
      <w:r w:rsidR="0078759A">
        <w:t>kommunalskattelagen (2011:119) för landskapet Åland, landskapslagen (1993:42) om kommunalskatt för näringsverksamhet</w:t>
      </w:r>
      <w:r w:rsidR="00BE4039">
        <w:t>, landskapslagen (1993:41) om kommunalskatt för gårdsbruk, landskapslagen (</w:t>
      </w:r>
      <w:r w:rsidR="002664B8">
        <w:t>2021</w:t>
      </w:r>
      <w:r w:rsidR="00BE4039">
        <w:t>:</w:t>
      </w:r>
      <w:r w:rsidR="002664B8">
        <w:t>74</w:t>
      </w:r>
      <w:r w:rsidR="00BE4039">
        <w:t xml:space="preserve">) om tilläggsavdrag för forsknings- och utvecklingsverksamhet under skatteåren </w:t>
      </w:r>
      <w:r w:rsidR="002664B8">
        <w:t xml:space="preserve">2021–2027, </w:t>
      </w:r>
      <w:r w:rsidR="00BE4039">
        <w:t>landskapslagen (</w:t>
      </w:r>
      <w:r w:rsidR="00C973D6">
        <w:t>2021</w:t>
      </w:r>
      <w:r w:rsidR="00BE4039">
        <w:t>:</w:t>
      </w:r>
      <w:r w:rsidR="00C973D6">
        <w:t>75</w:t>
      </w:r>
      <w:r w:rsidR="00BE4039">
        <w:t>) om koncernbidrag vid kommunalbeskattningen</w:t>
      </w:r>
      <w:r w:rsidR="0078759A">
        <w:t xml:space="preserve"> respektive landskapslagen (1997:38) om tillämpning i landskapet Åland av rikslagstiftningen om beskattningsförfarande.</w:t>
      </w:r>
    </w:p>
    <w:p w14:paraId="72DED7B1" w14:textId="77777777" w:rsidR="00F32A76" w:rsidRDefault="00F32A76" w:rsidP="00F32A76">
      <w:pPr>
        <w:pStyle w:val="ANormal"/>
      </w:pPr>
    </w:p>
    <w:p w14:paraId="6A05A699" w14:textId="633C04AC" w:rsidR="00F32A76" w:rsidRDefault="00F32A76" w:rsidP="00F32A76">
      <w:pPr>
        <w:pStyle w:val="ANormal"/>
      </w:pPr>
      <w:r>
        <w:t>3</w:t>
      </w:r>
      <w:r w:rsidR="004E3B75">
        <w:t> §</w:t>
      </w:r>
      <w:r>
        <w:rPr>
          <w:i/>
          <w:iCs/>
        </w:rPr>
        <w:t>.</w:t>
      </w:r>
      <w:r>
        <w:t xml:space="preserve"> </w:t>
      </w:r>
      <w:r w:rsidR="00533342">
        <w:t>Enligt förslaget ska lagen tillämpas från och med skatteåret 2023, för</w:t>
      </w:r>
      <w:r w:rsidR="00C973D6">
        <w:softHyphen/>
      </w:r>
      <w:r w:rsidR="00533342">
        <w:t>utom när det gäller bestämmelserna om det extra tilläggsavdraget baserat på en ökning av utgifterna för forsknings- och utvecklingsverksamhet som ska tillämpas från och med skatteåret 2024. Ikraftträdandet överensstämmer med ikraftträdandet av rikslagen.</w:t>
      </w:r>
    </w:p>
    <w:p w14:paraId="3DB5320A" w14:textId="77777777" w:rsidR="00F32A76" w:rsidRDefault="00F32A76" w:rsidP="00365BCC">
      <w:pPr>
        <w:pStyle w:val="ANormal"/>
      </w:pPr>
    </w:p>
    <w:p w14:paraId="3DFF29F4" w14:textId="1726F13A" w:rsidR="00F32A76" w:rsidRDefault="00F32A76" w:rsidP="00F32A76">
      <w:pPr>
        <w:pStyle w:val="RubrikB"/>
      </w:pPr>
      <w:bookmarkStart w:id="18" w:name="_Toc129771252"/>
      <w:r>
        <w:lastRenderedPageBreak/>
        <w:t>2. Ändring av landskapslagen om skattelättnader vid kommunalbeskattningen för skatteåren 2020–2023</w:t>
      </w:r>
      <w:bookmarkEnd w:id="18"/>
    </w:p>
    <w:p w14:paraId="00F937CF" w14:textId="77777777" w:rsidR="00F32A76" w:rsidRDefault="00F32A76" w:rsidP="00F32A76">
      <w:pPr>
        <w:pStyle w:val="Rubrikmellanrum"/>
      </w:pPr>
    </w:p>
    <w:p w14:paraId="73DEB339" w14:textId="77777777" w:rsidR="00F32A76" w:rsidRDefault="00F32A76" w:rsidP="00F32A76">
      <w:pPr>
        <w:pStyle w:val="ANormal"/>
      </w:pPr>
      <w:r>
        <w:t>Lagens rubrik föreslås bli ändrad för att anpassa den till att tillämpningstiden förlängs till och med skatteåret 2025.</w:t>
      </w:r>
    </w:p>
    <w:p w14:paraId="418E864C" w14:textId="77777777" w:rsidR="00F32A76" w:rsidRPr="00692C72" w:rsidRDefault="00F32A76" w:rsidP="00F32A76">
      <w:pPr>
        <w:pStyle w:val="ANormal"/>
      </w:pPr>
    </w:p>
    <w:p w14:paraId="13C2E8E7" w14:textId="7DC58D60" w:rsidR="00F32A76" w:rsidRDefault="00F32A76" w:rsidP="00F32A76">
      <w:pPr>
        <w:pStyle w:val="ANormal"/>
      </w:pPr>
      <w:r>
        <w:t>1</w:t>
      </w:r>
      <w:r w:rsidR="004E3B75">
        <w:t> §</w:t>
      </w:r>
      <w:r>
        <w:rPr>
          <w:i/>
          <w:iCs/>
        </w:rPr>
        <w:t>.</w:t>
      </w:r>
      <w:r>
        <w:t xml:space="preserve"> I paragrafen föreslås att rätten att göra höjda avskrivningar på maskiner, inventarier och andra lösa anläggningstillgångar som används i näringsverksamhet eller jordbruk förlängs med två år till och med skatteåret 2025, på samma sätt som i riket.</w:t>
      </w:r>
    </w:p>
    <w:p w14:paraId="376DB0D9" w14:textId="1ECD8D9E" w:rsidR="00F32A76" w:rsidRDefault="00F32A76" w:rsidP="00F32A76">
      <w:pPr>
        <w:pStyle w:val="ANormal"/>
      </w:pPr>
      <w:r>
        <w:tab/>
        <w:t>Med hänvisning till att namnet på lagen om höjda avskrivningar på maskiner, inventarier och andra därmed jämförbara lösa anläggningstillgångar skatteåren 2020–2023 (FFS 1572/2019) ändras till lagen om höjda avskrivningar på maskiner, inventarier och andra därmed jämförbara lösa anläggningstillgångar skatteåren 2020–2025 (FFS 1572/2019), anpassas också hänvisningen till det.</w:t>
      </w:r>
    </w:p>
    <w:p w14:paraId="062640E3" w14:textId="6CDC53D9" w:rsidR="00F32A76" w:rsidRDefault="00F32A76" w:rsidP="00F32A76">
      <w:pPr>
        <w:pStyle w:val="ANormal"/>
      </w:pPr>
      <w:r>
        <w:tab/>
        <w:t>Slutligen föreslås också ett kortnamn för rikslagen, så att hänvisningarna i lagens 2</w:t>
      </w:r>
      <w:r w:rsidR="004E3B75">
        <w:t> §</w:t>
      </w:r>
      <w:r>
        <w:t xml:space="preserve"> inte ska vara beroende av om giltighetstiden ändras igen i framtiden.</w:t>
      </w:r>
    </w:p>
    <w:p w14:paraId="7D455C3F" w14:textId="68F0D9A4" w:rsidR="000D4D82" w:rsidRDefault="000D4D82">
      <w:pPr>
        <w:pStyle w:val="ANormal"/>
      </w:pPr>
    </w:p>
    <w:p w14:paraId="1103753D" w14:textId="06C88F4F" w:rsidR="000D4D82" w:rsidRDefault="00692C72" w:rsidP="000D4D82">
      <w:pPr>
        <w:pStyle w:val="ANormal"/>
      </w:pPr>
      <w:r>
        <w:t>2</w:t>
      </w:r>
      <w:r w:rsidR="004E3B75">
        <w:t> §</w:t>
      </w:r>
      <w:r w:rsidR="000D4D82">
        <w:rPr>
          <w:i/>
          <w:iCs/>
        </w:rPr>
        <w:t>.</w:t>
      </w:r>
      <w:r w:rsidR="000D4D82">
        <w:t xml:space="preserve"> </w:t>
      </w:r>
      <w:r w:rsidR="00CB45CF">
        <w:t>Enligt förslaget ändras hänvisningarna till rikslagen i paragrafens 1 och 2</w:t>
      </w:r>
      <w:r w:rsidR="004E3B75">
        <w:t> mom.</w:t>
      </w:r>
      <w:r w:rsidR="00CB45CF">
        <w:t xml:space="preserve"> till följd av att ett kortnamn föreslås i 1</w:t>
      </w:r>
      <w:r w:rsidR="004E3B75">
        <w:t> §</w:t>
      </w:r>
      <w:r w:rsidR="00CB45CF">
        <w:t>. Ändringarna är enbart språkliga.</w:t>
      </w:r>
    </w:p>
    <w:p w14:paraId="4CB55484" w14:textId="77777777" w:rsidR="000D4D82" w:rsidRDefault="000D4D82" w:rsidP="000D4D82">
      <w:pPr>
        <w:pStyle w:val="ANormal"/>
      </w:pPr>
    </w:p>
    <w:p w14:paraId="2200B132" w14:textId="4EBEB60C" w:rsidR="000D4D82" w:rsidRDefault="00692C72" w:rsidP="000D4D82">
      <w:pPr>
        <w:pStyle w:val="ANormal"/>
      </w:pPr>
      <w:r>
        <w:t>3</w:t>
      </w:r>
      <w:r w:rsidR="004E3B75">
        <w:t> §</w:t>
      </w:r>
      <w:r w:rsidR="000D4D82">
        <w:rPr>
          <w:i/>
          <w:iCs/>
        </w:rPr>
        <w:t>.</w:t>
      </w:r>
      <w:r w:rsidR="000D4D82">
        <w:t xml:space="preserve"> </w:t>
      </w:r>
      <w:r w:rsidR="00CB45CF">
        <w:t>Enligt förslaget förlängs lagens tillämpningstid till och med skatteåret 2025.</w:t>
      </w:r>
    </w:p>
    <w:p w14:paraId="0F9A834A" w14:textId="77777777" w:rsidR="000D4D82" w:rsidRDefault="000D4D82" w:rsidP="000D4D82">
      <w:pPr>
        <w:pStyle w:val="ANormal"/>
      </w:pPr>
    </w:p>
    <w:p w14:paraId="76222EC9" w14:textId="65FB7838" w:rsidR="000D4D82" w:rsidRDefault="00F32A76" w:rsidP="000D4D82">
      <w:pPr>
        <w:pStyle w:val="RubrikB"/>
      </w:pPr>
      <w:bookmarkStart w:id="19" w:name="_Toc129771253"/>
      <w:r>
        <w:t>3</w:t>
      </w:r>
      <w:r w:rsidR="000D4D82">
        <w:t xml:space="preserve">. Ändring av </w:t>
      </w:r>
      <w:r w:rsidR="00692C72">
        <w:t>29 och 29f</w:t>
      </w:r>
      <w:r w:rsidR="004E3B75">
        <w:t> §</w:t>
      </w:r>
      <w:r w:rsidR="00692C72">
        <w:t>§ kommunalskattelagen för landskapet Åland</w:t>
      </w:r>
      <w:bookmarkEnd w:id="19"/>
    </w:p>
    <w:p w14:paraId="1869BE72" w14:textId="77777777" w:rsidR="000D4D82" w:rsidRDefault="000D4D82" w:rsidP="000D4D82">
      <w:pPr>
        <w:pStyle w:val="Rubrikmellanrum"/>
      </w:pPr>
    </w:p>
    <w:p w14:paraId="0260940F" w14:textId="53765A59" w:rsidR="00C54878" w:rsidRDefault="00C54878" w:rsidP="00C54878">
      <w:pPr>
        <w:pStyle w:val="ANormal"/>
      </w:pPr>
      <w:r>
        <w:t>29</w:t>
      </w:r>
      <w:r w:rsidR="004E3B75">
        <w:t> §</w:t>
      </w:r>
      <w:r w:rsidR="000D4D82">
        <w:t xml:space="preserve"> </w:t>
      </w:r>
      <w:r>
        <w:rPr>
          <w:i/>
          <w:iCs/>
        </w:rPr>
        <w:t>Kommunalskattesatsen för samfund och samfällda förmåner</w:t>
      </w:r>
      <w:r w:rsidR="000D4D82">
        <w:rPr>
          <w:i/>
          <w:iCs/>
        </w:rPr>
        <w:t>.</w:t>
      </w:r>
      <w:r w:rsidR="000D4D82">
        <w:t xml:space="preserve"> </w:t>
      </w:r>
      <w:r>
        <w:t>I paragrafen anges de skattesatser för samfund och samfällda förmåner som gäller permanent. Till följd av att kommunerna kompenseras för olika skattelättnader anges i 29f</w:t>
      </w:r>
      <w:r w:rsidR="004E3B75">
        <w:t> §</w:t>
      </w:r>
      <w:r>
        <w:t xml:space="preserve"> undantagsvis andra skattesatser som tillämpas för skatteåren 2020–2029 (se nedan).</w:t>
      </w:r>
    </w:p>
    <w:p w14:paraId="4E1CC53C" w14:textId="436803EE" w:rsidR="00C54878" w:rsidRDefault="00C54878" w:rsidP="00C54878">
      <w:pPr>
        <w:pStyle w:val="ANormal"/>
      </w:pPr>
      <w:r>
        <w:tab/>
        <w:t xml:space="preserve">Kommunalskattesatsen för samfund föreslås bli sänkt med </w:t>
      </w:r>
      <w:r w:rsidR="00C973D6">
        <w:t>1,98</w:t>
      </w:r>
      <w:r>
        <w:t> procentenheter, från 6,66 till 4,6</w:t>
      </w:r>
      <w:r w:rsidR="00C973D6">
        <w:t>8</w:t>
      </w:r>
      <w:r>
        <w:t> </w:t>
      </w:r>
      <w:r w:rsidRPr="006136BD">
        <w:t>procent</w:t>
      </w:r>
      <w:r>
        <w:t xml:space="preserve">. Ändringen motiveras av att den kommunala andelen av samfundsskatten i riket dels </w:t>
      </w:r>
      <w:r w:rsidR="00DC2BF2">
        <w:t>höjs</w:t>
      </w:r>
      <w:r>
        <w:t xml:space="preserve"> på grund av de åtgärder som vidtas i riket inför skatteåret 2023, dels sänks med 11,25 </w:t>
      </w:r>
      <w:r w:rsidRPr="006136BD">
        <w:t>procentenheter</w:t>
      </w:r>
      <w:r>
        <w:t xml:space="preserve"> på grund av överföringen av finansieringsansvaret för hälso- och sjukvården.</w:t>
      </w:r>
      <w:r w:rsidR="00DC2BF2">
        <w:t xml:space="preserve"> </w:t>
      </w:r>
      <w:r>
        <w:t xml:space="preserve">Motsvarande höjning föreslås när det gäller kommunalskattesatsen för samfällda förmåner. De föreslagna skattesatserna </w:t>
      </w:r>
      <w:r w:rsidR="00DC2BF2">
        <w:t>är avsedda</w:t>
      </w:r>
      <w:r>
        <w:t xml:space="preserve"> att tillämpas från och med </w:t>
      </w:r>
      <w:r w:rsidR="00DC2BF2">
        <w:t>kommunal</w:t>
      </w:r>
      <w:r>
        <w:t>beskattningen för skatteåret 2030.</w:t>
      </w:r>
    </w:p>
    <w:p w14:paraId="62442CBC" w14:textId="77777777" w:rsidR="000D4D82" w:rsidRDefault="000D4D82" w:rsidP="000D4D82">
      <w:pPr>
        <w:pStyle w:val="ANormal"/>
      </w:pPr>
    </w:p>
    <w:p w14:paraId="49EDBCAF" w14:textId="68B8D9C1" w:rsidR="00452501" w:rsidRDefault="00DC2BF2" w:rsidP="00452501">
      <w:pPr>
        <w:pStyle w:val="ANormal"/>
      </w:pPr>
      <w:r>
        <w:t>29f</w:t>
      </w:r>
      <w:r w:rsidR="004E3B75">
        <w:t> §</w:t>
      </w:r>
      <w:r w:rsidR="000D4D82">
        <w:t xml:space="preserve"> </w:t>
      </w:r>
      <w:r>
        <w:rPr>
          <w:i/>
          <w:iCs/>
        </w:rPr>
        <w:t>Kommunalskattesatsen för skatteåren 2020–2029</w:t>
      </w:r>
      <w:r w:rsidR="000D4D82">
        <w:rPr>
          <w:i/>
          <w:iCs/>
        </w:rPr>
        <w:t>.</w:t>
      </w:r>
      <w:r w:rsidR="000D4D82">
        <w:t xml:space="preserve"> </w:t>
      </w:r>
      <w:r w:rsidR="00452501">
        <w:t>Paragrafen innehåller temporära bestämmelser om kommunalskattesatserna för samfund och samfällda förmåner för skatteåren 2020–2027. Bestämmelserna tillkom i samband med landskapslagen om skattelättnader vid kommunalbeskattningen för skatteåren 2020–2023. De aktuella skattelättnaderna bedömdes kunna påverka kommunernas intäkter från samfundsbeskattningen under åren 2020–2027. För att undvika denna påverkan justerades fördelningen av samfundsskatten mellan staten och kommunerna, vilket ledde till att kommunalskattesatserna justerades på motsvarande sätt. På det sättet förblir den totala skattesatsen för samfund på Åland oförändrad även under dessa år.</w:t>
      </w:r>
    </w:p>
    <w:p w14:paraId="406C6675" w14:textId="24391BF9" w:rsidR="00452501" w:rsidRDefault="00452501" w:rsidP="00452501">
      <w:pPr>
        <w:pStyle w:val="ANormal"/>
      </w:pPr>
      <w:r>
        <w:tab/>
        <w:t xml:space="preserve">Med hänvisning till att </w:t>
      </w:r>
      <w:r w:rsidR="00A552FF">
        <w:t xml:space="preserve">tillämpningen av </w:t>
      </w:r>
      <w:r>
        <w:t xml:space="preserve">den ovannämnda landskapslagen om skattelättnader </w:t>
      </w:r>
      <w:r w:rsidR="00A552FF">
        <w:t xml:space="preserve">nu föreslås bli förlängd till och med skatteåret 2025 föreslås att paragrafen anpassas till det. För att undvika rörighet föreslås att hela </w:t>
      </w:r>
      <w:r w:rsidR="00A552FF">
        <w:lastRenderedPageBreak/>
        <w:t>paragrafen ändras. I själva verket ändras dock bara rubriken och</w:t>
      </w:r>
      <w:r>
        <w:t xml:space="preserve"> skattesatserna i </w:t>
      </w:r>
      <w:r w:rsidR="00A552FF">
        <w:t>4</w:t>
      </w:r>
      <w:r>
        <w:t>–8</w:t>
      </w:r>
      <w:r w:rsidR="004E3B75">
        <w:t> punkt</w:t>
      </w:r>
      <w:r>
        <w:t xml:space="preserve">erna </w:t>
      </w:r>
      <w:r w:rsidR="00A552FF">
        <w:t>samtidigt som nya 9 och 10</w:t>
      </w:r>
      <w:r w:rsidR="004E3B75">
        <w:t> punkt</w:t>
      </w:r>
      <w:r w:rsidR="00A552FF">
        <w:t>er tillfogas. Förslaget innebär</w:t>
      </w:r>
      <w:r>
        <w:t xml:space="preserve"> att de totala skattesatserna fortsättningsvis </w:t>
      </w:r>
      <w:r w:rsidR="00A552FF">
        <w:t>kommer att</w:t>
      </w:r>
      <w:r>
        <w:t xml:space="preserve"> vara 20 </w:t>
      </w:r>
      <w:r w:rsidRPr="006136BD">
        <w:t>procent</w:t>
      </w:r>
      <w:r>
        <w:t xml:space="preserve"> för samfund och 26,5 </w:t>
      </w:r>
      <w:r w:rsidRPr="006136BD">
        <w:t>procent</w:t>
      </w:r>
      <w:r>
        <w:t xml:space="preserve"> för samfällda förmåner</w:t>
      </w:r>
      <w:r w:rsidR="00A716E2">
        <w:t xml:space="preserve"> under de skatteår som avses i paragrafen</w:t>
      </w:r>
      <w:r>
        <w:t>.</w:t>
      </w:r>
    </w:p>
    <w:p w14:paraId="7EF5FC90" w14:textId="77777777" w:rsidR="00AF3004" w:rsidRDefault="00AF3004">
      <w:pPr>
        <w:pStyle w:val="ANormal"/>
      </w:pPr>
    </w:p>
    <w:p w14:paraId="3DE71307" w14:textId="77777777" w:rsidR="00AF3004" w:rsidRDefault="00AF3004">
      <w:pPr>
        <w:pStyle w:val="RubrikA"/>
      </w:pPr>
      <w:r>
        <w:br w:type="page"/>
      </w:r>
      <w:bookmarkStart w:id="20" w:name="_Toc129771254"/>
      <w:r>
        <w:lastRenderedPageBreak/>
        <w:t>Lagtext</w:t>
      </w:r>
      <w:bookmarkEnd w:id="20"/>
    </w:p>
    <w:p w14:paraId="64D1D0FA" w14:textId="77777777" w:rsidR="00AF3004" w:rsidRDefault="00AF3004">
      <w:pPr>
        <w:pStyle w:val="Rubrikmellanrum"/>
      </w:pPr>
    </w:p>
    <w:p w14:paraId="604AF410" w14:textId="220F7E89" w:rsidR="00AF3004" w:rsidRDefault="00AF3004">
      <w:pPr>
        <w:pStyle w:val="ANormal"/>
      </w:pPr>
      <w:r>
        <w:t>Landskapsregeringen föreslår att följande lag</w:t>
      </w:r>
      <w:r w:rsidR="00985ABA">
        <w:t>ar</w:t>
      </w:r>
      <w:r>
        <w:t xml:space="preserve"> antas.</w:t>
      </w:r>
    </w:p>
    <w:p w14:paraId="79F21950" w14:textId="77777777" w:rsidR="00AA3F74" w:rsidRDefault="00AA3F74" w:rsidP="00AA3F74">
      <w:pPr>
        <w:pStyle w:val="ANormal"/>
      </w:pPr>
    </w:p>
    <w:p w14:paraId="57C21B68" w14:textId="77777777" w:rsidR="00AA3F74" w:rsidRDefault="00AA3F74" w:rsidP="00AA3F74">
      <w:pPr>
        <w:pStyle w:val="ANormal"/>
        <w:rPr>
          <w:lang w:val="en-GB"/>
        </w:rPr>
      </w:pPr>
      <w:bookmarkStart w:id="21" w:name="_Hlk125727286"/>
      <w:r>
        <w:rPr>
          <w:lang w:val="en-GB"/>
        </w:rPr>
        <w:t>1.</w:t>
      </w:r>
    </w:p>
    <w:p w14:paraId="4CA23CAC" w14:textId="70A5C60C" w:rsidR="00AA3F74" w:rsidRDefault="00AA3F74" w:rsidP="00AA3F74">
      <w:pPr>
        <w:pStyle w:val="LagHuvRubr"/>
        <w:rPr>
          <w:lang w:val="en-GB"/>
        </w:rPr>
      </w:pPr>
      <w:bookmarkStart w:id="22" w:name="_Toc530915178"/>
      <w:bookmarkStart w:id="23" w:name="_Toc129771255"/>
      <w:r>
        <w:rPr>
          <w:lang w:val="en-GB"/>
        </w:rPr>
        <w:t>L A N D S K A P S L A G</w:t>
      </w:r>
      <w:r>
        <w:rPr>
          <w:lang w:val="en-GB"/>
        </w:rPr>
        <w:br/>
        <w:t>om</w:t>
      </w:r>
      <w:bookmarkEnd w:id="22"/>
      <w:r>
        <w:rPr>
          <w:lang w:val="en-GB"/>
        </w:rPr>
        <w:t xml:space="preserve"> tilläggsavdrag baserade på utgifter för forsknings- och utvecklingsverksamhet</w:t>
      </w:r>
      <w:bookmarkEnd w:id="23"/>
    </w:p>
    <w:p w14:paraId="06FE6ECD" w14:textId="77777777" w:rsidR="00AA3F74" w:rsidRDefault="00AA3F74" w:rsidP="00AA3F74">
      <w:pPr>
        <w:pStyle w:val="ANormal"/>
        <w:rPr>
          <w:lang w:val="en-GB"/>
        </w:rPr>
      </w:pPr>
    </w:p>
    <w:p w14:paraId="69ED598E" w14:textId="22ABB3AC" w:rsidR="00AA3F74" w:rsidRDefault="00AA3F74" w:rsidP="00AA3F74">
      <w:pPr>
        <w:pStyle w:val="ANormal"/>
      </w:pPr>
      <w:r>
        <w:tab/>
        <w:t>I enlighet med lagtingets beslut föreskrivs:</w:t>
      </w:r>
    </w:p>
    <w:p w14:paraId="51F310FB" w14:textId="77777777" w:rsidR="00AA3F74" w:rsidRDefault="00AA3F74" w:rsidP="00AA3F74">
      <w:pPr>
        <w:pStyle w:val="ANormal"/>
      </w:pPr>
    </w:p>
    <w:p w14:paraId="74DF5568" w14:textId="460747E6" w:rsidR="00AA3F74" w:rsidRDefault="00AA3F74" w:rsidP="00AA3F74">
      <w:pPr>
        <w:pStyle w:val="LagParagraf"/>
      </w:pPr>
      <w:r>
        <w:t>1</w:t>
      </w:r>
      <w:r w:rsidR="004E3B75">
        <w:t> §</w:t>
      </w:r>
    </w:p>
    <w:p w14:paraId="36DC6A06" w14:textId="06A144A4" w:rsidR="00AA3F74" w:rsidRPr="0040598A" w:rsidRDefault="00AA3F74" w:rsidP="00AA3F74">
      <w:pPr>
        <w:pStyle w:val="ANormal"/>
      </w:pPr>
      <w:r>
        <w:tab/>
        <w:t xml:space="preserve">Näringsidkare och de som bedriver jordbruk har rätt att vid kommunalbeskattningen från sin beskattningsbara inkomst av näringsverksamhet eller jordbruk göra tilläggsavdrag i enlighet med vad som föreskrivs i lagen om tilläggsavdrag </w:t>
      </w:r>
      <w:bookmarkStart w:id="24" w:name="_Hlk125459855"/>
      <w:r w:rsidR="00906DFA">
        <w:t xml:space="preserve">baserade på utgifter </w:t>
      </w:r>
      <w:r>
        <w:t xml:space="preserve">för forsknings- och utvecklingsverksamhet </w:t>
      </w:r>
      <w:r w:rsidR="00906DFA">
        <w:t>i</w:t>
      </w:r>
      <w:r>
        <w:t xml:space="preserve"> </w:t>
      </w:r>
      <w:r w:rsidR="00906DFA">
        <w:t>beskattningen</w:t>
      </w:r>
      <w:r>
        <w:t xml:space="preserve"> </w:t>
      </w:r>
      <w:bookmarkEnd w:id="24"/>
      <w:r>
        <w:t>(FFS 1</w:t>
      </w:r>
      <w:r w:rsidR="00906DFA">
        <w:t>29</w:t>
      </w:r>
      <w:r>
        <w:t>8/202</w:t>
      </w:r>
      <w:r w:rsidR="00906DFA">
        <w:t>2</w:t>
      </w:r>
      <w:r>
        <w:t>), med de undantag som följer av denna lag.</w:t>
      </w:r>
    </w:p>
    <w:p w14:paraId="40DC29BE" w14:textId="77777777" w:rsidR="00AA3F74" w:rsidRDefault="00AA3F74" w:rsidP="00AA3F74">
      <w:pPr>
        <w:pStyle w:val="LagParagraf"/>
        <w:jc w:val="left"/>
      </w:pPr>
    </w:p>
    <w:bookmarkEnd w:id="21"/>
    <w:p w14:paraId="593A3563" w14:textId="556A78E7" w:rsidR="00AA3F74" w:rsidRDefault="00AA3F74" w:rsidP="00AA3F74">
      <w:pPr>
        <w:pStyle w:val="LagParagraf"/>
      </w:pPr>
      <w:r>
        <w:t>2</w:t>
      </w:r>
      <w:r w:rsidR="004E3B75">
        <w:t> §</w:t>
      </w:r>
    </w:p>
    <w:p w14:paraId="291F0F3A" w14:textId="03540544" w:rsidR="00AA3F74" w:rsidRPr="0038045C" w:rsidRDefault="00AA3F74" w:rsidP="00AA3F74">
      <w:pPr>
        <w:pStyle w:val="ANormal"/>
      </w:pPr>
      <w:r>
        <w:tab/>
        <w:t>Ä</w:t>
      </w:r>
      <w:r w:rsidRPr="0038045C">
        <w:t xml:space="preserve">ndringar </w:t>
      </w:r>
      <w:r>
        <w:t>av</w:t>
      </w:r>
      <w:r w:rsidRPr="0038045C">
        <w:t xml:space="preserve"> </w:t>
      </w:r>
      <w:r>
        <w:t xml:space="preserve">lagen om tilläggsavdrag </w:t>
      </w:r>
      <w:r w:rsidR="001349DA">
        <w:t>baserade på utgifter för forsknings- och utvecklingsverksamhet i beskattningen</w:t>
      </w:r>
      <w:r w:rsidRPr="0038045C">
        <w:t xml:space="preserve"> ska gälla </w:t>
      </w:r>
      <w:r>
        <w:t>på Åland</w:t>
      </w:r>
      <w:r w:rsidRPr="0038045C">
        <w:t xml:space="preserve"> från tidpunkten för deras ikraftträdande i riket</w:t>
      </w:r>
      <w:r>
        <w:t xml:space="preserve"> om inte annat följer av denna lag.</w:t>
      </w:r>
    </w:p>
    <w:p w14:paraId="2797EC01" w14:textId="009E4E26" w:rsidR="00AA3F74" w:rsidRDefault="00AA3F74" w:rsidP="00AA3F74">
      <w:pPr>
        <w:pStyle w:val="ANormal"/>
      </w:pPr>
      <w:r>
        <w:tab/>
        <w:t xml:space="preserve">En hänvisning i lagen om tilläggsavdrag </w:t>
      </w:r>
      <w:r w:rsidR="001349DA">
        <w:t>baserade på utgifter för forsknings- och utvecklingsverksamhet i beskattningen</w:t>
      </w:r>
      <w:r w:rsidRPr="0038045C">
        <w:t xml:space="preserve"> </w:t>
      </w:r>
      <w:r w:rsidRPr="00E06E57">
        <w:t>till en riksförfattning ska inom landskapets behörighet avse motsvarande bestämmelser som finns i landskapslagstiftningen</w:t>
      </w:r>
      <w:r>
        <w:t>.</w:t>
      </w:r>
    </w:p>
    <w:p w14:paraId="0A45A43B" w14:textId="77777777" w:rsidR="00AA3F74" w:rsidRDefault="00AA3F74" w:rsidP="00AA3F74">
      <w:pPr>
        <w:pStyle w:val="ANormal"/>
      </w:pPr>
    </w:p>
    <w:p w14:paraId="2CBA11F3" w14:textId="391D2457" w:rsidR="00AA3F74" w:rsidRDefault="00AA3F74" w:rsidP="00AA3F74">
      <w:pPr>
        <w:pStyle w:val="LagParagraf"/>
      </w:pPr>
      <w:r>
        <w:t>3</w:t>
      </w:r>
      <w:r w:rsidR="004E3B75">
        <w:t> §</w:t>
      </w:r>
    </w:p>
    <w:p w14:paraId="794F58B0" w14:textId="77777777" w:rsidR="00AA3F74" w:rsidRDefault="00AA3F74" w:rsidP="00AA3F74">
      <w:pPr>
        <w:pStyle w:val="ANormal"/>
      </w:pPr>
      <w:r>
        <w:tab/>
        <w:t xml:space="preserve">Denna lag träder i kraft den … </w:t>
      </w:r>
    </w:p>
    <w:p w14:paraId="1A93B778" w14:textId="30425977" w:rsidR="001349DA" w:rsidRDefault="00AA3F74" w:rsidP="00AA3F74">
      <w:pPr>
        <w:pStyle w:val="ANormal"/>
      </w:pPr>
      <w:r>
        <w:tab/>
        <w:t xml:space="preserve">Lagen tillämpas </w:t>
      </w:r>
      <w:r w:rsidR="001349DA">
        <w:t xml:space="preserve">första gången </w:t>
      </w:r>
      <w:r>
        <w:t>vid kommunalbeskattningen för skatteåre</w:t>
      </w:r>
      <w:r w:rsidR="001349DA">
        <w:t>t</w:t>
      </w:r>
      <w:r>
        <w:t xml:space="preserve"> 202</w:t>
      </w:r>
      <w:r w:rsidR="001349DA">
        <w:t>3</w:t>
      </w:r>
      <w:r>
        <w:t xml:space="preserve">. </w:t>
      </w:r>
      <w:r w:rsidR="001349DA">
        <w:t>Bestämmelserna i 3</w:t>
      </w:r>
      <w:r w:rsidR="004E3B75">
        <w:t> §</w:t>
      </w:r>
      <w:r w:rsidR="001349DA">
        <w:t xml:space="preserve"> 4</w:t>
      </w:r>
      <w:r w:rsidR="004E3B75">
        <w:t> mom.</w:t>
      </w:r>
      <w:r w:rsidR="001349DA">
        <w:t xml:space="preserve"> och 5</w:t>
      </w:r>
      <w:r w:rsidR="004E3B75">
        <w:t> §</w:t>
      </w:r>
      <w:r w:rsidR="001349DA">
        <w:t xml:space="preserve"> lagen om tilläggsavdrag baserade på utgifter för forsknings- och utvecklingsverksamhet i beskattningen tillämpas dock första gången vid kommunalbeskattningen för skatteåret 2024.</w:t>
      </w:r>
    </w:p>
    <w:p w14:paraId="570587E9" w14:textId="77777777" w:rsidR="00AA3F74" w:rsidRDefault="00B3499C" w:rsidP="00AA3F74">
      <w:pPr>
        <w:pStyle w:val="ANormal"/>
        <w:jc w:val="center"/>
      </w:pPr>
      <w:hyperlink w:anchor="_top" w:tooltip="Klicka för att gå till toppen av dokumentet" w:history="1">
        <w:r w:rsidR="00AA3F74">
          <w:rPr>
            <w:rStyle w:val="Hyperlnk"/>
          </w:rPr>
          <w:t>__________________</w:t>
        </w:r>
      </w:hyperlink>
    </w:p>
    <w:p w14:paraId="0617A18A" w14:textId="77777777" w:rsidR="00AA3F74" w:rsidRDefault="00AA3F74">
      <w:pPr>
        <w:pStyle w:val="ANormal"/>
      </w:pPr>
    </w:p>
    <w:p w14:paraId="34CFD83F" w14:textId="41C4B2FC" w:rsidR="00AF3004" w:rsidRDefault="00AA3F74">
      <w:pPr>
        <w:pStyle w:val="ANormal"/>
        <w:rPr>
          <w:lang w:val="en-GB"/>
        </w:rPr>
      </w:pPr>
      <w:r>
        <w:rPr>
          <w:lang w:val="en-GB"/>
        </w:rPr>
        <w:t>2</w:t>
      </w:r>
      <w:r w:rsidR="00AF3004">
        <w:rPr>
          <w:lang w:val="en-GB"/>
        </w:rPr>
        <w:t>.</w:t>
      </w:r>
    </w:p>
    <w:p w14:paraId="24A7CB6B" w14:textId="2D551FEA" w:rsidR="00AF3004" w:rsidRDefault="00AF3004">
      <w:pPr>
        <w:pStyle w:val="LagHuvRubr"/>
        <w:rPr>
          <w:lang w:val="en-GB"/>
        </w:rPr>
      </w:pPr>
      <w:bookmarkStart w:id="25" w:name="_Toc129771256"/>
      <w:r>
        <w:rPr>
          <w:lang w:val="en-GB"/>
        </w:rPr>
        <w:t>L A N D S K A P S L A G</w:t>
      </w:r>
      <w:r>
        <w:rPr>
          <w:lang w:val="en-GB"/>
        </w:rPr>
        <w:br/>
        <w:t>om</w:t>
      </w:r>
      <w:r w:rsidR="00985ABA">
        <w:rPr>
          <w:lang w:val="en-GB"/>
        </w:rPr>
        <w:t xml:space="preserve"> ändring av landskapslagen om skattelättnader vid kommunalbeskattningen för skatteåren 2020–2023</w:t>
      </w:r>
      <w:bookmarkEnd w:id="25"/>
    </w:p>
    <w:p w14:paraId="54339C3D" w14:textId="77777777" w:rsidR="00AF3004" w:rsidRDefault="00AF3004">
      <w:pPr>
        <w:pStyle w:val="ANormal"/>
        <w:rPr>
          <w:lang w:val="en-GB"/>
        </w:rPr>
      </w:pPr>
    </w:p>
    <w:p w14:paraId="5AFDBE3A" w14:textId="48B446F4" w:rsidR="00AF3004" w:rsidRDefault="00AF3004">
      <w:pPr>
        <w:pStyle w:val="ANormal"/>
      </w:pPr>
      <w:r>
        <w:tab/>
        <w:t xml:space="preserve">I enlighet med lagtingets beslut </w:t>
      </w:r>
      <w:r w:rsidR="00840831" w:rsidRPr="0019096B">
        <w:rPr>
          <w:b/>
          <w:bCs/>
        </w:rPr>
        <w:t>ändras</w:t>
      </w:r>
      <w:r w:rsidR="00840831">
        <w:t xml:space="preserve"> lagens rubrik, 1 och 2</w:t>
      </w:r>
      <w:r w:rsidR="004E3B75">
        <w:t> §</w:t>
      </w:r>
      <w:r w:rsidR="00840831">
        <w:t>§ samt 3</w:t>
      </w:r>
      <w:r w:rsidR="004E3B75">
        <w:t> §</w:t>
      </w:r>
      <w:r w:rsidR="00840831">
        <w:t xml:space="preserve"> 2</w:t>
      </w:r>
      <w:r w:rsidR="004E3B75">
        <w:t> mom.</w:t>
      </w:r>
      <w:r w:rsidR="00840831">
        <w:t xml:space="preserve"> som följer:</w:t>
      </w:r>
    </w:p>
    <w:p w14:paraId="5A572CC2" w14:textId="5D5CF68D" w:rsidR="00840831" w:rsidRDefault="00840831">
      <w:pPr>
        <w:pStyle w:val="ANormal"/>
      </w:pPr>
    </w:p>
    <w:p w14:paraId="526B6486" w14:textId="3F54259C" w:rsidR="00840831" w:rsidRPr="00840831" w:rsidRDefault="00840831" w:rsidP="00840831">
      <w:pPr>
        <w:pStyle w:val="ANormal"/>
        <w:jc w:val="center"/>
        <w:rPr>
          <w:b/>
          <w:bCs/>
          <w:sz w:val="24"/>
          <w:szCs w:val="24"/>
        </w:rPr>
      </w:pPr>
      <w:r w:rsidRPr="00840831">
        <w:rPr>
          <w:b/>
          <w:bCs/>
          <w:sz w:val="24"/>
          <w:szCs w:val="24"/>
        </w:rPr>
        <w:t>L A N D S K A P S L A G</w:t>
      </w:r>
    </w:p>
    <w:p w14:paraId="1A33B51B" w14:textId="3CC23B77" w:rsidR="00840831" w:rsidRPr="00840831" w:rsidRDefault="00840831" w:rsidP="00840831">
      <w:pPr>
        <w:pStyle w:val="ANormal"/>
        <w:jc w:val="center"/>
        <w:rPr>
          <w:b/>
          <w:bCs/>
          <w:sz w:val="24"/>
          <w:szCs w:val="24"/>
        </w:rPr>
      </w:pPr>
      <w:r w:rsidRPr="00840831">
        <w:rPr>
          <w:b/>
          <w:bCs/>
          <w:sz w:val="24"/>
          <w:szCs w:val="24"/>
        </w:rPr>
        <w:t>om skattelättnader vid kommunalbeskattningen för skatteåren 2020–2025</w:t>
      </w:r>
    </w:p>
    <w:p w14:paraId="5377B0C1" w14:textId="601F4AA5" w:rsidR="00AF3004" w:rsidRDefault="00AF3004">
      <w:pPr>
        <w:pStyle w:val="ANormal"/>
      </w:pPr>
    </w:p>
    <w:p w14:paraId="1A09E814" w14:textId="62EBB64E" w:rsidR="00840831" w:rsidRDefault="00840831" w:rsidP="00840831">
      <w:pPr>
        <w:pStyle w:val="LagParagraf"/>
      </w:pPr>
      <w:r>
        <w:t>1</w:t>
      </w:r>
      <w:r w:rsidR="004E3B75">
        <w:t> §</w:t>
      </w:r>
    </w:p>
    <w:p w14:paraId="09190323" w14:textId="73D30936" w:rsidR="00840831" w:rsidRDefault="00840831" w:rsidP="00840831">
      <w:pPr>
        <w:pStyle w:val="ANormal"/>
      </w:pPr>
      <w:r>
        <w:tab/>
        <w:t>Skattskyldiga som bedriver näringsverksamhet eller jordbruk har rätt att</w:t>
      </w:r>
      <w:r w:rsidRPr="00FE1F1B">
        <w:t xml:space="preserve"> </w:t>
      </w:r>
      <w:r>
        <w:t>i kommunalbeskattningen</w:t>
      </w:r>
      <w:r w:rsidRPr="00FE1F1B">
        <w:t xml:space="preserve"> </w:t>
      </w:r>
      <w:r>
        <w:t>dra av anskaffningsutgifterna för maskiner, inventarier och andra därmed jämförbara lösa anläggningstillgångar som används i näringsverksamhet eller jordbruk och som tas i bruk under kalenderåren 2020–202</w:t>
      </w:r>
      <w:r w:rsidR="00B4704A">
        <w:t>5</w:t>
      </w:r>
      <w:r>
        <w:t xml:space="preserve"> på det sätt som föreskrivs i</w:t>
      </w:r>
      <w:r w:rsidRPr="00FE1F1B">
        <w:t xml:space="preserve"> </w:t>
      </w:r>
      <w:r>
        <w:t xml:space="preserve">lagen om höjda avskrivningar på maskiner, inventarier och andra därmed jämförbara lösa anläggningstillgångar </w:t>
      </w:r>
      <w:r>
        <w:lastRenderedPageBreak/>
        <w:t>skatteåren 2020–202</w:t>
      </w:r>
      <w:r w:rsidR="00B4704A">
        <w:t>5</w:t>
      </w:r>
      <w:r>
        <w:t xml:space="preserve"> (FFS 1572/2019</w:t>
      </w:r>
      <w:r w:rsidR="00B4704A">
        <w:t xml:space="preserve">, nedan </w:t>
      </w:r>
      <w:r w:rsidR="00B4704A" w:rsidRPr="00B4704A">
        <w:rPr>
          <w:i/>
          <w:iCs/>
        </w:rPr>
        <w:t>lagen om höjda avskrivningar på maskiner, inventarier och andra lösa anläggningstillgångar</w:t>
      </w:r>
      <w:r>
        <w:t>).</w:t>
      </w:r>
    </w:p>
    <w:p w14:paraId="1F9A0E37" w14:textId="77777777" w:rsidR="00840831" w:rsidRDefault="00840831" w:rsidP="00840831">
      <w:pPr>
        <w:pStyle w:val="ANormal"/>
      </w:pPr>
    </w:p>
    <w:p w14:paraId="742005CE" w14:textId="135C6757" w:rsidR="00840831" w:rsidRDefault="00840831" w:rsidP="00840831">
      <w:pPr>
        <w:pStyle w:val="LagParagraf"/>
      </w:pPr>
      <w:r>
        <w:t>2</w:t>
      </w:r>
      <w:r w:rsidR="004E3B75">
        <w:t> §</w:t>
      </w:r>
    </w:p>
    <w:p w14:paraId="0B8BA806" w14:textId="02156152" w:rsidR="00840831" w:rsidRDefault="00840831" w:rsidP="00840831">
      <w:pPr>
        <w:pStyle w:val="ANormal"/>
      </w:pPr>
      <w:r>
        <w:tab/>
        <w:t xml:space="preserve">Lagen om höjda avskrivningar på maskiner, inventarier och andra lösa anläggningstillgångar </w:t>
      </w:r>
      <w:r w:rsidRPr="0038045C">
        <w:t xml:space="preserve">ska tillämpas </w:t>
      </w:r>
      <w:r>
        <w:t>med de avvikelser som anges i denna lag</w:t>
      </w:r>
      <w:r w:rsidRPr="0038045C">
        <w:t xml:space="preserve">. </w:t>
      </w:r>
      <w:r>
        <w:t>Ä</w:t>
      </w:r>
      <w:r w:rsidRPr="0038045C">
        <w:t xml:space="preserve">ndringar </w:t>
      </w:r>
      <w:r>
        <w:t>i</w:t>
      </w:r>
      <w:r w:rsidRPr="0038045C">
        <w:t xml:space="preserve"> </w:t>
      </w:r>
      <w:r>
        <w:t>den nämnda lagen</w:t>
      </w:r>
      <w:r w:rsidRPr="0038045C">
        <w:t xml:space="preserve"> ska </w:t>
      </w:r>
      <w:r>
        <w:t>tillämpas på Åland</w:t>
      </w:r>
      <w:r w:rsidRPr="0038045C">
        <w:t xml:space="preserve"> från </w:t>
      </w:r>
      <w:r>
        <w:t>att de träder i kraft</w:t>
      </w:r>
      <w:r w:rsidRPr="0038045C">
        <w:t xml:space="preserve"> i riket.</w:t>
      </w:r>
    </w:p>
    <w:p w14:paraId="07B9AF25" w14:textId="73FB5396" w:rsidR="00840831" w:rsidRDefault="00840831" w:rsidP="00840831">
      <w:pPr>
        <w:pStyle w:val="ANormal"/>
      </w:pPr>
      <w:r>
        <w:tab/>
        <w:t>Hänvisningar i lagen om höjda avskrivningar på maskiner, inventarier och andra lösa anläggningstillgångar till bestämmelser i rikslagstiftningen ska avse motsvarande bestämmelser i landskapslagstiftningen.</w:t>
      </w:r>
    </w:p>
    <w:p w14:paraId="7980E46C" w14:textId="77777777" w:rsidR="00840831" w:rsidRDefault="00840831" w:rsidP="00840831">
      <w:pPr>
        <w:pStyle w:val="ANormal"/>
      </w:pPr>
    </w:p>
    <w:p w14:paraId="60C7F619" w14:textId="0AD016A4" w:rsidR="00840831" w:rsidRDefault="00840831" w:rsidP="00840831">
      <w:pPr>
        <w:pStyle w:val="LagParagraf"/>
      </w:pPr>
      <w:r>
        <w:t>3</w:t>
      </w:r>
      <w:r w:rsidR="004E3B75">
        <w:t> §</w:t>
      </w:r>
    </w:p>
    <w:p w14:paraId="65D6600C" w14:textId="77777777" w:rsidR="00B4704A" w:rsidRDefault="00B4704A">
      <w:pPr>
        <w:pStyle w:val="ANormal"/>
      </w:pPr>
      <w:r>
        <w:t>- - - - - - - - - - - - - - - - - - - - - - - - - - - - - - - - - - - - - - - - - - - - - - - - - - - -</w:t>
      </w:r>
    </w:p>
    <w:p w14:paraId="11062F26" w14:textId="09432E48" w:rsidR="00840831" w:rsidRDefault="00840831" w:rsidP="00840831">
      <w:pPr>
        <w:pStyle w:val="ANormal"/>
      </w:pPr>
      <w:r>
        <w:tab/>
        <w:t>Lagen tillämpas vid kommunalbeskattningen för skatteåren 2020–202</w:t>
      </w:r>
      <w:r w:rsidR="00B4704A">
        <w:t>5</w:t>
      </w:r>
      <w:r>
        <w:t>.</w:t>
      </w:r>
    </w:p>
    <w:p w14:paraId="74935634" w14:textId="77777777" w:rsidR="00B4704A" w:rsidRPr="000B4A4E" w:rsidRDefault="00B4704A" w:rsidP="00840831">
      <w:pPr>
        <w:pStyle w:val="ANormal"/>
      </w:pPr>
    </w:p>
    <w:p w14:paraId="7AE3C0A2" w14:textId="77777777" w:rsidR="00B4704A" w:rsidRDefault="00B3499C">
      <w:pPr>
        <w:pStyle w:val="ANormal"/>
        <w:jc w:val="center"/>
      </w:pPr>
      <w:hyperlink w:anchor="_top" w:tooltip="Klicka för att gå till toppen av dokumentet" w:history="1">
        <w:r w:rsidR="00B4704A">
          <w:rPr>
            <w:rStyle w:val="Hyperlnk"/>
          </w:rPr>
          <w:t>__________________</w:t>
        </w:r>
      </w:hyperlink>
    </w:p>
    <w:p w14:paraId="354B7296" w14:textId="77777777" w:rsidR="00840831" w:rsidRDefault="00840831" w:rsidP="00840831">
      <w:pPr>
        <w:pStyle w:val="ANormal"/>
      </w:pPr>
    </w:p>
    <w:p w14:paraId="7E17A068" w14:textId="44ABD3F9" w:rsidR="00985ABA" w:rsidRDefault="00B4704A" w:rsidP="00985ABA">
      <w:pPr>
        <w:pStyle w:val="ANormal"/>
      </w:pPr>
      <w:r>
        <w:tab/>
        <w:t>Denna lag träder i kraft den</w:t>
      </w:r>
      <w:r w:rsidR="003B4931">
        <w:t xml:space="preserve"> </w:t>
      </w:r>
      <w:r>
        <w:t>….</w:t>
      </w:r>
    </w:p>
    <w:p w14:paraId="123B28B5" w14:textId="77777777" w:rsidR="00985ABA" w:rsidRDefault="00985ABA" w:rsidP="00985ABA">
      <w:pPr>
        <w:pStyle w:val="ANormal"/>
      </w:pPr>
    </w:p>
    <w:p w14:paraId="6B71A81F" w14:textId="2952EAE1" w:rsidR="00985ABA" w:rsidRDefault="00AA3F74" w:rsidP="00985ABA">
      <w:pPr>
        <w:pStyle w:val="ANormal"/>
        <w:rPr>
          <w:lang w:val="en-GB"/>
        </w:rPr>
      </w:pPr>
      <w:r>
        <w:rPr>
          <w:lang w:val="en-GB"/>
        </w:rPr>
        <w:t>3</w:t>
      </w:r>
      <w:r w:rsidR="00985ABA">
        <w:rPr>
          <w:lang w:val="en-GB"/>
        </w:rPr>
        <w:t>.</w:t>
      </w:r>
    </w:p>
    <w:p w14:paraId="024BA53A" w14:textId="068F6999" w:rsidR="00985ABA" w:rsidRPr="006C20E4" w:rsidRDefault="00985ABA" w:rsidP="00985ABA">
      <w:pPr>
        <w:pStyle w:val="LagHuvRubr"/>
      </w:pPr>
      <w:bookmarkStart w:id="26" w:name="_Toc129771257"/>
      <w:r>
        <w:rPr>
          <w:lang w:val="en-GB"/>
        </w:rPr>
        <w:t>L A N D S K A P S L A G</w:t>
      </w:r>
      <w:r>
        <w:rPr>
          <w:lang w:val="en-GB"/>
        </w:rPr>
        <w:br/>
      </w:r>
      <w:r w:rsidRPr="006C20E4">
        <w:t>om ändring av 29 och 29f</w:t>
      </w:r>
      <w:r w:rsidR="004E3B75" w:rsidRPr="006C20E4">
        <w:t> §</w:t>
      </w:r>
      <w:r w:rsidRPr="006C20E4">
        <w:t>§ kommunalskattelagen för landskapet Åland</w:t>
      </w:r>
      <w:bookmarkEnd w:id="26"/>
    </w:p>
    <w:p w14:paraId="2B0E4E34" w14:textId="77777777" w:rsidR="00985ABA" w:rsidRDefault="00985ABA" w:rsidP="00985ABA">
      <w:pPr>
        <w:pStyle w:val="ANormal"/>
        <w:rPr>
          <w:lang w:val="en-GB"/>
        </w:rPr>
      </w:pPr>
    </w:p>
    <w:p w14:paraId="5EDAFA35" w14:textId="0A7507E8" w:rsidR="00985ABA" w:rsidRDefault="00985ABA" w:rsidP="00985ABA">
      <w:pPr>
        <w:pStyle w:val="ANormal"/>
      </w:pPr>
      <w:r>
        <w:tab/>
        <w:t xml:space="preserve">I enlighet med lagtingets beslut </w:t>
      </w:r>
      <w:r w:rsidR="00E42A41" w:rsidRPr="00E42A41">
        <w:rPr>
          <w:b/>
          <w:bCs/>
        </w:rPr>
        <w:t>ändras</w:t>
      </w:r>
      <w:r w:rsidR="00E42A41">
        <w:t xml:space="preserve"> 29 och 29f</w:t>
      </w:r>
      <w:r w:rsidR="004E3B75">
        <w:t> §</w:t>
      </w:r>
      <w:r w:rsidR="00E42A41">
        <w:t>§ kommunalskattelagen (2011:119) för landskapet Åland, av dessa 29</w:t>
      </w:r>
      <w:r w:rsidR="004E3B75">
        <w:t> §</w:t>
      </w:r>
      <w:r w:rsidR="00E42A41">
        <w:t xml:space="preserve"> sådan den lyder i landskapslagen 2021/73 samt 29f</w:t>
      </w:r>
      <w:r w:rsidR="004E3B75">
        <w:t> §</w:t>
      </w:r>
      <w:r w:rsidR="00E42A41">
        <w:t xml:space="preserve"> sådan den lyder i landskapslagarna 2020/93, 2021/73 och 2022/38, som följer</w:t>
      </w:r>
      <w:r>
        <w:t>:</w:t>
      </w:r>
    </w:p>
    <w:p w14:paraId="6047D249" w14:textId="3E5B31A8" w:rsidR="00E42A41" w:rsidRDefault="00E42A41" w:rsidP="00985ABA">
      <w:pPr>
        <w:pStyle w:val="ANormal"/>
      </w:pPr>
    </w:p>
    <w:p w14:paraId="4B8CCC87" w14:textId="5B566733" w:rsidR="00E42A41" w:rsidRDefault="00E42A41" w:rsidP="00E42A41">
      <w:pPr>
        <w:pStyle w:val="LagParagraf"/>
      </w:pPr>
      <w:r>
        <w:t>29</w:t>
      </w:r>
      <w:r w:rsidR="004E3B75">
        <w:t> §</w:t>
      </w:r>
    </w:p>
    <w:p w14:paraId="24EEAA17" w14:textId="05B2B00F" w:rsidR="00E42A41" w:rsidRDefault="00E42A41" w:rsidP="00E42A41">
      <w:pPr>
        <w:pStyle w:val="LagPararubrik"/>
      </w:pPr>
      <w:r>
        <w:t>Kommunalskattesatsen för samfund och samfällda förmåner</w:t>
      </w:r>
    </w:p>
    <w:p w14:paraId="3318D537" w14:textId="28722C98" w:rsidR="00E42A41" w:rsidRDefault="00E42A41" w:rsidP="00E42A41">
      <w:pPr>
        <w:pStyle w:val="ANormal"/>
      </w:pPr>
      <w:r>
        <w:tab/>
      </w:r>
      <w:r w:rsidRPr="00E42A41">
        <w:t xml:space="preserve">Samfund ska på den beskattningsbara inkomsten betala </w:t>
      </w:r>
      <w:r w:rsidR="00C958C4">
        <w:t>4,6</w:t>
      </w:r>
      <w:r w:rsidR="00A90399">
        <w:t>8</w:t>
      </w:r>
      <w:r w:rsidRPr="00E42A41">
        <w:t xml:space="preserve"> procent i kommunalskatt. Samfällda förmåner ska på den beskattningsbara inkomsten betala </w:t>
      </w:r>
      <w:r w:rsidR="00C958C4">
        <w:t>6,</w:t>
      </w:r>
      <w:r w:rsidR="00A90399">
        <w:t>201</w:t>
      </w:r>
      <w:r w:rsidRPr="00E42A41">
        <w:t xml:space="preserve"> procent i kommunalskatt.</w:t>
      </w:r>
    </w:p>
    <w:p w14:paraId="12809FC6" w14:textId="6B7E1777" w:rsidR="00E42A41" w:rsidRDefault="00E42A41" w:rsidP="00E42A41">
      <w:pPr>
        <w:pStyle w:val="ANormal"/>
      </w:pPr>
    </w:p>
    <w:p w14:paraId="5F571455" w14:textId="590DEB32" w:rsidR="00E42A41" w:rsidRDefault="00E42A41" w:rsidP="00E42A41">
      <w:pPr>
        <w:pStyle w:val="LagParagraf"/>
      </w:pPr>
      <w:r>
        <w:t>29f</w:t>
      </w:r>
      <w:r w:rsidR="004E3B75">
        <w:t> §</w:t>
      </w:r>
    </w:p>
    <w:p w14:paraId="56F05907" w14:textId="6B416EF8" w:rsidR="00E42A41" w:rsidRDefault="00E42A41" w:rsidP="00E42A41">
      <w:pPr>
        <w:pStyle w:val="LagPararubrik"/>
      </w:pPr>
      <w:r>
        <w:t>Kommunalskattesatsen för skatteåren 2020–2027</w:t>
      </w:r>
    </w:p>
    <w:p w14:paraId="4812A37B" w14:textId="7E43AF27" w:rsidR="00E42A41" w:rsidRDefault="00E42A41" w:rsidP="00E42A41">
      <w:pPr>
        <w:pStyle w:val="ANormal"/>
      </w:pPr>
      <w:r>
        <w:tab/>
        <w:t>Med avvikelse från 29</w:t>
      </w:r>
      <w:r w:rsidR="004E3B75">
        <w:t> §</w:t>
      </w:r>
      <w:r>
        <w:t xml:space="preserve"> ska</w:t>
      </w:r>
    </w:p>
    <w:p w14:paraId="0E1690E9" w14:textId="72B54AFF" w:rsidR="00E42A41" w:rsidRDefault="00E42A41" w:rsidP="00E42A41">
      <w:pPr>
        <w:pStyle w:val="ANormal"/>
      </w:pPr>
      <w:r>
        <w:tab/>
        <w:t>1)  samfund betala 8,426 procent och samfällda förmåner 11,16445 procent i kommunalskatt på den beskattningsbara inkomsten vid beskattningen för skatteåret 2020,</w:t>
      </w:r>
    </w:p>
    <w:p w14:paraId="346E91B8" w14:textId="6119EE53" w:rsidR="00E42A41" w:rsidRDefault="00E42A41" w:rsidP="00E42A41">
      <w:pPr>
        <w:pStyle w:val="ANormal"/>
      </w:pPr>
      <w:r>
        <w:tab/>
        <w:t>2) samfund betala 8,868 procent och samfällda förmåner 11,7501 procent i kommunalskatt på den beskattningsbara inkomsten vid beskattningen för skatteåret 2021,</w:t>
      </w:r>
    </w:p>
    <w:p w14:paraId="738482B3" w14:textId="6BB1F17D" w:rsidR="00E42A41" w:rsidRDefault="00E42A41" w:rsidP="00E42A41">
      <w:pPr>
        <w:pStyle w:val="ANormal"/>
      </w:pPr>
      <w:r>
        <w:tab/>
        <w:t>3) samfund betala 6,752 procent och samfällda förmåner 8,9464 procent i kommunalskatt på den beskattningsbara inkomsten vid beskattningen för skatteåret 2022,</w:t>
      </w:r>
    </w:p>
    <w:p w14:paraId="670E8050" w14:textId="02D05806" w:rsidR="00E42A41" w:rsidRDefault="00E42A41" w:rsidP="00E42A41">
      <w:pPr>
        <w:pStyle w:val="ANormal"/>
      </w:pPr>
      <w:r>
        <w:tab/>
        <w:t xml:space="preserve">4) samfund betala </w:t>
      </w:r>
      <w:r w:rsidR="002470D1">
        <w:t>4,7</w:t>
      </w:r>
      <w:r w:rsidR="00753517">
        <w:t>82</w:t>
      </w:r>
      <w:r>
        <w:t xml:space="preserve"> procent och samfällda förmåner </w:t>
      </w:r>
      <w:r w:rsidR="002470D1">
        <w:t>6,</w:t>
      </w:r>
      <w:r w:rsidR="00753517">
        <w:t>3361</w:t>
      </w:r>
      <w:r w:rsidR="002470D1">
        <w:t>5</w:t>
      </w:r>
      <w:r>
        <w:t xml:space="preserve"> procent i kommunalskatt på den beskattningsbara inkomsten vid beskattningen för skatteåret 2023,</w:t>
      </w:r>
    </w:p>
    <w:p w14:paraId="461D1C93" w14:textId="0A4D83FF" w:rsidR="00E42A41" w:rsidRDefault="00E42A41" w:rsidP="00E42A41">
      <w:pPr>
        <w:pStyle w:val="ANormal"/>
      </w:pPr>
      <w:r>
        <w:tab/>
        <w:t xml:space="preserve">5) samfund betala </w:t>
      </w:r>
      <w:r w:rsidR="002470D1">
        <w:t>4,</w:t>
      </w:r>
      <w:r w:rsidR="00753517">
        <w:t>738</w:t>
      </w:r>
      <w:r>
        <w:t xml:space="preserve"> procent och samfällda förmåner </w:t>
      </w:r>
      <w:r w:rsidR="002470D1">
        <w:t>6,2</w:t>
      </w:r>
      <w:r w:rsidR="00753517">
        <w:t>7785</w:t>
      </w:r>
      <w:r>
        <w:t xml:space="preserve"> procent i kommunalskatt på den beskattningsbara inkomsten vid beskattningen för skatteåret 2024,</w:t>
      </w:r>
    </w:p>
    <w:p w14:paraId="144422F7" w14:textId="5F5F3A89" w:rsidR="00E42A41" w:rsidRDefault="00E42A41" w:rsidP="00E42A41">
      <w:pPr>
        <w:pStyle w:val="ANormal"/>
      </w:pPr>
      <w:r>
        <w:lastRenderedPageBreak/>
        <w:tab/>
        <w:t xml:space="preserve">6) samfund betala </w:t>
      </w:r>
      <w:r w:rsidR="002470D1">
        <w:t>4,</w:t>
      </w:r>
      <w:r w:rsidR="00753517">
        <w:t>738</w:t>
      </w:r>
      <w:r>
        <w:t xml:space="preserve"> procent och samfällda förmåner </w:t>
      </w:r>
      <w:r w:rsidR="002470D1">
        <w:t>6,2</w:t>
      </w:r>
      <w:r w:rsidR="00753517">
        <w:t>7785</w:t>
      </w:r>
      <w:r>
        <w:t xml:space="preserve"> procent i kommunalskatt på den beskattningsbara inkomsten vid beskattningen för skatteåret 2025,</w:t>
      </w:r>
    </w:p>
    <w:p w14:paraId="70FE1A66" w14:textId="343BC3A2" w:rsidR="00E42A41" w:rsidRDefault="00E42A41" w:rsidP="00E42A41">
      <w:pPr>
        <w:pStyle w:val="ANormal"/>
      </w:pPr>
      <w:r>
        <w:tab/>
        <w:t xml:space="preserve">7) samfund betala </w:t>
      </w:r>
      <w:r w:rsidR="002470D1">
        <w:t>4,</w:t>
      </w:r>
      <w:r w:rsidR="00753517">
        <w:t>584</w:t>
      </w:r>
      <w:r>
        <w:t xml:space="preserve"> procent och samfällda förmåner </w:t>
      </w:r>
      <w:r w:rsidR="002470D1">
        <w:t>6,0</w:t>
      </w:r>
      <w:r w:rsidR="00753517">
        <w:t>738</w:t>
      </w:r>
      <w:r>
        <w:t xml:space="preserve"> procent i kommunalskatt på den beskattningsbara inkomsten vid beskattningen för skatteåret 2026,</w:t>
      </w:r>
    </w:p>
    <w:p w14:paraId="484B08C5" w14:textId="0F47617A" w:rsidR="00E42A41" w:rsidRPr="00E42A41" w:rsidRDefault="00E42A41" w:rsidP="00E42A41">
      <w:pPr>
        <w:pStyle w:val="ANormal"/>
      </w:pPr>
      <w:r>
        <w:tab/>
        <w:t xml:space="preserve">8) samfund betala </w:t>
      </w:r>
      <w:r w:rsidR="002470D1">
        <w:t>4,</w:t>
      </w:r>
      <w:r w:rsidR="00753517">
        <w:t>612</w:t>
      </w:r>
      <w:r>
        <w:t xml:space="preserve"> procent och samfällda förmåner </w:t>
      </w:r>
      <w:r w:rsidR="002470D1">
        <w:t>6,</w:t>
      </w:r>
      <w:r w:rsidR="00753517">
        <w:t>1109</w:t>
      </w:r>
      <w:r>
        <w:t xml:space="preserve"> procent i kommunalskatt på den beskattningsbara inkomsten vid beskattningen för skatteåret 2027</w:t>
      </w:r>
      <w:r w:rsidR="0084706C">
        <w:t>,</w:t>
      </w:r>
    </w:p>
    <w:p w14:paraId="324E2EDB" w14:textId="66564FD8" w:rsidR="0084706C" w:rsidRDefault="0084706C" w:rsidP="0084706C">
      <w:pPr>
        <w:pStyle w:val="ANormal"/>
      </w:pPr>
      <w:r>
        <w:tab/>
        <w:t>9) samfund betala 4,</w:t>
      </w:r>
      <w:r w:rsidR="00753517">
        <w:t>646</w:t>
      </w:r>
      <w:r>
        <w:t xml:space="preserve"> procent och samfällda förmåner 6,</w:t>
      </w:r>
      <w:r w:rsidR="00753517">
        <w:t>15595</w:t>
      </w:r>
      <w:r>
        <w:t xml:space="preserve"> procent i kommunalskatt på den beskattningsbara inkomsten vid beskattningen för skatteåret 2028,</w:t>
      </w:r>
    </w:p>
    <w:p w14:paraId="7C6844C6" w14:textId="634C8247" w:rsidR="0084706C" w:rsidRPr="00E42A41" w:rsidRDefault="0084706C" w:rsidP="0084706C">
      <w:pPr>
        <w:pStyle w:val="ANormal"/>
      </w:pPr>
      <w:r>
        <w:tab/>
        <w:t>10) samfund betala 4,6</w:t>
      </w:r>
      <w:r w:rsidR="00753517">
        <w:t>54</w:t>
      </w:r>
      <w:r>
        <w:t xml:space="preserve"> procent och samfällda förmåner 6,</w:t>
      </w:r>
      <w:r w:rsidR="00753517">
        <w:t>16655</w:t>
      </w:r>
      <w:r>
        <w:t xml:space="preserve"> procent i kommunalskatt på den beskattningsbara inkomsten vid beskattningen för skatteåret 2029.</w:t>
      </w:r>
    </w:p>
    <w:p w14:paraId="31C4B55B" w14:textId="77777777" w:rsidR="00AF3004" w:rsidRDefault="00B3499C">
      <w:pPr>
        <w:pStyle w:val="ANormal"/>
        <w:jc w:val="center"/>
      </w:pPr>
      <w:hyperlink w:anchor="_top" w:tooltip="Klicka för att gå till toppen av dokumentet" w:history="1">
        <w:r w:rsidR="00AF3004">
          <w:rPr>
            <w:rStyle w:val="Hyperlnk"/>
          </w:rPr>
          <w:t>__________________</w:t>
        </w:r>
      </w:hyperlink>
    </w:p>
    <w:p w14:paraId="626E2458" w14:textId="33E6A708" w:rsidR="00AF3004" w:rsidRDefault="00AF3004">
      <w:pPr>
        <w:pStyle w:val="ANormal"/>
      </w:pPr>
    </w:p>
    <w:p w14:paraId="32A29C9F" w14:textId="23930762" w:rsidR="003B4931" w:rsidRDefault="003B4931">
      <w:pPr>
        <w:pStyle w:val="ANormal"/>
      </w:pPr>
      <w:r>
        <w:tab/>
        <w:t>Denna lag träder i kraft den ….</w:t>
      </w:r>
    </w:p>
    <w:p w14:paraId="5A8F06CD" w14:textId="27AFAB34" w:rsidR="003B4931" w:rsidRDefault="003B4931">
      <w:pPr>
        <w:pStyle w:val="ANormal"/>
      </w:pPr>
      <w:r>
        <w:tab/>
        <w:t>Bestämmelserna i 29</w:t>
      </w:r>
      <w:r w:rsidR="004E3B75">
        <w:t> §</w:t>
      </w:r>
      <w:r>
        <w:t xml:space="preserve"> tillämpas från och med skatteåret 2030</w:t>
      </w:r>
      <w:r w:rsidR="00527BD6">
        <w:t xml:space="preserve"> </w:t>
      </w:r>
      <w:r>
        <w:t>och bestämmelserna i 29f</w:t>
      </w:r>
      <w:r w:rsidR="004E3B75">
        <w:t> §</w:t>
      </w:r>
      <w:r>
        <w:t xml:space="preserve"> 4–10</w:t>
      </w:r>
      <w:r w:rsidR="004E3B75">
        <w:t> punkt</w:t>
      </w:r>
      <w:r>
        <w:t>en tillämpas vid beskattningen för skatteåren 2023–2029. Vid den första redovisningen av samfundsskatt till kommunerna efter att lagen har trätt i kraft rättas de redovisningar som gäller skatteåret 2023 så att de motsvarar denna lag.</w:t>
      </w:r>
    </w:p>
    <w:p w14:paraId="36753E54"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A9B4BF3" w14:textId="77777777">
        <w:trPr>
          <w:cantSplit/>
        </w:trPr>
        <w:tc>
          <w:tcPr>
            <w:tcW w:w="7931" w:type="dxa"/>
            <w:gridSpan w:val="2"/>
          </w:tcPr>
          <w:p w14:paraId="4AE4E7BE" w14:textId="7C7BA728" w:rsidR="00AF3004" w:rsidRDefault="00AF3004">
            <w:pPr>
              <w:pStyle w:val="ANormal"/>
              <w:keepNext/>
            </w:pPr>
            <w:r>
              <w:t xml:space="preserve">Mariehamn </w:t>
            </w:r>
            <w:r w:rsidR="00DB46F7">
              <w:t>den 16 mars 2023</w:t>
            </w:r>
          </w:p>
        </w:tc>
      </w:tr>
      <w:tr w:rsidR="00AF3004" w14:paraId="53C67114" w14:textId="77777777">
        <w:tc>
          <w:tcPr>
            <w:tcW w:w="4454" w:type="dxa"/>
            <w:vAlign w:val="bottom"/>
          </w:tcPr>
          <w:p w14:paraId="42BD80A5" w14:textId="77777777" w:rsidR="00AF3004" w:rsidRDefault="00AF3004">
            <w:pPr>
              <w:pStyle w:val="ANormal"/>
              <w:keepNext/>
            </w:pPr>
          </w:p>
          <w:p w14:paraId="7AFD0BD6" w14:textId="77777777" w:rsidR="00AF3004" w:rsidRDefault="00AF3004">
            <w:pPr>
              <w:pStyle w:val="ANormal"/>
              <w:keepNext/>
            </w:pPr>
          </w:p>
          <w:p w14:paraId="58BBFF09" w14:textId="77777777" w:rsidR="00AF3004" w:rsidRDefault="00AF3004">
            <w:pPr>
              <w:pStyle w:val="ANormal"/>
              <w:keepNext/>
            </w:pPr>
            <w:r>
              <w:t>L a n t r å d</w:t>
            </w:r>
          </w:p>
        </w:tc>
        <w:tc>
          <w:tcPr>
            <w:tcW w:w="3477" w:type="dxa"/>
            <w:vAlign w:val="bottom"/>
          </w:tcPr>
          <w:p w14:paraId="3F33E47F" w14:textId="77777777" w:rsidR="00AF3004" w:rsidRDefault="00AF3004">
            <w:pPr>
              <w:pStyle w:val="ANormal"/>
              <w:keepNext/>
            </w:pPr>
          </w:p>
          <w:p w14:paraId="44D1A903" w14:textId="77777777" w:rsidR="00AF3004" w:rsidRDefault="00AF3004">
            <w:pPr>
              <w:pStyle w:val="ANormal"/>
              <w:keepNext/>
            </w:pPr>
          </w:p>
          <w:p w14:paraId="3A4DBFDE" w14:textId="6C7B47FA" w:rsidR="00AF3004" w:rsidRDefault="002A71FE">
            <w:pPr>
              <w:pStyle w:val="ANormal"/>
              <w:keepNext/>
            </w:pPr>
            <w:r>
              <w:t>Veronica Thörnroos</w:t>
            </w:r>
          </w:p>
        </w:tc>
      </w:tr>
      <w:tr w:rsidR="00AF3004" w14:paraId="1587203E" w14:textId="77777777">
        <w:tc>
          <w:tcPr>
            <w:tcW w:w="4454" w:type="dxa"/>
            <w:vAlign w:val="bottom"/>
          </w:tcPr>
          <w:p w14:paraId="7EECE667" w14:textId="77777777" w:rsidR="00AF3004" w:rsidRDefault="00AF3004">
            <w:pPr>
              <w:pStyle w:val="ANormal"/>
              <w:keepNext/>
            </w:pPr>
          </w:p>
          <w:p w14:paraId="614FEAF6" w14:textId="77777777" w:rsidR="00AF3004" w:rsidRDefault="00AF3004">
            <w:pPr>
              <w:pStyle w:val="ANormal"/>
              <w:keepNext/>
            </w:pPr>
          </w:p>
          <w:p w14:paraId="51F5CEC9" w14:textId="50166555" w:rsidR="00AF3004" w:rsidRDefault="00AF3004">
            <w:pPr>
              <w:pStyle w:val="ANormal"/>
              <w:keepNext/>
            </w:pPr>
            <w:r>
              <w:t xml:space="preserve">Föredragande </w:t>
            </w:r>
            <w:r w:rsidR="00DB46F7">
              <w:t>minister</w:t>
            </w:r>
          </w:p>
        </w:tc>
        <w:tc>
          <w:tcPr>
            <w:tcW w:w="3477" w:type="dxa"/>
            <w:vAlign w:val="bottom"/>
          </w:tcPr>
          <w:p w14:paraId="5E0AD2AE" w14:textId="77777777" w:rsidR="00AF3004" w:rsidRDefault="00AF3004">
            <w:pPr>
              <w:pStyle w:val="ANormal"/>
              <w:keepNext/>
            </w:pPr>
          </w:p>
          <w:p w14:paraId="604138FF" w14:textId="77777777" w:rsidR="00AF3004" w:rsidRDefault="00AF3004">
            <w:pPr>
              <w:pStyle w:val="ANormal"/>
              <w:keepNext/>
            </w:pPr>
          </w:p>
          <w:p w14:paraId="41347C08" w14:textId="42E1AF2C" w:rsidR="00AF3004" w:rsidRDefault="002A71FE">
            <w:pPr>
              <w:pStyle w:val="ANormal"/>
              <w:keepNext/>
            </w:pPr>
            <w:r>
              <w:t>Roger Höglund</w:t>
            </w:r>
          </w:p>
        </w:tc>
      </w:tr>
    </w:tbl>
    <w:p w14:paraId="7BEC9C1F" w14:textId="794F7113" w:rsidR="00AF3004" w:rsidRDefault="00AF3004">
      <w:pPr>
        <w:pStyle w:val="ANormal"/>
      </w:pPr>
    </w:p>
    <w:p w14:paraId="77B1D28C" w14:textId="146EC0EF" w:rsidR="001A15C9" w:rsidRDefault="001A15C9">
      <w:pPr>
        <w:pStyle w:val="ANormal"/>
      </w:pPr>
    </w:p>
    <w:p w14:paraId="77EC5EAC" w14:textId="41F8E21F" w:rsidR="001A15C9" w:rsidRDefault="001A15C9">
      <w:pPr>
        <w:rPr>
          <w:sz w:val="22"/>
          <w:szCs w:val="20"/>
          <w:lang w:val="sv-SE"/>
        </w:rPr>
      </w:pPr>
      <w:r>
        <w:br w:type="page"/>
      </w:r>
    </w:p>
    <w:p w14:paraId="0407A000" w14:textId="129CDD14" w:rsidR="001A15C9" w:rsidRDefault="001A15C9" w:rsidP="001A15C9">
      <w:pPr>
        <w:pStyle w:val="RubrikA"/>
      </w:pPr>
      <w:bookmarkStart w:id="27" w:name="_Toc129771258"/>
      <w:r>
        <w:lastRenderedPageBreak/>
        <w:t>Bilaga: FFS 1298/2022</w:t>
      </w:r>
      <w:bookmarkEnd w:id="27"/>
    </w:p>
    <w:p w14:paraId="26D9F48D" w14:textId="319FB8DD" w:rsidR="001A15C9" w:rsidRDefault="001A15C9" w:rsidP="001A15C9">
      <w:pPr>
        <w:pStyle w:val="Rubrikmellanrum"/>
      </w:pPr>
    </w:p>
    <w:p w14:paraId="5783D42B" w14:textId="77777777" w:rsidR="001A15C9" w:rsidRPr="001A15C9" w:rsidRDefault="001A15C9" w:rsidP="001A15C9">
      <w:pPr>
        <w:pStyle w:val="ANormal"/>
      </w:pPr>
    </w:p>
    <w:p w14:paraId="3137AE26" w14:textId="3D259E72" w:rsidR="001A15C9" w:rsidRDefault="001A15C9" w:rsidP="001A15C9">
      <w:pPr>
        <w:pStyle w:val="LagHuvRubr"/>
        <w:rPr>
          <w:lang w:val="en-GB"/>
        </w:rPr>
      </w:pPr>
      <w:bookmarkStart w:id="28" w:name="_Toc129771259"/>
      <w:r>
        <w:rPr>
          <w:lang w:val="en-GB"/>
        </w:rPr>
        <w:t>Lag</w:t>
      </w:r>
      <w:r>
        <w:rPr>
          <w:lang w:val="en-GB"/>
        </w:rPr>
        <w:br/>
        <w:t>om tilläggsavdrag baserade på utgifter för forsknings- och utvecklingsverksamhet I beskattningen</w:t>
      </w:r>
      <w:bookmarkEnd w:id="28"/>
    </w:p>
    <w:p w14:paraId="4020BD86" w14:textId="77777777" w:rsidR="001A15C9" w:rsidRDefault="001A15C9" w:rsidP="001A15C9">
      <w:pPr>
        <w:pStyle w:val="ANormal"/>
        <w:rPr>
          <w:lang w:val="en-GB"/>
        </w:rPr>
      </w:pPr>
    </w:p>
    <w:p w14:paraId="43138FBA" w14:textId="06777699" w:rsidR="001A15C9" w:rsidRDefault="001A15C9" w:rsidP="001A15C9">
      <w:pPr>
        <w:pStyle w:val="ANormal"/>
      </w:pPr>
      <w:r>
        <w:tab/>
        <w:t>I enlighet med riksdagens beslut föreskrivs:</w:t>
      </w:r>
    </w:p>
    <w:p w14:paraId="300D8129" w14:textId="1120BC00" w:rsidR="001A15C9" w:rsidRDefault="001A15C9" w:rsidP="001A15C9">
      <w:pPr>
        <w:pStyle w:val="ANormal"/>
      </w:pPr>
    </w:p>
    <w:p w14:paraId="5291C627" w14:textId="48C39A8D" w:rsidR="001A15C9" w:rsidRDefault="001A15C9" w:rsidP="001A15C9">
      <w:pPr>
        <w:pStyle w:val="LagParagraf"/>
      </w:pPr>
      <w:r>
        <w:t>1</w:t>
      </w:r>
      <w:r w:rsidR="004E3B75">
        <w:t> §</w:t>
      </w:r>
    </w:p>
    <w:p w14:paraId="3D6BA57A" w14:textId="77777777" w:rsidR="001A15C9" w:rsidRDefault="001A15C9" w:rsidP="001A15C9">
      <w:pPr>
        <w:pStyle w:val="LagPararubrik"/>
      </w:pPr>
      <w:r>
        <w:t>Tillämpningsområde</w:t>
      </w:r>
    </w:p>
    <w:p w14:paraId="27B02845" w14:textId="549E37D4" w:rsidR="001A15C9" w:rsidRDefault="001A15C9" w:rsidP="001A15C9">
      <w:pPr>
        <w:pStyle w:val="ANormal"/>
      </w:pPr>
      <w:r>
        <w:tab/>
        <w:t>Denna lag innehåller bestämmelser om rätten för näringsidkare och dem som bedriver jordbruk att från sin beskattningsbara inkomst av näringsverksamhet eller jordbruk göra ett allmänt tilläggsavdrag som baserar sig på beloppet av löneutgifter för forsknings- och utvecklingsverksamhet och utgifter för köpta tjänster inom forsknings- och utvecklingsverksamhet samt ett extra tilläggsavdrag som baserar sig på en ökning av beloppet av sådana utgifter.</w:t>
      </w:r>
    </w:p>
    <w:p w14:paraId="549D3AF5" w14:textId="7DFDC7E9" w:rsidR="001A15C9" w:rsidRDefault="001A15C9" w:rsidP="001A15C9">
      <w:pPr>
        <w:pStyle w:val="ANormal"/>
      </w:pPr>
      <w:r>
        <w:tab/>
        <w:t>Rätt till tilläggsavdrag har en skattskyldig som bedriver forsknings- och utvecklingsverksamhet som hänför sig till den egna näringsverksamheten eller det egna jordbruket. Också den som i Finland är begränsat skattskyldig har rätt till tilläggsavdrag på basis av forsknings- och utvecklingsverksamhet som bedrivs vid ett fast driftställe i Finland.</w:t>
      </w:r>
    </w:p>
    <w:p w14:paraId="56BA7764" w14:textId="77777777" w:rsidR="001A15C9" w:rsidRDefault="001A15C9" w:rsidP="001A15C9">
      <w:pPr>
        <w:pStyle w:val="ANormal"/>
      </w:pPr>
    </w:p>
    <w:p w14:paraId="2EEB9D00" w14:textId="70B5FE94" w:rsidR="001A15C9" w:rsidRDefault="001A15C9" w:rsidP="001A15C9">
      <w:pPr>
        <w:pStyle w:val="LagParagraf"/>
      </w:pPr>
      <w:r>
        <w:t>2</w:t>
      </w:r>
      <w:r w:rsidR="004E3B75">
        <w:t> §</w:t>
      </w:r>
    </w:p>
    <w:p w14:paraId="1FF2D43B" w14:textId="77777777" w:rsidR="001A15C9" w:rsidRDefault="001A15C9" w:rsidP="001A15C9">
      <w:pPr>
        <w:pStyle w:val="LagPararubrik"/>
      </w:pPr>
      <w:r>
        <w:t>Definitioner</w:t>
      </w:r>
    </w:p>
    <w:p w14:paraId="41C49CFF" w14:textId="4A832805" w:rsidR="001A15C9" w:rsidRDefault="001A15C9" w:rsidP="001A15C9">
      <w:pPr>
        <w:pStyle w:val="ANormal"/>
      </w:pPr>
      <w:r>
        <w:tab/>
        <w:t>I denna lag avses med</w:t>
      </w:r>
    </w:p>
    <w:p w14:paraId="50BFF445" w14:textId="715E2446" w:rsidR="001A15C9" w:rsidRDefault="001A15C9" w:rsidP="001A15C9">
      <w:pPr>
        <w:pStyle w:val="ANormal"/>
      </w:pPr>
      <w:r>
        <w:tab/>
        <w:t xml:space="preserve">l) </w:t>
      </w:r>
      <w:r w:rsidRPr="001A15C9">
        <w:rPr>
          <w:i/>
          <w:iCs/>
        </w:rPr>
        <w:t>forsknings- och utvecklingsverksamhet</w:t>
      </w:r>
      <w:r>
        <w:t xml:space="preserve"> sådan kreativ och systematisk verksamhet för att öka fonden av vetande eller att utnyttja detta vetande för att hitta nya tillämpningar där kriteriet är att verksamheten strävar efter något väsentligt nytt,</w:t>
      </w:r>
    </w:p>
    <w:p w14:paraId="1A6C6A31" w14:textId="097AEF1B" w:rsidR="001A15C9" w:rsidRDefault="001A15C9" w:rsidP="001A15C9">
      <w:pPr>
        <w:pStyle w:val="ANormal"/>
      </w:pPr>
      <w:r>
        <w:tab/>
        <w:t xml:space="preserve">2) </w:t>
      </w:r>
      <w:r w:rsidRPr="001A15C9">
        <w:rPr>
          <w:i/>
          <w:iCs/>
        </w:rPr>
        <w:t>lön</w:t>
      </w:r>
      <w:r>
        <w:t xml:space="preserve"> </w:t>
      </w:r>
      <w:proofErr w:type="spellStart"/>
      <w:r>
        <w:t>lön</w:t>
      </w:r>
      <w:proofErr w:type="spellEnd"/>
      <w:r>
        <w:t xml:space="preserve"> som betalas till anställda som utför forsknings- och utvecklingsarbete direkt på grund av detta arbete och som avses i 13</w:t>
      </w:r>
      <w:r w:rsidR="004E3B75">
        <w:t> §</w:t>
      </w:r>
      <w:r>
        <w:t xml:space="preserve"> i lagen om förskottsuppbörd (1118/1996) och 1</w:t>
      </w:r>
      <w:r w:rsidR="004E3B75">
        <w:t> §</w:t>
      </w:r>
      <w:r>
        <w:t xml:space="preserve"> i lagen om källskatt för löntagare från utlandet (1551/1995); dock inte sådana förmåner som avses i 66–68</w:t>
      </w:r>
      <w:r w:rsidR="004E3B75">
        <w:t> §</w:t>
      </w:r>
      <w:r>
        <w:t xml:space="preserve"> i inkomstskattelagen (1535/1992),</w:t>
      </w:r>
    </w:p>
    <w:p w14:paraId="0FB83E3B" w14:textId="54759F9F" w:rsidR="001A15C9" w:rsidRDefault="001A15C9" w:rsidP="001A15C9">
      <w:pPr>
        <w:pStyle w:val="ANormal"/>
      </w:pPr>
      <w:r>
        <w:tab/>
        <w:t xml:space="preserve">3) </w:t>
      </w:r>
      <w:r w:rsidRPr="001A15C9">
        <w:rPr>
          <w:i/>
          <w:iCs/>
        </w:rPr>
        <w:t>köpt tjänst inom forsknings- och utvecklingsverksamhet</w:t>
      </w:r>
      <w:r>
        <w:t xml:space="preserve"> en tjänst som i syfte att bedriva sådan forsknings- och utvecklingsverksamhet som hänför sig till den skattskyldiges egen verksamhet anskaffats från en utomstående aktör och producerats av utomstående personal.</w:t>
      </w:r>
    </w:p>
    <w:p w14:paraId="3F797E8A" w14:textId="77777777" w:rsidR="001A15C9" w:rsidRDefault="001A15C9" w:rsidP="001A15C9">
      <w:pPr>
        <w:pStyle w:val="ANormal"/>
      </w:pPr>
    </w:p>
    <w:p w14:paraId="2A381F4C" w14:textId="6F4985AA" w:rsidR="001A15C9" w:rsidRDefault="001A15C9" w:rsidP="00E46FE2">
      <w:pPr>
        <w:pStyle w:val="LagParagraf"/>
      </w:pPr>
      <w:r>
        <w:t>3</w:t>
      </w:r>
      <w:r w:rsidR="004E3B75">
        <w:t> §</w:t>
      </w:r>
    </w:p>
    <w:p w14:paraId="4615737C" w14:textId="77777777" w:rsidR="001A15C9" w:rsidRDefault="001A15C9" w:rsidP="00E46FE2">
      <w:pPr>
        <w:pStyle w:val="LagPararubrik"/>
      </w:pPr>
      <w:r>
        <w:t>Grund för allmänt och extra tilläggsavdrag</w:t>
      </w:r>
    </w:p>
    <w:p w14:paraId="1DA71CA8" w14:textId="14AC04BF" w:rsidR="001A15C9" w:rsidRDefault="00E46FE2" w:rsidP="001A15C9">
      <w:pPr>
        <w:pStyle w:val="ANormal"/>
      </w:pPr>
      <w:r>
        <w:tab/>
      </w:r>
      <w:r w:rsidR="001A15C9">
        <w:t>Allmänt tilläggsavdrag beräknas utifrån det sammanlagda beloppet av utgifterna för de</w:t>
      </w:r>
      <w:r>
        <w:t xml:space="preserve"> </w:t>
      </w:r>
      <w:r w:rsidR="001A15C9">
        <w:t>löner och köpta tjänster inom forsknings- och utvecklingsverksamhet som avser forsknings- och utvecklingsverksamhet som hänför sig till den skattskyldiges egen näringsverksamhet eller den skattskyldiges eget jordbruk.</w:t>
      </w:r>
    </w:p>
    <w:p w14:paraId="442549B9" w14:textId="70AE344B" w:rsidR="001A15C9" w:rsidRDefault="00E46FE2" w:rsidP="001A15C9">
      <w:pPr>
        <w:pStyle w:val="ANormal"/>
      </w:pPr>
      <w:r>
        <w:tab/>
      </w:r>
      <w:r w:rsidR="001A15C9">
        <w:t>Vid beräkningen av grunden för allmänt tilläggsavdrag för en näringsidkare beaktas under skatteåret sådana i 8</w:t>
      </w:r>
      <w:r w:rsidR="004E3B75">
        <w:t> §</w:t>
      </w:r>
      <w:r w:rsidR="001A15C9">
        <w:t xml:space="preserve"> 1</w:t>
      </w:r>
      <w:r w:rsidR="004E3B75">
        <w:t> mom.</w:t>
      </w:r>
      <w:r w:rsidR="001A15C9">
        <w:t xml:space="preserve"> 4</w:t>
      </w:r>
      <w:r w:rsidR="004E3B75">
        <w:t> punkt</w:t>
      </w:r>
      <w:r w:rsidR="001A15C9">
        <w:t>en i lagen om beskattning av inkomst av näringsverksamhet (360/1968) avsedda löner och sådana utgifter för köpta tjänster inom</w:t>
      </w:r>
      <w:r>
        <w:t xml:space="preserve"> </w:t>
      </w:r>
      <w:r w:rsidR="001A15C9">
        <w:t>forsknings- och utvecklingsverksamhet i fråga om vilka betalningsskyldigheten i enlighet</w:t>
      </w:r>
      <w:r>
        <w:t xml:space="preserve"> </w:t>
      </w:r>
      <w:r w:rsidR="001A15C9">
        <w:t>med 22</w:t>
      </w:r>
      <w:r w:rsidR="004E3B75">
        <w:t> §</w:t>
      </w:r>
      <w:r w:rsidR="001A15C9">
        <w:t xml:space="preserve"> 1</w:t>
      </w:r>
      <w:r w:rsidR="004E3B75">
        <w:t> mom.</w:t>
      </w:r>
      <w:r w:rsidR="001A15C9">
        <w:t xml:space="preserve"> i den lagen uppstått under skatteåret i fråga.</w:t>
      </w:r>
    </w:p>
    <w:p w14:paraId="41528916" w14:textId="6B815D67" w:rsidR="001A15C9" w:rsidRDefault="00E46FE2" w:rsidP="001A15C9">
      <w:pPr>
        <w:pStyle w:val="ANormal"/>
      </w:pPr>
      <w:r>
        <w:tab/>
      </w:r>
      <w:r w:rsidR="001A15C9">
        <w:t>Vid beräkningen av grunden för allmänt tilläggsavdrag för den som bedriver jordbruk</w:t>
      </w:r>
      <w:r>
        <w:t xml:space="preserve"> </w:t>
      </w:r>
      <w:r w:rsidR="001A15C9">
        <w:t>beaktas under skatteåret sådana i 6</w:t>
      </w:r>
      <w:r w:rsidR="004E3B75">
        <w:t> §</w:t>
      </w:r>
      <w:r w:rsidR="001A15C9">
        <w:t xml:space="preserve"> 1</w:t>
      </w:r>
      <w:r w:rsidR="004E3B75">
        <w:t> mom.</w:t>
      </w:r>
      <w:r w:rsidR="001A15C9">
        <w:t xml:space="preserve"> 1</w:t>
      </w:r>
      <w:r w:rsidR="004E3B75">
        <w:t> punkt</w:t>
      </w:r>
      <w:r w:rsidR="001A15C9">
        <w:t>en i inkomstskattelagen för gårdsbruk</w:t>
      </w:r>
      <w:r>
        <w:t xml:space="preserve"> </w:t>
      </w:r>
      <w:r w:rsidR="001A15C9">
        <w:t xml:space="preserve">(543/1967) avsedda löner och sådana </w:t>
      </w:r>
      <w:r w:rsidR="001A15C9">
        <w:lastRenderedPageBreak/>
        <w:t>utgifter för köpta tjänster inom forsknings- och utvecklingsverksamhet som betalats under skatteåret.</w:t>
      </w:r>
    </w:p>
    <w:p w14:paraId="211B0F96" w14:textId="1F22F345" w:rsidR="001A15C9" w:rsidRDefault="00E46FE2" w:rsidP="001A15C9">
      <w:pPr>
        <w:pStyle w:val="ANormal"/>
      </w:pPr>
      <w:r>
        <w:tab/>
      </w:r>
      <w:r w:rsidR="001A15C9">
        <w:t>Extra tilläggsavdrag beräknas på grundval av en faktisk ökning av det sammanlagda beloppet av alla de utgifter för löner och köpta tjänster inom forsknings- och utvecklingsverksamhet som avses i 1</w:t>
      </w:r>
      <w:r w:rsidR="004E3B75">
        <w:t> mom.</w:t>
      </w:r>
      <w:r w:rsidR="001A15C9">
        <w:t xml:space="preserve"> I beloppet av de utgifter som ligger till grund för det extra</w:t>
      </w:r>
      <w:r>
        <w:t xml:space="preserve"> </w:t>
      </w:r>
      <w:r w:rsidR="001A15C9">
        <w:t>tilläggsavdraget har det skett en faktisk ökning, om den skattskyldiges alla utgifter som</w:t>
      </w:r>
      <w:r>
        <w:t xml:space="preserve"> </w:t>
      </w:r>
      <w:r w:rsidR="001A15C9">
        <w:t>ligger till grund för det allmänna tilläggsavdraget är större för skatteåret än motsvarande</w:t>
      </w:r>
      <w:r>
        <w:t xml:space="preserve"> </w:t>
      </w:r>
      <w:r w:rsidR="001A15C9">
        <w:t>utgifter för det föregående skatteåret.</w:t>
      </w:r>
    </w:p>
    <w:p w14:paraId="42E0ED90" w14:textId="77777777" w:rsidR="00E46FE2" w:rsidRDefault="00E46FE2" w:rsidP="001A15C9">
      <w:pPr>
        <w:pStyle w:val="ANormal"/>
      </w:pPr>
    </w:p>
    <w:p w14:paraId="2631BCD8" w14:textId="734D0391" w:rsidR="001A15C9" w:rsidRDefault="001A15C9" w:rsidP="00E46FE2">
      <w:pPr>
        <w:pStyle w:val="LagParagraf"/>
      </w:pPr>
      <w:r>
        <w:t>4</w:t>
      </w:r>
      <w:r w:rsidR="004E3B75">
        <w:t> §</w:t>
      </w:r>
    </w:p>
    <w:p w14:paraId="5D266BA8" w14:textId="77777777" w:rsidR="001A15C9" w:rsidRDefault="001A15C9" w:rsidP="00E46FE2">
      <w:pPr>
        <w:pStyle w:val="LagPararubrik"/>
      </w:pPr>
      <w:r>
        <w:t>Beloppet av allmänt tilläggsavdrag</w:t>
      </w:r>
    </w:p>
    <w:p w14:paraId="25FCE6EC" w14:textId="6E6BE9C8" w:rsidR="001A15C9" w:rsidRDefault="00E46FE2" w:rsidP="001A15C9">
      <w:pPr>
        <w:pStyle w:val="ANormal"/>
      </w:pPr>
      <w:r>
        <w:tab/>
      </w:r>
      <w:r w:rsidR="001A15C9">
        <w:t>Beloppet av allmänt tilläggsavdrag är 50 procent av det i 3</w:t>
      </w:r>
      <w:r w:rsidR="004E3B75">
        <w:t> §</w:t>
      </w:r>
      <w:r w:rsidR="001A15C9">
        <w:t xml:space="preserve"> 1</w:t>
      </w:r>
      <w:r w:rsidR="004E3B75">
        <w:t> mom.</w:t>
      </w:r>
      <w:r w:rsidR="001A15C9">
        <w:t xml:space="preserve"> avsedda sammanlagda beloppet av löneutgifterna för forsknings- och utvecklingsverksamheten och utgifterna för de köpta tjänsterna inom forsknings- och utvecklingsverksamheten.</w:t>
      </w:r>
    </w:p>
    <w:p w14:paraId="7233ABDF" w14:textId="1E5B68C1" w:rsidR="001A15C9" w:rsidRDefault="00E46FE2" w:rsidP="001A15C9">
      <w:pPr>
        <w:pStyle w:val="ANormal"/>
      </w:pPr>
      <w:r>
        <w:tab/>
      </w:r>
      <w:r w:rsidR="001A15C9">
        <w:t>Maximibeloppet av allmänt tilläggsavdrag under skatteåret är 500</w:t>
      </w:r>
      <w:r w:rsidR="006C20E4">
        <w:t> </w:t>
      </w:r>
      <w:r w:rsidR="001A15C9">
        <w:t>000 euro.</w:t>
      </w:r>
    </w:p>
    <w:p w14:paraId="40AD53DF" w14:textId="134E7C2A" w:rsidR="001A15C9" w:rsidRDefault="00E46FE2" w:rsidP="001A15C9">
      <w:pPr>
        <w:pStyle w:val="ANormal"/>
      </w:pPr>
      <w:r>
        <w:tab/>
      </w:r>
      <w:r w:rsidR="001A15C9">
        <w:t>Allmänt tilläggsavdrag beviljas inte, om det avdragbara beloppet under skatteåret är</w:t>
      </w:r>
      <w:r>
        <w:t xml:space="preserve"> </w:t>
      </w:r>
      <w:r w:rsidR="001A15C9">
        <w:t>mindre än 5</w:t>
      </w:r>
      <w:r w:rsidR="006C20E4">
        <w:t> </w:t>
      </w:r>
      <w:r w:rsidR="001A15C9">
        <w:t>000 euro.</w:t>
      </w:r>
    </w:p>
    <w:p w14:paraId="7B954F59" w14:textId="77777777" w:rsidR="00E46FE2" w:rsidRDefault="00E46FE2" w:rsidP="001A15C9">
      <w:pPr>
        <w:pStyle w:val="ANormal"/>
      </w:pPr>
    </w:p>
    <w:p w14:paraId="547759CB" w14:textId="00EBD693" w:rsidR="001A15C9" w:rsidRDefault="001A15C9" w:rsidP="00E46FE2">
      <w:pPr>
        <w:pStyle w:val="LagParagraf"/>
      </w:pPr>
      <w:r>
        <w:t>5</w:t>
      </w:r>
      <w:r w:rsidR="004E3B75">
        <w:t> §</w:t>
      </w:r>
    </w:p>
    <w:p w14:paraId="01BC9B0A" w14:textId="77777777" w:rsidR="001A15C9" w:rsidRDefault="001A15C9" w:rsidP="00E46FE2">
      <w:pPr>
        <w:pStyle w:val="LagPararubrik"/>
      </w:pPr>
      <w:r>
        <w:t>Beloppet av extra tilläggsavdrag</w:t>
      </w:r>
    </w:p>
    <w:p w14:paraId="3D0D68C0" w14:textId="0D1FAC47" w:rsidR="001A15C9" w:rsidRDefault="00E46FE2" w:rsidP="001A15C9">
      <w:pPr>
        <w:pStyle w:val="ANormal"/>
      </w:pPr>
      <w:r>
        <w:tab/>
      </w:r>
      <w:r w:rsidR="001A15C9">
        <w:t>Beloppet av extra tilläggsavdrag är 45 procent av det i 3</w:t>
      </w:r>
      <w:r w:rsidR="004E3B75">
        <w:t> §</w:t>
      </w:r>
      <w:r w:rsidR="001A15C9">
        <w:t xml:space="preserve"> 4</w:t>
      </w:r>
      <w:r w:rsidR="004E3B75">
        <w:t> mom.</w:t>
      </w:r>
      <w:r w:rsidR="001A15C9">
        <w:t xml:space="preserve"> avsedda beloppet av</w:t>
      </w:r>
      <w:r>
        <w:t xml:space="preserve"> </w:t>
      </w:r>
      <w:r w:rsidR="001A15C9">
        <w:t>den faktiska ökningen av löneutgifterna för forsknings- och utvecklingsverksamheten och</w:t>
      </w:r>
      <w:r>
        <w:t xml:space="preserve"> </w:t>
      </w:r>
      <w:r w:rsidR="001A15C9">
        <w:t>utgifterna för de köpta tjänsterna inom forsknings- och utvecklingsverksamheten.</w:t>
      </w:r>
    </w:p>
    <w:p w14:paraId="467861AB" w14:textId="62810DDC" w:rsidR="001A15C9" w:rsidRDefault="009C3CC4" w:rsidP="001A15C9">
      <w:pPr>
        <w:pStyle w:val="ANormal"/>
      </w:pPr>
      <w:r>
        <w:tab/>
      </w:r>
      <w:r w:rsidR="001A15C9">
        <w:t>Maximibeloppet av extra tilläggsavdrag under skatteåret är 500</w:t>
      </w:r>
      <w:r w:rsidR="006C20E4">
        <w:t> </w:t>
      </w:r>
      <w:r w:rsidR="001A15C9">
        <w:t>000 euro.</w:t>
      </w:r>
    </w:p>
    <w:p w14:paraId="5D6458AA" w14:textId="77777777" w:rsidR="009C3CC4" w:rsidRDefault="009C3CC4" w:rsidP="001A15C9">
      <w:pPr>
        <w:pStyle w:val="ANormal"/>
      </w:pPr>
    </w:p>
    <w:p w14:paraId="1347C7BF" w14:textId="71E83302" w:rsidR="001A15C9" w:rsidRDefault="001A15C9" w:rsidP="009C3CC4">
      <w:pPr>
        <w:pStyle w:val="LagParagraf"/>
      </w:pPr>
      <w:r>
        <w:t>6</w:t>
      </w:r>
      <w:r w:rsidR="004E3B75">
        <w:t> §</w:t>
      </w:r>
    </w:p>
    <w:p w14:paraId="43C6B012" w14:textId="77777777" w:rsidR="001A15C9" w:rsidRDefault="001A15C9" w:rsidP="009C3CC4">
      <w:pPr>
        <w:pStyle w:val="LagPararubrik"/>
      </w:pPr>
      <w:r>
        <w:t>Särskilda bestämmelser</w:t>
      </w:r>
    </w:p>
    <w:p w14:paraId="6EFA1A30" w14:textId="002713F1" w:rsidR="001A15C9" w:rsidRDefault="009C3CC4" w:rsidP="001A15C9">
      <w:pPr>
        <w:pStyle w:val="ANormal"/>
      </w:pPr>
      <w:r>
        <w:tab/>
      </w:r>
      <w:r w:rsidR="001A15C9">
        <w:t>Tilläggsavdrag får inte göras till den del som den skattskyldige har fått direkt statligt</w:t>
      </w:r>
      <w:r>
        <w:t xml:space="preserve"> </w:t>
      </w:r>
      <w:r w:rsidR="001A15C9">
        <w:t>stöd eller något annat offentligt stöd för de utgifter som annars skulle godtas som grund</w:t>
      </w:r>
      <w:r>
        <w:t xml:space="preserve"> </w:t>
      </w:r>
      <w:r w:rsidR="001A15C9">
        <w:t>för tilläggsavdragen.</w:t>
      </w:r>
    </w:p>
    <w:p w14:paraId="1A74C8D1" w14:textId="1308D9F2" w:rsidR="001A15C9" w:rsidRDefault="009C3CC4" w:rsidP="001A15C9">
      <w:pPr>
        <w:pStyle w:val="ANormal"/>
      </w:pPr>
      <w:r>
        <w:tab/>
      </w:r>
      <w:r w:rsidR="001A15C9">
        <w:t>Allmänt tilläggsavdrag får inte göras på basis av utgifter för köpta tjänster inom forsknings- och utvecklingsverksamhet till den del som tilläggsavdrag har begärts för samma</w:t>
      </w:r>
      <w:r>
        <w:t xml:space="preserve"> </w:t>
      </w:r>
      <w:r w:rsidR="001A15C9">
        <w:t>utgifter med stöd av lagen om ett tilläggsavdrag för forsknings- och utvecklingsverksamhet under skatteåren 2021–2027 (1078/2020).</w:t>
      </w:r>
    </w:p>
    <w:p w14:paraId="0D48B220" w14:textId="559DC293" w:rsidR="001A15C9" w:rsidRDefault="009C3CC4" w:rsidP="001A15C9">
      <w:pPr>
        <w:pStyle w:val="ANormal"/>
      </w:pPr>
      <w:r>
        <w:tab/>
      </w:r>
      <w:r w:rsidR="001A15C9">
        <w:t>Tilläggsavdrag får inte göras på sådant koncernbidrag som anses som inkomst av näringsverksamhet och som avses i lagen om koncernbidrag vid beskattningen (825/1986).</w:t>
      </w:r>
    </w:p>
    <w:p w14:paraId="38E631F1" w14:textId="6FDC92A3" w:rsidR="001A15C9" w:rsidRDefault="009C3CC4" w:rsidP="001A15C9">
      <w:pPr>
        <w:pStyle w:val="ANormal"/>
      </w:pPr>
      <w:r>
        <w:tab/>
      </w:r>
      <w:r w:rsidR="001A15C9">
        <w:t>Med avvikelse från 119</w:t>
      </w:r>
      <w:r w:rsidR="004E3B75">
        <w:t> §</w:t>
      </w:r>
      <w:r w:rsidR="001A15C9">
        <w:t xml:space="preserve"> 2</w:t>
      </w:r>
      <w:r w:rsidR="004E3B75">
        <w:t> mom.</w:t>
      </w:r>
      <w:r w:rsidR="001A15C9">
        <w:t xml:space="preserve"> i inkomstskattelagen räknas tilläggsavdragen in i näringsverksamhetens eller jordbrukets förlustresultat.</w:t>
      </w:r>
    </w:p>
    <w:p w14:paraId="404F4EFE" w14:textId="77777777" w:rsidR="009C3CC4" w:rsidRDefault="009C3CC4" w:rsidP="001A15C9">
      <w:pPr>
        <w:pStyle w:val="ANormal"/>
      </w:pPr>
    </w:p>
    <w:p w14:paraId="5D2B7869" w14:textId="09FE61DC" w:rsidR="001A15C9" w:rsidRDefault="001A15C9" w:rsidP="009C3CC4">
      <w:pPr>
        <w:pStyle w:val="LagParagraf"/>
      </w:pPr>
      <w:r>
        <w:t>7</w:t>
      </w:r>
      <w:r w:rsidR="004E3B75">
        <w:t> §</w:t>
      </w:r>
    </w:p>
    <w:p w14:paraId="67B73ACB" w14:textId="77777777" w:rsidR="001A15C9" w:rsidRDefault="001A15C9" w:rsidP="009C3CC4">
      <w:pPr>
        <w:pStyle w:val="LagPararubrik"/>
      </w:pPr>
      <w:r>
        <w:t>Tilläggsavdrag för forsknings- och utvecklingsverksamhet som överförs vid</w:t>
      </w:r>
    </w:p>
    <w:p w14:paraId="7B57781A" w14:textId="77777777" w:rsidR="001A15C9" w:rsidRDefault="001A15C9" w:rsidP="009C3CC4">
      <w:pPr>
        <w:pStyle w:val="LagPararubrik"/>
      </w:pPr>
      <w:r>
        <w:t>företagsomstrukturering</w:t>
      </w:r>
    </w:p>
    <w:p w14:paraId="4B511988" w14:textId="1E362DA9" w:rsidR="001A15C9" w:rsidRDefault="009C3CC4" w:rsidP="001A15C9">
      <w:pPr>
        <w:pStyle w:val="ANormal"/>
      </w:pPr>
      <w:r>
        <w:tab/>
      </w:r>
      <w:r w:rsidR="001A15C9">
        <w:t>I samband med en fusion enligt 52</w:t>
      </w:r>
      <w:r w:rsidR="006C20E4">
        <w:t> </w:t>
      </w:r>
      <w:r w:rsidR="001A15C9">
        <w:t>a</w:t>
      </w:r>
      <w:r w:rsidR="004E3B75">
        <w:t> §</w:t>
      </w:r>
      <w:r w:rsidR="001A15C9">
        <w:t xml:space="preserve"> i lagen om beskattning av inkomst av näringsverksamhet avdras vid det övertagande bolagets beskattning, på basis av löner och köpta</w:t>
      </w:r>
      <w:r>
        <w:t xml:space="preserve"> </w:t>
      </w:r>
      <w:r w:rsidR="001A15C9">
        <w:t>tjänster för sådan forsknings- och utvecklingsverksamhet som överförts vid fusionen,</w:t>
      </w:r>
      <w:r>
        <w:t xml:space="preserve"> </w:t>
      </w:r>
      <w:r w:rsidR="001A15C9">
        <w:t>högst de belopp som föreskrivs i 4 och 5</w:t>
      </w:r>
      <w:r w:rsidR="004E3B75">
        <w:t> §</w:t>
      </w:r>
      <w:r w:rsidR="001A15C9">
        <w:t xml:space="preserve"> i denna lag med avdrag för de belopp som dragits av vid det överlåtande bolagets beskattning under skatteåret.</w:t>
      </w:r>
    </w:p>
    <w:p w14:paraId="014D484F" w14:textId="6EA9A422" w:rsidR="001A15C9" w:rsidRDefault="009C3CC4" w:rsidP="001A15C9">
      <w:pPr>
        <w:pStyle w:val="ANormal"/>
      </w:pPr>
      <w:r>
        <w:tab/>
      </w:r>
      <w:r w:rsidR="001A15C9">
        <w:t>Vad som i 1</w:t>
      </w:r>
      <w:r w:rsidR="004E3B75">
        <w:t> mom.</w:t>
      </w:r>
      <w:r w:rsidR="001A15C9">
        <w:t xml:space="preserve"> föreskrivs om fusion tillämpas också i samband med fission som avses i 52</w:t>
      </w:r>
      <w:r w:rsidR="006C20E4">
        <w:t> </w:t>
      </w:r>
      <w:r w:rsidR="001A15C9">
        <w:t>c</w:t>
      </w:r>
      <w:r w:rsidR="004E3B75">
        <w:t> §</w:t>
      </w:r>
      <w:r w:rsidR="001A15C9">
        <w:t xml:space="preserve"> i lagen om beskattning av inkomst av näringsverksamhet och verksamhetsöverlåtelse som avses i 52</w:t>
      </w:r>
      <w:r w:rsidR="006C20E4">
        <w:t> </w:t>
      </w:r>
      <w:r w:rsidR="001A15C9">
        <w:t>d</w:t>
      </w:r>
      <w:r w:rsidR="004E3B75">
        <w:t> §</w:t>
      </w:r>
      <w:r w:rsidR="001A15C9">
        <w:t xml:space="preserve"> i den lagen samt i </w:t>
      </w:r>
      <w:r w:rsidR="001A15C9">
        <w:lastRenderedPageBreak/>
        <w:t>samband med beskattningen av det förvärvande bolaget i samband med förvärv av affärsverksamhet.</w:t>
      </w:r>
    </w:p>
    <w:p w14:paraId="3F4B13A4" w14:textId="77777777" w:rsidR="009C3CC4" w:rsidRDefault="009C3CC4" w:rsidP="001A15C9">
      <w:pPr>
        <w:pStyle w:val="ANormal"/>
      </w:pPr>
    </w:p>
    <w:p w14:paraId="0CDBA045" w14:textId="59D563EF" w:rsidR="001A15C9" w:rsidRDefault="001A15C9" w:rsidP="009C3CC4">
      <w:pPr>
        <w:pStyle w:val="LagParagraf"/>
      </w:pPr>
      <w:r>
        <w:t>8</w:t>
      </w:r>
      <w:r w:rsidR="004E3B75">
        <w:t> §</w:t>
      </w:r>
    </w:p>
    <w:p w14:paraId="60A038EE" w14:textId="77777777" w:rsidR="001A15C9" w:rsidRDefault="001A15C9" w:rsidP="009C3CC4">
      <w:pPr>
        <w:pStyle w:val="LagPararubrik"/>
      </w:pPr>
      <w:r>
        <w:t>Förfarande</w:t>
      </w:r>
    </w:p>
    <w:p w14:paraId="078EDD88" w14:textId="05CD2E69" w:rsidR="001A15C9" w:rsidRDefault="009C3CC4" w:rsidP="001A15C9">
      <w:pPr>
        <w:pStyle w:val="ANormal"/>
      </w:pPr>
      <w:r>
        <w:tab/>
      </w:r>
      <w:r w:rsidR="001A15C9">
        <w:t>Tilläggsavdrag ska begäras innan beskattningen har slutförts. Den skattskyldige ska ge</w:t>
      </w:r>
      <w:r>
        <w:t xml:space="preserve"> </w:t>
      </w:r>
      <w:r w:rsidR="001A15C9">
        <w:t>en tillräcklig redogörelse för att villkoren för beviljande av tilläggsavdragen är uppfyllda</w:t>
      </w:r>
      <w:r>
        <w:t xml:space="preserve"> </w:t>
      </w:r>
      <w:r w:rsidR="001A15C9">
        <w:t>och för de löneutgifter och utgifter för köpta tjänster inom forsknings- och utvecklingsverksamhet som används som grund för beräkning av tilläggsavdragen. Skatteförvaltningen meddelar närmare föreskrifter om de uppgifter som behövs för redogörelsen.</w:t>
      </w:r>
    </w:p>
    <w:p w14:paraId="0ED56035" w14:textId="093E4836" w:rsidR="001A15C9" w:rsidRDefault="009C3CC4" w:rsidP="001A15C9">
      <w:pPr>
        <w:pStyle w:val="ANormal"/>
      </w:pPr>
      <w:r>
        <w:tab/>
      </w:r>
      <w:r w:rsidR="001A15C9">
        <w:t>I övrigt tillämpas lagen om beskattningsförfarande (1558/1995) på tilläggsavdragen.</w:t>
      </w:r>
    </w:p>
    <w:p w14:paraId="3564F9B0" w14:textId="77777777" w:rsidR="009C3CC4" w:rsidRDefault="009C3CC4" w:rsidP="001A15C9">
      <w:pPr>
        <w:pStyle w:val="ANormal"/>
      </w:pPr>
    </w:p>
    <w:p w14:paraId="2AD894C4" w14:textId="246CCB89" w:rsidR="001A15C9" w:rsidRDefault="001A15C9" w:rsidP="009C3CC4">
      <w:pPr>
        <w:pStyle w:val="LagParagraf"/>
      </w:pPr>
      <w:r>
        <w:t>9</w:t>
      </w:r>
      <w:r w:rsidR="004E3B75">
        <w:t> §</w:t>
      </w:r>
    </w:p>
    <w:p w14:paraId="51CFEFEE" w14:textId="77777777" w:rsidR="001A15C9" w:rsidRDefault="001A15C9" w:rsidP="009C3CC4">
      <w:pPr>
        <w:pStyle w:val="LagPararubrik"/>
      </w:pPr>
      <w:r>
        <w:t>Ikraftträdande</w:t>
      </w:r>
    </w:p>
    <w:p w14:paraId="3134574D" w14:textId="7DCBA602" w:rsidR="001A15C9" w:rsidRDefault="009C3CC4" w:rsidP="001A15C9">
      <w:pPr>
        <w:pStyle w:val="ANormal"/>
      </w:pPr>
      <w:r>
        <w:tab/>
      </w:r>
      <w:r w:rsidR="001A15C9">
        <w:t>Denna lag träder i kraft den 1 januari 2023.</w:t>
      </w:r>
    </w:p>
    <w:p w14:paraId="2618A363" w14:textId="4A3CB97C" w:rsidR="009C3CC4" w:rsidRDefault="009C3CC4" w:rsidP="001A15C9">
      <w:pPr>
        <w:pStyle w:val="ANormal"/>
      </w:pPr>
      <w:r>
        <w:tab/>
      </w:r>
      <w:r w:rsidR="001A15C9">
        <w:t>Denna lag tillämpas första gången vid beskattningen för skatteåret 2023. Bestämmelserna i 3</w:t>
      </w:r>
      <w:r w:rsidR="004E3B75">
        <w:t> §</w:t>
      </w:r>
      <w:r w:rsidR="001A15C9">
        <w:t xml:space="preserve"> 4</w:t>
      </w:r>
      <w:r w:rsidR="004E3B75">
        <w:t> mom.</w:t>
      </w:r>
      <w:r w:rsidR="001A15C9">
        <w:t xml:space="preserve"> och 5</w:t>
      </w:r>
      <w:r w:rsidR="004E3B75">
        <w:t> §</w:t>
      </w:r>
      <w:r w:rsidR="001A15C9">
        <w:t xml:space="preserve"> tillämpas dock första gången först vid beskattningen för skatteåret 2024.</w:t>
      </w:r>
      <w:r>
        <w:t xml:space="preserve"> </w:t>
      </w:r>
    </w:p>
    <w:p w14:paraId="435127A2" w14:textId="77777777" w:rsidR="009C3CC4" w:rsidRDefault="009C3CC4" w:rsidP="001A15C9">
      <w:pPr>
        <w:pStyle w:val="ANormal"/>
      </w:pPr>
    </w:p>
    <w:p w14:paraId="3FD3F155" w14:textId="1B6A5163" w:rsidR="001A15C9" w:rsidRDefault="001A15C9" w:rsidP="001A15C9">
      <w:pPr>
        <w:pStyle w:val="ANormal"/>
      </w:pPr>
      <w:r>
        <w:t>Helsingfors den 29 december 2022</w:t>
      </w:r>
    </w:p>
    <w:p w14:paraId="58C10D25" w14:textId="77777777" w:rsidR="009C3CC4" w:rsidRDefault="009C3CC4" w:rsidP="001A15C9">
      <w:pPr>
        <w:pStyle w:val="ANormal"/>
      </w:pPr>
    </w:p>
    <w:p w14:paraId="40DE181B" w14:textId="77777777" w:rsidR="001A15C9" w:rsidRPr="009C3CC4" w:rsidRDefault="001A15C9" w:rsidP="009C3CC4">
      <w:pPr>
        <w:pStyle w:val="ANormal"/>
        <w:jc w:val="center"/>
        <w:rPr>
          <w:b/>
          <w:bCs/>
        </w:rPr>
      </w:pPr>
      <w:r w:rsidRPr="009C3CC4">
        <w:rPr>
          <w:b/>
          <w:bCs/>
        </w:rPr>
        <w:t>Republikens President</w:t>
      </w:r>
    </w:p>
    <w:p w14:paraId="234F8F90" w14:textId="00377FF5" w:rsidR="001A15C9" w:rsidRPr="009C3CC4" w:rsidRDefault="001A15C9" w:rsidP="009C3CC4">
      <w:pPr>
        <w:pStyle w:val="ANormal"/>
        <w:jc w:val="center"/>
        <w:rPr>
          <w:b/>
          <w:bCs/>
        </w:rPr>
      </w:pPr>
      <w:r w:rsidRPr="009C3CC4">
        <w:rPr>
          <w:b/>
          <w:bCs/>
        </w:rPr>
        <w:t>Sauli Niinistö</w:t>
      </w:r>
    </w:p>
    <w:p w14:paraId="35304FDC" w14:textId="77777777" w:rsidR="009C3CC4" w:rsidRDefault="009C3CC4" w:rsidP="001A15C9">
      <w:pPr>
        <w:pStyle w:val="ANormal"/>
      </w:pPr>
    </w:p>
    <w:p w14:paraId="2FD905BC" w14:textId="6C348071" w:rsidR="001A15C9" w:rsidRDefault="001A15C9" w:rsidP="009C3CC4">
      <w:pPr>
        <w:pStyle w:val="ANormal"/>
        <w:jc w:val="right"/>
      </w:pPr>
      <w:r>
        <w:t xml:space="preserve">Finansminister Annika </w:t>
      </w:r>
      <w:proofErr w:type="spellStart"/>
      <w:r>
        <w:t>Saarikko</w:t>
      </w:r>
      <w:proofErr w:type="spellEnd"/>
    </w:p>
    <w:p w14:paraId="607DA870" w14:textId="77777777" w:rsidR="001A15C9" w:rsidRDefault="001A15C9" w:rsidP="001A15C9">
      <w:pPr>
        <w:pStyle w:val="ANormal"/>
      </w:pPr>
    </w:p>
    <w:p w14:paraId="7430C58C" w14:textId="7170E10C" w:rsidR="00472C58" w:rsidRDefault="00472C58">
      <w:pPr>
        <w:rPr>
          <w:sz w:val="22"/>
          <w:szCs w:val="20"/>
          <w:lang w:val="sv-SE"/>
        </w:rPr>
      </w:pPr>
      <w:r>
        <w:br w:type="page"/>
      </w:r>
    </w:p>
    <w:p w14:paraId="12768332" w14:textId="144AACA4" w:rsidR="001A15C9" w:rsidRDefault="00472C58" w:rsidP="00472C58">
      <w:pPr>
        <w:pStyle w:val="RubrikA"/>
      </w:pPr>
      <w:bookmarkStart w:id="29" w:name="_Toc129771260"/>
      <w:r>
        <w:lastRenderedPageBreak/>
        <w:t>Parallelltexter</w:t>
      </w:r>
      <w:bookmarkEnd w:id="29"/>
    </w:p>
    <w:p w14:paraId="0FCDC155" w14:textId="637EA4BB" w:rsidR="00472C58" w:rsidRDefault="00472C58" w:rsidP="00472C58">
      <w:pPr>
        <w:pStyle w:val="Rubrikmellanrum"/>
      </w:pPr>
    </w:p>
    <w:p w14:paraId="0C828562" w14:textId="6C2DF321" w:rsidR="00472C58" w:rsidRPr="00472C58" w:rsidRDefault="00472C58" w:rsidP="00472C58">
      <w:pPr>
        <w:pStyle w:val="ArendeUnderRubrik"/>
      </w:pPr>
      <w:r>
        <w:t xml:space="preserve">Parallelltexter till landskapsregeringens lagförslag nr </w:t>
      </w:r>
      <w:r w:rsidR="00DB46F7">
        <w:t>17</w:t>
      </w:r>
      <w:r>
        <w:t>/</w:t>
      </w:r>
      <w:proofErr w:type="gramStart"/>
      <w:r>
        <w:t>2022-2023</w:t>
      </w:r>
      <w:proofErr w:type="gramEnd"/>
    </w:p>
    <w:sectPr w:rsidR="00472C58" w:rsidRPr="00472C5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833B" w14:textId="77777777" w:rsidR="008A4EFD" w:rsidRDefault="008A4EFD">
      <w:r>
        <w:separator/>
      </w:r>
    </w:p>
  </w:endnote>
  <w:endnote w:type="continuationSeparator" w:id="0">
    <w:p w14:paraId="43102FCA" w14:textId="77777777" w:rsidR="008A4EFD" w:rsidRDefault="008A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AECA"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6189" w14:textId="3EC7BD87" w:rsidR="00AF3004" w:rsidRDefault="00AF3004">
    <w:pPr>
      <w:pStyle w:val="Sidfot"/>
      <w:rPr>
        <w:lang w:val="fi-FI"/>
      </w:rPr>
    </w:pPr>
    <w:r>
      <w:fldChar w:fldCharType="begin"/>
    </w:r>
    <w:r>
      <w:rPr>
        <w:lang w:val="fi-FI"/>
      </w:rPr>
      <w:instrText xml:space="preserve"> FILENAME  \* MERGEFORMAT </w:instrText>
    </w:r>
    <w:r>
      <w:fldChar w:fldCharType="separate"/>
    </w:r>
    <w:r w:rsidR="00472C58">
      <w:rPr>
        <w:noProof/>
        <w:lang w:val="fi-FI"/>
      </w:rPr>
      <w:t>LF</w:t>
    </w:r>
    <w:r w:rsidR="00DB46F7">
      <w:rPr>
        <w:noProof/>
        <w:lang w:val="fi-FI"/>
      </w:rPr>
      <w:t>17</w:t>
    </w:r>
    <w:r w:rsidR="00472C58">
      <w:rPr>
        <w:noProof/>
        <w:lang w:val="fi-FI"/>
      </w:rPr>
      <w:t>202222023</w:t>
    </w:r>
    <w:r w:rsidR="007F406C">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65D1"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5C68" w14:textId="77777777" w:rsidR="008A4EFD" w:rsidRDefault="008A4EFD">
      <w:r>
        <w:separator/>
      </w:r>
    </w:p>
  </w:footnote>
  <w:footnote w:type="continuationSeparator" w:id="0">
    <w:p w14:paraId="30C2028C" w14:textId="77777777" w:rsidR="008A4EFD" w:rsidRDefault="008A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52D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F9475C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196A"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F1AB3"/>
    <w:multiLevelType w:val="hybridMultilevel"/>
    <w:tmpl w:val="EB6C33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510219874">
    <w:abstractNumId w:val="6"/>
  </w:num>
  <w:num w:numId="2" w16cid:durableId="804199359">
    <w:abstractNumId w:val="3"/>
  </w:num>
  <w:num w:numId="3" w16cid:durableId="772867049">
    <w:abstractNumId w:val="2"/>
  </w:num>
  <w:num w:numId="4" w16cid:durableId="619410257">
    <w:abstractNumId w:val="1"/>
  </w:num>
  <w:num w:numId="5" w16cid:durableId="1097404965">
    <w:abstractNumId w:val="0"/>
  </w:num>
  <w:num w:numId="6" w16cid:durableId="1340962871">
    <w:abstractNumId w:val="7"/>
  </w:num>
  <w:num w:numId="7" w16cid:durableId="676081411">
    <w:abstractNumId w:val="5"/>
  </w:num>
  <w:num w:numId="8" w16cid:durableId="1064763893">
    <w:abstractNumId w:val="4"/>
  </w:num>
  <w:num w:numId="9" w16cid:durableId="1263218985">
    <w:abstractNumId w:val="10"/>
  </w:num>
  <w:num w:numId="10" w16cid:durableId="927693050">
    <w:abstractNumId w:val="13"/>
  </w:num>
  <w:num w:numId="11" w16cid:durableId="1765765528">
    <w:abstractNumId w:val="12"/>
  </w:num>
  <w:num w:numId="12" w16cid:durableId="463349874">
    <w:abstractNumId w:val="16"/>
  </w:num>
  <w:num w:numId="13" w16cid:durableId="1429235608">
    <w:abstractNumId w:val="11"/>
  </w:num>
  <w:num w:numId="14" w16cid:durableId="36978346">
    <w:abstractNumId w:val="15"/>
  </w:num>
  <w:num w:numId="15" w16cid:durableId="863595592">
    <w:abstractNumId w:val="9"/>
  </w:num>
  <w:num w:numId="16" w16cid:durableId="1253002758">
    <w:abstractNumId w:val="21"/>
  </w:num>
  <w:num w:numId="17" w16cid:durableId="2069724653">
    <w:abstractNumId w:val="8"/>
  </w:num>
  <w:num w:numId="18" w16cid:durableId="920333968">
    <w:abstractNumId w:val="17"/>
  </w:num>
  <w:num w:numId="19" w16cid:durableId="209197730">
    <w:abstractNumId w:val="20"/>
  </w:num>
  <w:num w:numId="20" w16cid:durableId="1889993673">
    <w:abstractNumId w:val="23"/>
  </w:num>
  <w:num w:numId="21" w16cid:durableId="1784687553">
    <w:abstractNumId w:val="22"/>
  </w:num>
  <w:num w:numId="22" w16cid:durableId="1215121844">
    <w:abstractNumId w:val="14"/>
  </w:num>
  <w:num w:numId="23" w16cid:durableId="877860035">
    <w:abstractNumId w:val="18"/>
  </w:num>
  <w:num w:numId="24" w16cid:durableId="641039558">
    <w:abstractNumId w:val="18"/>
  </w:num>
  <w:num w:numId="25" w16cid:durableId="396126375">
    <w:abstractNumId w:val="19"/>
  </w:num>
  <w:num w:numId="26" w16cid:durableId="298532110">
    <w:abstractNumId w:val="14"/>
  </w:num>
  <w:num w:numId="27" w16cid:durableId="1939215832">
    <w:abstractNumId w:val="14"/>
  </w:num>
  <w:num w:numId="28" w16cid:durableId="1001391766">
    <w:abstractNumId w:val="14"/>
  </w:num>
  <w:num w:numId="29" w16cid:durableId="1551452616">
    <w:abstractNumId w:val="14"/>
  </w:num>
  <w:num w:numId="30" w16cid:durableId="1274364958">
    <w:abstractNumId w:val="14"/>
  </w:num>
  <w:num w:numId="31" w16cid:durableId="130024896">
    <w:abstractNumId w:val="14"/>
  </w:num>
  <w:num w:numId="32" w16cid:durableId="1409958299">
    <w:abstractNumId w:val="14"/>
  </w:num>
  <w:num w:numId="33" w16cid:durableId="699553513">
    <w:abstractNumId w:val="14"/>
  </w:num>
  <w:num w:numId="34" w16cid:durableId="1627853636">
    <w:abstractNumId w:val="14"/>
  </w:num>
  <w:num w:numId="35" w16cid:durableId="1021512635">
    <w:abstractNumId w:val="18"/>
  </w:num>
  <w:num w:numId="36" w16cid:durableId="1136071218">
    <w:abstractNumId w:val="19"/>
  </w:num>
  <w:num w:numId="37" w16cid:durableId="821972801">
    <w:abstractNumId w:val="14"/>
  </w:num>
  <w:num w:numId="38" w16cid:durableId="962081259">
    <w:abstractNumId w:val="14"/>
  </w:num>
  <w:num w:numId="39" w16cid:durableId="1060402874">
    <w:abstractNumId w:val="14"/>
  </w:num>
  <w:num w:numId="40" w16cid:durableId="533078717">
    <w:abstractNumId w:val="14"/>
  </w:num>
  <w:num w:numId="41" w16cid:durableId="2003967875">
    <w:abstractNumId w:val="14"/>
  </w:num>
  <w:num w:numId="42" w16cid:durableId="305088461">
    <w:abstractNumId w:val="14"/>
  </w:num>
  <w:num w:numId="43" w16cid:durableId="993339632">
    <w:abstractNumId w:val="14"/>
  </w:num>
  <w:num w:numId="44" w16cid:durableId="971864556">
    <w:abstractNumId w:val="14"/>
  </w:num>
  <w:num w:numId="45" w16cid:durableId="749353081">
    <w:abstractNumId w:val="14"/>
  </w:num>
  <w:num w:numId="46" w16cid:durableId="9165492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FD"/>
    <w:rsid w:val="00020CBD"/>
    <w:rsid w:val="000266A9"/>
    <w:rsid w:val="00030EDD"/>
    <w:rsid w:val="00052DBE"/>
    <w:rsid w:val="000543E7"/>
    <w:rsid w:val="00065245"/>
    <w:rsid w:val="0007412F"/>
    <w:rsid w:val="00075D24"/>
    <w:rsid w:val="0007663E"/>
    <w:rsid w:val="0009393D"/>
    <w:rsid w:val="00097444"/>
    <w:rsid w:val="000A5553"/>
    <w:rsid w:val="000D4D82"/>
    <w:rsid w:val="00107253"/>
    <w:rsid w:val="001213C8"/>
    <w:rsid w:val="001248B4"/>
    <w:rsid w:val="00133A40"/>
    <w:rsid w:val="001349DA"/>
    <w:rsid w:val="00141BA5"/>
    <w:rsid w:val="00152499"/>
    <w:rsid w:val="00155E53"/>
    <w:rsid w:val="001840B5"/>
    <w:rsid w:val="00196DF0"/>
    <w:rsid w:val="001974F2"/>
    <w:rsid w:val="001A15C9"/>
    <w:rsid w:val="001B5443"/>
    <w:rsid w:val="001B7073"/>
    <w:rsid w:val="00202894"/>
    <w:rsid w:val="00204849"/>
    <w:rsid w:val="002343BD"/>
    <w:rsid w:val="002435E7"/>
    <w:rsid w:val="002458C9"/>
    <w:rsid w:val="002470D1"/>
    <w:rsid w:val="002664B8"/>
    <w:rsid w:val="0029391C"/>
    <w:rsid w:val="002A62AB"/>
    <w:rsid w:val="002A71FE"/>
    <w:rsid w:val="002D68F9"/>
    <w:rsid w:val="002E36BF"/>
    <w:rsid w:val="002F0D3D"/>
    <w:rsid w:val="00342FC4"/>
    <w:rsid w:val="00365BCC"/>
    <w:rsid w:val="00371C9A"/>
    <w:rsid w:val="003A239E"/>
    <w:rsid w:val="003B4931"/>
    <w:rsid w:val="003D0227"/>
    <w:rsid w:val="003E52A4"/>
    <w:rsid w:val="00401140"/>
    <w:rsid w:val="00414C20"/>
    <w:rsid w:val="00420EF9"/>
    <w:rsid w:val="004247EE"/>
    <w:rsid w:val="004276BF"/>
    <w:rsid w:val="0043219F"/>
    <w:rsid w:val="00452501"/>
    <w:rsid w:val="00461D04"/>
    <w:rsid w:val="00464E03"/>
    <w:rsid w:val="00472C58"/>
    <w:rsid w:val="00497191"/>
    <w:rsid w:val="004A6BA1"/>
    <w:rsid w:val="004C31F9"/>
    <w:rsid w:val="004D3FB8"/>
    <w:rsid w:val="004E3B75"/>
    <w:rsid w:val="004E5F80"/>
    <w:rsid w:val="004F27FA"/>
    <w:rsid w:val="004F5DE7"/>
    <w:rsid w:val="00512E94"/>
    <w:rsid w:val="00513919"/>
    <w:rsid w:val="00527BD6"/>
    <w:rsid w:val="00533342"/>
    <w:rsid w:val="00542FE7"/>
    <w:rsid w:val="00557A6D"/>
    <w:rsid w:val="005A48BB"/>
    <w:rsid w:val="005B121A"/>
    <w:rsid w:val="005E5107"/>
    <w:rsid w:val="005F1727"/>
    <w:rsid w:val="005F1DF9"/>
    <w:rsid w:val="005F7B74"/>
    <w:rsid w:val="006136BD"/>
    <w:rsid w:val="0062129D"/>
    <w:rsid w:val="006341DD"/>
    <w:rsid w:val="006356C1"/>
    <w:rsid w:val="00651A25"/>
    <w:rsid w:val="006704ED"/>
    <w:rsid w:val="00692244"/>
    <w:rsid w:val="00692C72"/>
    <w:rsid w:val="006A560E"/>
    <w:rsid w:val="006B633C"/>
    <w:rsid w:val="006B6FFF"/>
    <w:rsid w:val="006B74C2"/>
    <w:rsid w:val="006C20E4"/>
    <w:rsid w:val="006C59A1"/>
    <w:rsid w:val="00710D8C"/>
    <w:rsid w:val="0071778D"/>
    <w:rsid w:val="00722128"/>
    <w:rsid w:val="00735813"/>
    <w:rsid w:val="00753517"/>
    <w:rsid w:val="00756AC2"/>
    <w:rsid w:val="0078759A"/>
    <w:rsid w:val="00793404"/>
    <w:rsid w:val="007A2296"/>
    <w:rsid w:val="007D3C3B"/>
    <w:rsid w:val="007E7D01"/>
    <w:rsid w:val="007F406C"/>
    <w:rsid w:val="00802A64"/>
    <w:rsid w:val="0082531A"/>
    <w:rsid w:val="00831710"/>
    <w:rsid w:val="00840831"/>
    <w:rsid w:val="00844A3D"/>
    <w:rsid w:val="008450DA"/>
    <w:rsid w:val="0084706C"/>
    <w:rsid w:val="008603B7"/>
    <w:rsid w:val="008612AF"/>
    <w:rsid w:val="00875638"/>
    <w:rsid w:val="008765D7"/>
    <w:rsid w:val="008912E9"/>
    <w:rsid w:val="008A4EFD"/>
    <w:rsid w:val="008C2276"/>
    <w:rsid w:val="008C4CC1"/>
    <w:rsid w:val="008E723A"/>
    <w:rsid w:val="00906DFA"/>
    <w:rsid w:val="00941370"/>
    <w:rsid w:val="0096697A"/>
    <w:rsid w:val="0097027E"/>
    <w:rsid w:val="009759F8"/>
    <w:rsid w:val="00985ABA"/>
    <w:rsid w:val="00986089"/>
    <w:rsid w:val="009C3CC4"/>
    <w:rsid w:val="009D258B"/>
    <w:rsid w:val="009D3C14"/>
    <w:rsid w:val="00A15711"/>
    <w:rsid w:val="00A21507"/>
    <w:rsid w:val="00A22EAA"/>
    <w:rsid w:val="00A31839"/>
    <w:rsid w:val="00A32351"/>
    <w:rsid w:val="00A552FF"/>
    <w:rsid w:val="00A56240"/>
    <w:rsid w:val="00A64312"/>
    <w:rsid w:val="00A64CD7"/>
    <w:rsid w:val="00A716E2"/>
    <w:rsid w:val="00A90399"/>
    <w:rsid w:val="00A94755"/>
    <w:rsid w:val="00A96A4E"/>
    <w:rsid w:val="00A97B16"/>
    <w:rsid w:val="00AA3F74"/>
    <w:rsid w:val="00AB24FC"/>
    <w:rsid w:val="00AD0D1F"/>
    <w:rsid w:val="00AE0475"/>
    <w:rsid w:val="00AF3004"/>
    <w:rsid w:val="00B02B07"/>
    <w:rsid w:val="00B3229E"/>
    <w:rsid w:val="00B3499C"/>
    <w:rsid w:val="00B4704A"/>
    <w:rsid w:val="00B5582A"/>
    <w:rsid w:val="00B93329"/>
    <w:rsid w:val="00BA014B"/>
    <w:rsid w:val="00BD0926"/>
    <w:rsid w:val="00BE4039"/>
    <w:rsid w:val="00BE4BBF"/>
    <w:rsid w:val="00BF5AE4"/>
    <w:rsid w:val="00C0113A"/>
    <w:rsid w:val="00C2176F"/>
    <w:rsid w:val="00C46157"/>
    <w:rsid w:val="00C54878"/>
    <w:rsid w:val="00C5656E"/>
    <w:rsid w:val="00C74D8E"/>
    <w:rsid w:val="00C85285"/>
    <w:rsid w:val="00C958C4"/>
    <w:rsid w:val="00C9680D"/>
    <w:rsid w:val="00C973D6"/>
    <w:rsid w:val="00CB0627"/>
    <w:rsid w:val="00CB45CF"/>
    <w:rsid w:val="00CC58EA"/>
    <w:rsid w:val="00CE6956"/>
    <w:rsid w:val="00CF0CC9"/>
    <w:rsid w:val="00D33DBE"/>
    <w:rsid w:val="00D54BA2"/>
    <w:rsid w:val="00D90CDB"/>
    <w:rsid w:val="00DA6D4B"/>
    <w:rsid w:val="00DA731A"/>
    <w:rsid w:val="00DB25A5"/>
    <w:rsid w:val="00DB46F7"/>
    <w:rsid w:val="00DC2BF2"/>
    <w:rsid w:val="00DD3CD1"/>
    <w:rsid w:val="00DD5B44"/>
    <w:rsid w:val="00DD5E39"/>
    <w:rsid w:val="00DD7587"/>
    <w:rsid w:val="00DF761E"/>
    <w:rsid w:val="00E05925"/>
    <w:rsid w:val="00E17A55"/>
    <w:rsid w:val="00E310D3"/>
    <w:rsid w:val="00E31AE5"/>
    <w:rsid w:val="00E32D72"/>
    <w:rsid w:val="00E3736C"/>
    <w:rsid w:val="00E411FC"/>
    <w:rsid w:val="00E42A41"/>
    <w:rsid w:val="00E465FE"/>
    <w:rsid w:val="00E46FE2"/>
    <w:rsid w:val="00E5175E"/>
    <w:rsid w:val="00E671BE"/>
    <w:rsid w:val="00E80EC8"/>
    <w:rsid w:val="00E9398D"/>
    <w:rsid w:val="00E97E1A"/>
    <w:rsid w:val="00F025A1"/>
    <w:rsid w:val="00F05E4B"/>
    <w:rsid w:val="00F21C58"/>
    <w:rsid w:val="00F32A76"/>
    <w:rsid w:val="00F34B32"/>
    <w:rsid w:val="00F35484"/>
    <w:rsid w:val="00F505C5"/>
    <w:rsid w:val="00F554D2"/>
    <w:rsid w:val="00F67075"/>
    <w:rsid w:val="00F70938"/>
    <w:rsid w:val="00F87823"/>
    <w:rsid w:val="00FD2B96"/>
    <w:rsid w:val="00FD3266"/>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D2690"/>
  <w15:chartTrackingRefBased/>
  <w15:docId w15:val="{85E7A321-36AF-4E06-94B0-69D85270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BD"/>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rPr>
      <w:lang w:val="sv-SE"/>
    </w:rPr>
  </w:style>
  <w:style w:type="paragraph" w:styleId="Brdtextmedindrag">
    <w:name w:val="Body Text Indent"/>
    <w:basedOn w:val="Normal"/>
    <w:semiHidden/>
    <w:pPr>
      <w:spacing w:after="120"/>
      <w:ind w:left="283"/>
    </w:pPr>
    <w:rPr>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rPr>
  </w:style>
  <w:style w:type="paragraph" w:styleId="Sidfot">
    <w:name w:val="footer"/>
    <w:basedOn w:val="Normal"/>
    <w:semiHidden/>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rPr>
  </w:style>
  <w:style w:type="paragraph" w:styleId="Innehll6">
    <w:name w:val="toc 6"/>
    <w:basedOn w:val="Normal"/>
    <w:next w:val="Normal"/>
    <w:autoRedefine/>
    <w:semiHidden/>
    <w:pPr>
      <w:ind w:left="1200"/>
    </w:pPr>
    <w:rPr>
      <w:lang w:val="sv-SE"/>
    </w:rPr>
  </w:style>
  <w:style w:type="paragraph" w:styleId="Innehll7">
    <w:name w:val="toc 7"/>
    <w:basedOn w:val="Normal"/>
    <w:next w:val="Normal"/>
    <w:autoRedefine/>
    <w:semiHidden/>
    <w:pPr>
      <w:ind w:left="1440"/>
    </w:pPr>
    <w:rPr>
      <w:lang w:val="sv-SE"/>
    </w:rPr>
  </w:style>
  <w:style w:type="paragraph" w:styleId="Innehll8">
    <w:name w:val="toc 8"/>
    <w:basedOn w:val="Normal"/>
    <w:next w:val="Normal"/>
    <w:autoRedefine/>
    <w:semiHidden/>
    <w:pPr>
      <w:ind w:left="1680"/>
    </w:pPr>
    <w:rPr>
      <w:lang w:val="sv-SE"/>
    </w:rPr>
  </w:style>
  <w:style w:type="paragraph" w:styleId="Innehll9">
    <w:name w:val="toc 9"/>
    <w:basedOn w:val="Normal"/>
    <w:next w:val="Normal"/>
    <w:autoRedefine/>
    <w:semiHidden/>
    <w:pPr>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79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96B-9167-479A-8611-016D0F76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18</Pages>
  <Words>6097</Words>
  <Characters>39291</Characters>
  <Application>Microsoft Office Word</Application>
  <DocSecurity>0</DocSecurity>
  <Lines>327</Lines>
  <Paragraphs>90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45298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2023-02-28T07:19:00Z</cp:lastPrinted>
  <dcterms:created xsi:type="dcterms:W3CDTF">2023-03-16T13:24:00Z</dcterms:created>
  <dcterms:modified xsi:type="dcterms:W3CDTF">2023-03-16T13:24:00Z</dcterms:modified>
</cp:coreProperties>
</file>