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52680AA8" w14:textId="77777777">
        <w:trPr>
          <w:cantSplit/>
          <w:trHeight w:val="20"/>
        </w:trPr>
        <w:tc>
          <w:tcPr>
            <w:tcW w:w="861" w:type="dxa"/>
            <w:vMerge w:val="restart"/>
          </w:tcPr>
          <w:p w14:paraId="084F2DF3" w14:textId="353B1FAE" w:rsidR="002401D0" w:rsidRDefault="00E9548E">
            <w:pPr>
              <w:pStyle w:val="xLedtext"/>
              <w:rPr>
                <w:noProof/>
              </w:rPr>
            </w:pPr>
            <w:bookmarkStart w:id="0" w:name="_top"/>
            <w:bookmarkEnd w:id="0"/>
            <w:r>
              <w:rPr>
                <w:noProof/>
              </w:rPr>
              <w:drawing>
                <wp:inline distT="0" distB="0" distL="0" distR="0" wp14:anchorId="66076F8E" wp14:editId="48E5DC24">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0A26E22" w14:textId="40818DAE" w:rsidR="002401D0" w:rsidRDefault="00E9548E">
            <w:pPr>
              <w:pStyle w:val="xMellanrum"/>
            </w:pPr>
            <w:r>
              <w:rPr>
                <w:noProof/>
              </w:rPr>
              <w:drawing>
                <wp:inline distT="0" distB="0" distL="0" distR="0" wp14:anchorId="464F818A" wp14:editId="494A3FE2">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553A734F" w14:textId="77777777">
        <w:trPr>
          <w:cantSplit/>
          <w:trHeight w:val="299"/>
        </w:trPr>
        <w:tc>
          <w:tcPr>
            <w:tcW w:w="861" w:type="dxa"/>
            <w:vMerge/>
          </w:tcPr>
          <w:p w14:paraId="7C6DB5FB" w14:textId="77777777" w:rsidR="002401D0" w:rsidRDefault="002401D0">
            <w:pPr>
              <w:pStyle w:val="xLedtext"/>
            </w:pPr>
          </w:p>
        </w:tc>
        <w:tc>
          <w:tcPr>
            <w:tcW w:w="4448" w:type="dxa"/>
            <w:vAlign w:val="bottom"/>
          </w:tcPr>
          <w:p w14:paraId="17EB4E0E" w14:textId="77777777" w:rsidR="002401D0" w:rsidRDefault="002401D0">
            <w:pPr>
              <w:pStyle w:val="xAvsandare1"/>
            </w:pPr>
            <w:r>
              <w:t>Ålands lagting</w:t>
            </w:r>
          </w:p>
        </w:tc>
        <w:tc>
          <w:tcPr>
            <w:tcW w:w="4288" w:type="dxa"/>
            <w:gridSpan w:val="2"/>
            <w:vAlign w:val="bottom"/>
          </w:tcPr>
          <w:p w14:paraId="391E29E8" w14:textId="253452F1" w:rsidR="002401D0" w:rsidRDefault="002401D0" w:rsidP="00B36A8F">
            <w:pPr>
              <w:pStyle w:val="xDokTypNr"/>
            </w:pPr>
            <w:r>
              <w:t xml:space="preserve">BETÄNKANDE nr </w:t>
            </w:r>
            <w:r w:rsidR="00377DB7">
              <w:t>19</w:t>
            </w:r>
            <w:r>
              <w:t>/</w:t>
            </w:r>
            <w:proofErr w:type="gramStart"/>
            <w:r>
              <w:t>20</w:t>
            </w:r>
            <w:r w:rsidR="00E9548E">
              <w:t>22</w:t>
            </w:r>
            <w:r w:rsidR="0015337C">
              <w:t>-20</w:t>
            </w:r>
            <w:r w:rsidR="00E9548E">
              <w:t>23</w:t>
            </w:r>
            <w:proofErr w:type="gramEnd"/>
          </w:p>
        </w:tc>
      </w:tr>
      <w:tr w:rsidR="002401D0" w14:paraId="0E9DD752" w14:textId="77777777">
        <w:trPr>
          <w:cantSplit/>
          <w:trHeight w:val="238"/>
        </w:trPr>
        <w:tc>
          <w:tcPr>
            <w:tcW w:w="861" w:type="dxa"/>
            <w:vMerge/>
          </w:tcPr>
          <w:p w14:paraId="3E668939" w14:textId="77777777" w:rsidR="002401D0" w:rsidRDefault="002401D0">
            <w:pPr>
              <w:pStyle w:val="xLedtext"/>
            </w:pPr>
          </w:p>
        </w:tc>
        <w:tc>
          <w:tcPr>
            <w:tcW w:w="4448" w:type="dxa"/>
            <w:vAlign w:val="bottom"/>
          </w:tcPr>
          <w:p w14:paraId="7EAB1C48" w14:textId="77777777" w:rsidR="002401D0" w:rsidRDefault="002401D0">
            <w:pPr>
              <w:pStyle w:val="xLedtext"/>
            </w:pPr>
          </w:p>
        </w:tc>
        <w:tc>
          <w:tcPr>
            <w:tcW w:w="1725" w:type="dxa"/>
            <w:vAlign w:val="bottom"/>
          </w:tcPr>
          <w:p w14:paraId="0568E86D" w14:textId="77777777" w:rsidR="002401D0" w:rsidRDefault="002401D0">
            <w:pPr>
              <w:pStyle w:val="xLedtext"/>
            </w:pPr>
            <w:r>
              <w:t>Datum</w:t>
            </w:r>
          </w:p>
        </w:tc>
        <w:tc>
          <w:tcPr>
            <w:tcW w:w="2563" w:type="dxa"/>
            <w:vAlign w:val="bottom"/>
          </w:tcPr>
          <w:p w14:paraId="24A9513A" w14:textId="77777777" w:rsidR="002401D0" w:rsidRDefault="002401D0">
            <w:pPr>
              <w:pStyle w:val="xLedtext"/>
            </w:pPr>
          </w:p>
        </w:tc>
      </w:tr>
      <w:tr w:rsidR="002401D0" w14:paraId="0B43E36A" w14:textId="77777777">
        <w:trPr>
          <w:cantSplit/>
          <w:trHeight w:val="238"/>
        </w:trPr>
        <w:tc>
          <w:tcPr>
            <w:tcW w:w="861" w:type="dxa"/>
            <w:vMerge/>
          </w:tcPr>
          <w:p w14:paraId="585A0F92" w14:textId="77777777" w:rsidR="002401D0" w:rsidRDefault="002401D0">
            <w:pPr>
              <w:pStyle w:val="xAvsandare2"/>
            </w:pPr>
          </w:p>
        </w:tc>
        <w:tc>
          <w:tcPr>
            <w:tcW w:w="4448" w:type="dxa"/>
            <w:vAlign w:val="center"/>
          </w:tcPr>
          <w:p w14:paraId="12144961" w14:textId="6B7220BB" w:rsidR="002401D0" w:rsidRDefault="00E9548E">
            <w:pPr>
              <w:pStyle w:val="xAvsandare2"/>
            </w:pPr>
            <w:r>
              <w:t>Finans- och närings</w:t>
            </w:r>
            <w:r w:rsidR="002401D0">
              <w:t>utskottet</w:t>
            </w:r>
          </w:p>
        </w:tc>
        <w:tc>
          <w:tcPr>
            <w:tcW w:w="1725" w:type="dxa"/>
            <w:vAlign w:val="center"/>
          </w:tcPr>
          <w:p w14:paraId="2F4FD2F3" w14:textId="0387BCAE" w:rsidR="002401D0" w:rsidRDefault="002401D0">
            <w:pPr>
              <w:pStyle w:val="xDatum1"/>
            </w:pPr>
            <w:r>
              <w:t>20</w:t>
            </w:r>
            <w:r w:rsidR="00B05A4E">
              <w:t>23-0</w:t>
            </w:r>
            <w:r w:rsidR="00F72830">
              <w:t>5</w:t>
            </w:r>
            <w:r w:rsidR="00B05A4E">
              <w:t>-</w:t>
            </w:r>
            <w:r w:rsidR="00377DB7">
              <w:t>02</w:t>
            </w:r>
          </w:p>
        </w:tc>
        <w:tc>
          <w:tcPr>
            <w:tcW w:w="2563" w:type="dxa"/>
            <w:vAlign w:val="center"/>
          </w:tcPr>
          <w:p w14:paraId="245C7D69" w14:textId="77777777" w:rsidR="002401D0" w:rsidRDefault="002401D0">
            <w:pPr>
              <w:pStyle w:val="xBeteckning1"/>
            </w:pPr>
          </w:p>
        </w:tc>
      </w:tr>
      <w:tr w:rsidR="002401D0" w14:paraId="72D7E6BB" w14:textId="77777777">
        <w:trPr>
          <w:cantSplit/>
          <w:trHeight w:val="238"/>
        </w:trPr>
        <w:tc>
          <w:tcPr>
            <w:tcW w:w="861" w:type="dxa"/>
            <w:vMerge/>
          </w:tcPr>
          <w:p w14:paraId="46780AD0" w14:textId="77777777" w:rsidR="002401D0" w:rsidRDefault="002401D0">
            <w:pPr>
              <w:pStyle w:val="xLedtext"/>
            </w:pPr>
          </w:p>
        </w:tc>
        <w:tc>
          <w:tcPr>
            <w:tcW w:w="4448" w:type="dxa"/>
            <w:vAlign w:val="bottom"/>
          </w:tcPr>
          <w:p w14:paraId="064394F9" w14:textId="77777777" w:rsidR="002401D0" w:rsidRDefault="002401D0">
            <w:pPr>
              <w:pStyle w:val="xLedtext"/>
            </w:pPr>
          </w:p>
        </w:tc>
        <w:tc>
          <w:tcPr>
            <w:tcW w:w="1725" w:type="dxa"/>
            <w:vAlign w:val="bottom"/>
          </w:tcPr>
          <w:p w14:paraId="69B6CBE7" w14:textId="77777777" w:rsidR="002401D0" w:rsidRDefault="002401D0">
            <w:pPr>
              <w:pStyle w:val="xLedtext"/>
            </w:pPr>
          </w:p>
        </w:tc>
        <w:tc>
          <w:tcPr>
            <w:tcW w:w="2563" w:type="dxa"/>
            <w:vAlign w:val="bottom"/>
          </w:tcPr>
          <w:p w14:paraId="24B946A5" w14:textId="77777777" w:rsidR="002401D0" w:rsidRDefault="002401D0">
            <w:pPr>
              <w:pStyle w:val="xLedtext"/>
            </w:pPr>
          </w:p>
        </w:tc>
      </w:tr>
      <w:tr w:rsidR="002401D0" w14:paraId="39AC7224" w14:textId="77777777">
        <w:trPr>
          <w:cantSplit/>
          <w:trHeight w:val="238"/>
        </w:trPr>
        <w:tc>
          <w:tcPr>
            <w:tcW w:w="861" w:type="dxa"/>
            <w:vMerge/>
            <w:tcBorders>
              <w:bottom w:val="single" w:sz="4" w:space="0" w:color="auto"/>
            </w:tcBorders>
          </w:tcPr>
          <w:p w14:paraId="5FBB7603" w14:textId="77777777" w:rsidR="002401D0" w:rsidRDefault="002401D0">
            <w:pPr>
              <w:pStyle w:val="xAvsandare3"/>
            </w:pPr>
          </w:p>
        </w:tc>
        <w:tc>
          <w:tcPr>
            <w:tcW w:w="4448" w:type="dxa"/>
            <w:tcBorders>
              <w:bottom w:val="single" w:sz="4" w:space="0" w:color="auto"/>
            </w:tcBorders>
            <w:vAlign w:val="center"/>
          </w:tcPr>
          <w:p w14:paraId="35AB4874" w14:textId="77777777" w:rsidR="002401D0" w:rsidRDefault="002401D0">
            <w:pPr>
              <w:pStyle w:val="xAvsandare3"/>
            </w:pPr>
          </w:p>
        </w:tc>
        <w:tc>
          <w:tcPr>
            <w:tcW w:w="1725" w:type="dxa"/>
            <w:tcBorders>
              <w:bottom w:val="single" w:sz="4" w:space="0" w:color="auto"/>
            </w:tcBorders>
            <w:vAlign w:val="center"/>
          </w:tcPr>
          <w:p w14:paraId="07074B2F" w14:textId="77777777" w:rsidR="002401D0" w:rsidRDefault="002401D0">
            <w:pPr>
              <w:pStyle w:val="xDatum2"/>
            </w:pPr>
          </w:p>
        </w:tc>
        <w:tc>
          <w:tcPr>
            <w:tcW w:w="2563" w:type="dxa"/>
            <w:tcBorders>
              <w:bottom w:val="single" w:sz="4" w:space="0" w:color="auto"/>
            </w:tcBorders>
            <w:vAlign w:val="center"/>
          </w:tcPr>
          <w:p w14:paraId="3DDBF0AA" w14:textId="77777777" w:rsidR="002401D0" w:rsidRDefault="002401D0">
            <w:pPr>
              <w:pStyle w:val="xBeteckning2"/>
            </w:pPr>
          </w:p>
        </w:tc>
      </w:tr>
      <w:tr w:rsidR="002401D0" w14:paraId="2E5A48A2" w14:textId="77777777">
        <w:trPr>
          <w:cantSplit/>
          <w:trHeight w:val="238"/>
        </w:trPr>
        <w:tc>
          <w:tcPr>
            <w:tcW w:w="861" w:type="dxa"/>
            <w:tcBorders>
              <w:top w:val="single" w:sz="4" w:space="0" w:color="auto"/>
            </w:tcBorders>
            <w:vAlign w:val="bottom"/>
          </w:tcPr>
          <w:p w14:paraId="27A39463" w14:textId="77777777" w:rsidR="002401D0" w:rsidRDefault="002401D0">
            <w:pPr>
              <w:pStyle w:val="xLedtext"/>
            </w:pPr>
          </w:p>
        </w:tc>
        <w:tc>
          <w:tcPr>
            <w:tcW w:w="4448" w:type="dxa"/>
            <w:tcBorders>
              <w:top w:val="single" w:sz="4" w:space="0" w:color="auto"/>
            </w:tcBorders>
            <w:vAlign w:val="bottom"/>
          </w:tcPr>
          <w:p w14:paraId="4980747A" w14:textId="77777777" w:rsidR="002401D0" w:rsidRDefault="002401D0">
            <w:pPr>
              <w:pStyle w:val="xLedtext"/>
            </w:pPr>
          </w:p>
        </w:tc>
        <w:tc>
          <w:tcPr>
            <w:tcW w:w="4288" w:type="dxa"/>
            <w:gridSpan w:val="2"/>
            <w:tcBorders>
              <w:top w:val="single" w:sz="4" w:space="0" w:color="auto"/>
            </w:tcBorders>
            <w:vAlign w:val="bottom"/>
          </w:tcPr>
          <w:p w14:paraId="60015658" w14:textId="77777777" w:rsidR="002401D0" w:rsidRDefault="002401D0">
            <w:pPr>
              <w:pStyle w:val="xLedtext"/>
            </w:pPr>
          </w:p>
        </w:tc>
      </w:tr>
      <w:tr w:rsidR="002401D0" w14:paraId="5D3678C0" w14:textId="77777777">
        <w:trPr>
          <w:cantSplit/>
          <w:trHeight w:val="238"/>
        </w:trPr>
        <w:tc>
          <w:tcPr>
            <w:tcW w:w="861" w:type="dxa"/>
          </w:tcPr>
          <w:p w14:paraId="58A14073" w14:textId="77777777" w:rsidR="002401D0" w:rsidRDefault="002401D0">
            <w:pPr>
              <w:pStyle w:val="xCelltext"/>
            </w:pPr>
          </w:p>
        </w:tc>
        <w:tc>
          <w:tcPr>
            <w:tcW w:w="4448" w:type="dxa"/>
            <w:vMerge w:val="restart"/>
          </w:tcPr>
          <w:p w14:paraId="3D324E33" w14:textId="77777777" w:rsidR="002401D0" w:rsidRDefault="002401D0">
            <w:pPr>
              <w:pStyle w:val="xMottagare1"/>
            </w:pPr>
            <w:r>
              <w:t>Till Ålands lagting</w:t>
            </w:r>
          </w:p>
        </w:tc>
        <w:tc>
          <w:tcPr>
            <w:tcW w:w="4288" w:type="dxa"/>
            <w:gridSpan w:val="2"/>
            <w:vMerge w:val="restart"/>
          </w:tcPr>
          <w:p w14:paraId="4DEECCDF" w14:textId="77777777" w:rsidR="002401D0" w:rsidRDefault="002401D0">
            <w:pPr>
              <w:pStyle w:val="xMottagare1"/>
              <w:tabs>
                <w:tab w:val="left" w:pos="2349"/>
              </w:tabs>
            </w:pPr>
          </w:p>
        </w:tc>
      </w:tr>
      <w:tr w:rsidR="002401D0" w14:paraId="555D7562" w14:textId="77777777">
        <w:trPr>
          <w:cantSplit/>
          <w:trHeight w:val="238"/>
        </w:trPr>
        <w:tc>
          <w:tcPr>
            <w:tcW w:w="861" w:type="dxa"/>
          </w:tcPr>
          <w:p w14:paraId="0DC3539E" w14:textId="77777777" w:rsidR="002401D0" w:rsidRDefault="002401D0">
            <w:pPr>
              <w:pStyle w:val="xCelltext"/>
            </w:pPr>
          </w:p>
        </w:tc>
        <w:tc>
          <w:tcPr>
            <w:tcW w:w="4448" w:type="dxa"/>
            <w:vMerge/>
            <w:vAlign w:val="center"/>
          </w:tcPr>
          <w:p w14:paraId="196B7D2A" w14:textId="77777777" w:rsidR="002401D0" w:rsidRDefault="002401D0">
            <w:pPr>
              <w:pStyle w:val="xCelltext"/>
            </w:pPr>
          </w:p>
        </w:tc>
        <w:tc>
          <w:tcPr>
            <w:tcW w:w="4288" w:type="dxa"/>
            <w:gridSpan w:val="2"/>
            <w:vMerge/>
            <w:vAlign w:val="center"/>
          </w:tcPr>
          <w:p w14:paraId="4BAD608A" w14:textId="77777777" w:rsidR="002401D0" w:rsidRDefault="002401D0">
            <w:pPr>
              <w:pStyle w:val="xCelltext"/>
            </w:pPr>
          </w:p>
        </w:tc>
      </w:tr>
      <w:tr w:rsidR="002401D0" w14:paraId="5C81F708" w14:textId="77777777">
        <w:trPr>
          <w:cantSplit/>
          <w:trHeight w:val="238"/>
        </w:trPr>
        <w:tc>
          <w:tcPr>
            <w:tcW w:w="861" w:type="dxa"/>
          </w:tcPr>
          <w:p w14:paraId="7D6D15FA" w14:textId="77777777" w:rsidR="002401D0" w:rsidRDefault="002401D0">
            <w:pPr>
              <w:pStyle w:val="xCelltext"/>
            </w:pPr>
          </w:p>
        </w:tc>
        <w:tc>
          <w:tcPr>
            <w:tcW w:w="4448" w:type="dxa"/>
            <w:vMerge/>
            <w:vAlign w:val="center"/>
          </w:tcPr>
          <w:p w14:paraId="5CF10ECE" w14:textId="77777777" w:rsidR="002401D0" w:rsidRDefault="002401D0">
            <w:pPr>
              <w:pStyle w:val="xCelltext"/>
            </w:pPr>
          </w:p>
        </w:tc>
        <w:tc>
          <w:tcPr>
            <w:tcW w:w="4288" w:type="dxa"/>
            <w:gridSpan w:val="2"/>
            <w:vMerge/>
            <w:vAlign w:val="center"/>
          </w:tcPr>
          <w:p w14:paraId="26D1DFC3" w14:textId="77777777" w:rsidR="002401D0" w:rsidRDefault="002401D0">
            <w:pPr>
              <w:pStyle w:val="xCelltext"/>
            </w:pPr>
          </w:p>
        </w:tc>
      </w:tr>
      <w:tr w:rsidR="002401D0" w14:paraId="4308F94C" w14:textId="77777777">
        <w:trPr>
          <w:cantSplit/>
          <w:trHeight w:val="238"/>
        </w:trPr>
        <w:tc>
          <w:tcPr>
            <w:tcW w:w="861" w:type="dxa"/>
          </w:tcPr>
          <w:p w14:paraId="00EEDAC8" w14:textId="77777777" w:rsidR="002401D0" w:rsidRDefault="002401D0">
            <w:pPr>
              <w:pStyle w:val="xCelltext"/>
            </w:pPr>
          </w:p>
        </w:tc>
        <w:tc>
          <w:tcPr>
            <w:tcW w:w="4448" w:type="dxa"/>
            <w:vMerge/>
            <w:vAlign w:val="center"/>
          </w:tcPr>
          <w:p w14:paraId="664BDB35" w14:textId="77777777" w:rsidR="002401D0" w:rsidRDefault="002401D0">
            <w:pPr>
              <w:pStyle w:val="xCelltext"/>
            </w:pPr>
          </w:p>
        </w:tc>
        <w:tc>
          <w:tcPr>
            <w:tcW w:w="4288" w:type="dxa"/>
            <w:gridSpan w:val="2"/>
            <w:vMerge/>
            <w:vAlign w:val="center"/>
          </w:tcPr>
          <w:p w14:paraId="07257512" w14:textId="77777777" w:rsidR="002401D0" w:rsidRDefault="002401D0">
            <w:pPr>
              <w:pStyle w:val="xCelltext"/>
            </w:pPr>
          </w:p>
        </w:tc>
      </w:tr>
      <w:tr w:rsidR="002401D0" w14:paraId="0358CB01" w14:textId="77777777">
        <w:trPr>
          <w:cantSplit/>
          <w:trHeight w:val="238"/>
        </w:trPr>
        <w:tc>
          <w:tcPr>
            <w:tcW w:w="861" w:type="dxa"/>
          </w:tcPr>
          <w:p w14:paraId="4A50B692" w14:textId="77777777" w:rsidR="002401D0" w:rsidRDefault="002401D0">
            <w:pPr>
              <w:pStyle w:val="xCelltext"/>
            </w:pPr>
          </w:p>
        </w:tc>
        <w:tc>
          <w:tcPr>
            <w:tcW w:w="4448" w:type="dxa"/>
            <w:vMerge/>
            <w:vAlign w:val="center"/>
          </w:tcPr>
          <w:p w14:paraId="1578D057" w14:textId="77777777" w:rsidR="002401D0" w:rsidRDefault="002401D0">
            <w:pPr>
              <w:pStyle w:val="xCelltext"/>
            </w:pPr>
          </w:p>
        </w:tc>
        <w:tc>
          <w:tcPr>
            <w:tcW w:w="4288" w:type="dxa"/>
            <w:gridSpan w:val="2"/>
            <w:vMerge/>
            <w:vAlign w:val="center"/>
          </w:tcPr>
          <w:p w14:paraId="56DD5027" w14:textId="77777777" w:rsidR="002401D0" w:rsidRDefault="002401D0">
            <w:pPr>
              <w:pStyle w:val="xCelltext"/>
            </w:pPr>
          </w:p>
        </w:tc>
      </w:tr>
    </w:tbl>
    <w:p w14:paraId="007088E2"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783FFD52" w14:textId="65E3B6B5" w:rsidR="002401D0" w:rsidRDefault="00E9548E">
      <w:pPr>
        <w:pStyle w:val="ArendeOverRubrik"/>
      </w:pPr>
      <w:r>
        <w:t>Finans- och närings</w:t>
      </w:r>
      <w:r w:rsidR="002401D0">
        <w:t>utskottets betänkande</w:t>
      </w:r>
    </w:p>
    <w:p w14:paraId="49E62DF9" w14:textId="79FF01F0" w:rsidR="002401D0" w:rsidRDefault="00E9548E">
      <w:pPr>
        <w:pStyle w:val="ArendeRubrik"/>
      </w:pPr>
      <w:r>
        <w:t>Tillfällig skatt på vinster inom elbranschen</w:t>
      </w:r>
    </w:p>
    <w:p w14:paraId="1E7E8027" w14:textId="09B26017" w:rsidR="002401D0" w:rsidRDefault="00E9548E">
      <w:pPr>
        <w:pStyle w:val="ArendeUnderRubrik"/>
      </w:pPr>
      <w:r>
        <w:t>Landskapsregeringens lagförslag LF 13/</w:t>
      </w:r>
      <w:proofErr w:type="gramStart"/>
      <w:r>
        <w:t>2022-2023</w:t>
      </w:r>
      <w:proofErr w:type="gramEnd"/>
    </w:p>
    <w:p w14:paraId="1B1D078F" w14:textId="12463E0C" w:rsidR="005E3965" w:rsidRDefault="005E3965">
      <w:pPr>
        <w:pStyle w:val="ArendeUnderRubrik"/>
      </w:pPr>
      <w:r>
        <w:t xml:space="preserve">Självstyrelsepolitiska nämndens utlåtande </w:t>
      </w:r>
      <w:r w:rsidR="00B05A4E">
        <w:t>nr 1/</w:t>
      </w:r>
      <w:proofErr w:type="gramStart"/>
      <w:r w:rsidR="00B05A4E">
        <w:t>2022-2023</w:t>
      </w:r>
      <w:proofErr w:type="gramEnd"/>
    </w:p>
    <w:p w14:paraId="760711B6" w14:textId="77777777" w:rsidR="002401D0" w:rsidRDefault="002401D0">
      <w:pPr>
        <w:pStyle w:val="ANormal"/>
      </w:pPr>
    </w:p>
    <w:p w14:paraId="083F6024" w14:textId="77777777" w:rsidR="002401D0" w:rsidRDefault="002401D0">
      <w:pPr>
        <w:pStyle w:val="Innehll1"/>
      </w:pPr>
      <w:r>
        <w:t>INNEHÅLL</w:t>
      </w:r>
    </w:p>
    <w:p w14:paraId="21D2B1F5" w14:textId="08F56BFD" w:rsidR="00646134"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33908900" w:history="1">
        <w:r w:rsidR="00646134" w:rsidRPr="00874411">
          <w:rPr>
            <w:rStyle w:val="Hyperlnk"/>
          </w:rPr>
          <w:t>Sammanfattning</w:t>
        </w:r>
        <w:r w:rsidR="00646134">
          <w:rPr>
            <w:webHidden/>
          </w:rPr>
          <w:tab/>
        </w:r>
        <w:r w:rsidR="00646134">
          <w:rPr>
            <w:webHidden/>
          </w:rPr>
          <w:fldChar w:fldCharType="begin"/>
        </w:r>
        <w:r w:rsidR="00646134">
          <w:rPr>
            <w:webHidden/>
          </w:rPr>
          <w:instrText xml:space="preserve"> PAGEREF _Toc133908900 \h </w:instrText>
        </w:r>
        <w:r w:rsidR="00646134">
          <w:rPr>
            <w:webHidden/>
          </w:rPr>
        </w:r>
        <w:r w:rsidR="00646134">
          <w:rPr>
            <w:webHidden/>
          </w:rPr>
          <w:fldChar w:fldCharType="separate"/>
        </w:r>
        <w:r w:rsidR="002A1E37">
          <w:rPr>
            <w:webHidden/>
          </w:rPr>
          <w:t>1</w:t>
        </w:r>
        <w:r w:rsidR="00646134">
          <w:rPr>
            <w:webHidden/>
          </w:rPr>
          <w:fldChar w:fldCharType="end"/>
        </w:r>
      </w:hyperlink>
    </w:p>
    <w:p w14:paraId="2B01DB5F" w14:textId="4FC2B653" w:rsidR="00646134" w:rsidRDefault="002A1E37">
      <w:pPr>
        <w:pStyle w:val="Innehll2"/>
        <w:rPr>
          <w:rFonts w:asciiTheme="minorHAnsi" w:eastAsiaTheme="minorEastAsia" w:hAnsiTheme="minorHAnsi" w:cstheme="minorBidi"/>
          <w:sz w:val="22"/>
          <w:szCs w:val="22"/>
          <w:lang w:val="sv-FI" w:eastAsia="sv-FI"/>
        </w:rPr>
      </w:pPr>
      <w:hyperlink w:anchor="_Toc133908901" w:history="1">
        <w:r w:rsidR="00646134" w:rsidRPr="00874411">
          <w:rPr>
            <w:rStyle w:val="Hyperlnk"/>
          </w:rPr>
          <w:t>Landskapsregeringens förslag</w:t>
        </w:r>
        <w:r w:rsidR="00646134">
          <w:rPr>
            <w:webHidden/>
          </w:rPr>
          <w:tab/>
        </w:r>
        <w:r w:rsidR="00646134">
          <w:rPr>
            <w:webHidden/>
          </w:rPr>
          <w:fldChar w:fldCharType="begin"/>
        </w:r>
        <w:r w:rsidR="00646134">
          <w:rPr>
            <w:webHidden/>
          </w:rPr>
          <w:instrText xml:space="preserve"> PAGEREF _Toc133908901 \h </w:instrText>
        </w:r>
        <w:r w:rsidR="00646134">
          <w:rPr>
            <w:webHidden/>
          </w:rPr>
        </w:r>
        <w:r w:rsidR="00646134">
          <w:rPr>
            <w:webHidden/>
          </w:rPr>
          <w:fldChar w:fldCharType="separate"/>
        </w:r>
        <w:r>
          <w:rPr>
            <w:webHidden/>
          </w:rPr>
          <w:t>1</w:t>
        </w:r>
        <w:r w:rsidR="00646134">
          <w:rPr>
            <w:webHidden/>
          </w:rPr>
          <w:fldChar w:fldCharType="end"/>
        </w:r>
      </w:hyperlink>
    </w:p>
    <w:p w14:paraId="01499D6A" w14:textId="5E466F24" w:rsidR="00646134" w:rsidRDefault="002A1E37">
      <w:pPr>
        <w:pStyle w:val="Innehll2"/>
        <w:rPr>
          <w:rFonts w:asciiTheme="minorHAnsi" w:eastAsiaTheme="minorEastAsia" w:hAnsiTheme="minorHAnsi" w:cstheme="minorBidi"/>
          <w:sz w:val="22"/>
          <w:szCs w:val="22"/>
          <w:lang w:val="sv-FI" w:eastAsia="sv-FI"/>
        </w:rPr>
      </w:pPr>
      <w:hyperlink w:anchor="_Toc133908902" w:history="1">
        <w:r w:rsidR="00646134" w:rsidRPr="00874411">
          <w:rPr>
            <w:rStyle w:val="Hyperlnk"/>
          </w:rPr>
          <w:t>Utskottets förslag</w:t>
        </w:r>
        <w:r w:rsidR="00646134">
          <w:rPr>
            <w:webHidden/>
          </w:rPr>
          <w:tab/>
        </w:r>
        <w:r w:rsidR="00646134">
          <w:rPr>
            <w:webHidden/>
          </w:rPr>
          <w:fldChar w:fldCharType="begin"/>
        </w:r>
        <w:r w:rsidR="00646134">
          <w:rPr>
            <w:webHidden/>
          </w:rPr>
          <w:instrText xml:space="preserve"> PAGEREF _Toc133908902 \h </w:instrText>
        </w:r>
        <w:r w:rsidR="00646134">
          <w:rPr>
            <w:webHidden/>
          </w:rPr>
        </w:r>
        <w:r w:rsidR="00646134">
          <w:rPr>
            <w:webHidden/>
          </w:rPr>
          <w:fldChar w:fldCharType="separate"/>
        </w:r>
        <w:r>
          <w:rPr>
            <w:webHidden/>
          </w:rPr>
          <w:t>2</w:t>
        </w:r>
        <w:r w:rsidR="00646134">
          <w:rPr>
            <w:webHidden/>
          </w:rPr>
          <w:fldChar w:fldCharType="end"/>
        </w:r>
      </w:hyperlink>
    </w:p>
    <w:p w14:paraId="00288D14" w14:textId="00F63FFD" w:rsidR="00646134" w:rsidRDefault="002A1E37">
      <w:pPr>
        <w:pStyle w:val="Innehll1"/>
        <w:rPr>
          <w:rFonts w:asciiTheme="minorHAnsi" w:eastAsiaTheme="minorEastAsia" w:hAnsiTheme="minorHAnsi" w:cstheme="minorBidi"/>
          <w:sz w:val="22"/>
          <w:szCs w:val="22"/>
          <w:lang w:val="sv-FI" w:eastAsia="sv-FI"/>
        </w:rPr>
      </w:pPr>
      <w:hyperlink w:anchor="_Toc133908903" w:history="1">
        <w:r w:rsidR="00646134" w:rsidRPr="00874411">
          <w:rPr>
            <w:rStyle w:val="Hyperlnk"/>
          </w:rPr>
          <w:t>Utskottets synpunkter</w:t>
        </w:r>
        <w:r w:rsidR="00646134">
          <w:rPr>
            <w:webHidden/>
          </w:rPr>
          <w:tab/>
        </w:r>
        <w:r w:rsidR="00646134">
          <w:rPr>
            <w:webHidden/>
          </w:rPr>
          <w:fldChar w:fldCharType="begin"/>
        </w:r>
        <w:r w:rsidR="00646134">
          <w:rPr>
            <w:webHidden/>
          </w:rPr>
          <w:instrText xml:space="preserve"> PAGEREF _Toc133908903 \h </w:instrText>
        </w:r>
        <w:r w:rsidR="00646134">
          <w:rPr>
            <w:webHidden/>
          </w:rPr>
        </w:r>
        <w:r w:rsidR="00646134">
          <w:rPr>
            <w:webHidden/>
          </w:rPr>
          <w:fldChar w:fldCharType="separate"/>
        </w:r>
        <w:r>
          <w:rPr>
            <w:webHidden/>
          </w:rPr>
          <w:t>2</w:t>
        </w:r>
        <w:r w:rsidR="00646134">
          <w:rPr>
            <w:webHidden/>
          </w:rPr>
          <w:fldChar w:fldCharType="end"/>
        </w:r>
      </w:hyperlink>
    </w:p>
    <w:p w14:paraId="2EB8FA21" w14:textId="0F25A1F3" w:rsidR="00646134" w:rsidRDefault="002A1E37">
      <w:pPr>
        <w:pStyle w:val="Innehll3"/>
        <w:rPr>
          <w:rFonts w:asciiTheme="minorHAnsi" w:eastAsiaTheme="minorEastAsia" w:hAnsiTheme="minorHAnsi" w:cstheme="minorBidi"/>
          <w:sz w:val="22"/>
          <w:szCs w:val="22"/>
          <w:lang w:val="sv-FI" w:eastAsia="sv-FI"/>
        </w:rPr>
      </w:pPr>
      <w:hyperlink w:anchor="_Toc133908904" w:history="1">
        <w:r w:rsidR="00646134" w:rsidRPr="00874411">
          <w:rPr>
            <w:rStyle w:val="Hyperlnk"/>
          </w:rPr>
          <w:t>Kompensationsåtgärder riktade till konsumenterna</w:t>
        </w:r>
        <w:r w:rsidR="00646134">
          <w:rPr>
            <w:webHidden/>
          </w:rPr>
          <w:tab/>
        </w:r>
        <w:r w:rsidR="00646134">
          <w:rPr>
            <w:webHidden/>
          </w:rPr>
          <w:fldChar w:fldCharType="begin"/>
        </w:r>
        <w:r w:rsidR="00646134">
          <w:rPr>
            <w:webHidden/>
          </w:rPr>
          <w:instrText xml:space="preserve"> PAGEREF _Toc133908904 \h </w:instrText>
        </w:r>
        <w:r w:rsidR="00646134">
          <w:rPr>
            <w:webHidden/>
          </w:rPr>
        </w:r>
        <w:r w:rsidR="00646134">
          <w:rPr>
            <w:webHidden/>
          </w:rPr>
          <w:fldChar w:fldCharType="separate"/>
        </w:r>
        <w:r>
          <w:rPr>
            <w:webHidden/>
          </w:rPr>
          <w:t>3</w:t>
        </w:r>
        <w:r w:rsidR="00646134">
          <w:rPr>
            <w:webHidden/>
          </w:rPr>
          <w:fldChar w:fldCharType="end"/>
        </w:r>
      </w:hyperlink>
    </w:p>
    <w:p w14:paraId="09609C5E" w14:textId="14F2039B" w:rsidR="00646134" w:rsidRDefault="002A1E37">
      <w:pPr>
        <w:pStyle w:val="Innehll3"/>
        <w:rPr>
          <w:rFonts w:asciiTheme="minorHAnsi" w:eastAsiaTheme="minorEastAsia" w:hAnsiTheme="minorHAnsi" w:cstheme="minorBidi"/>
          <w:sz w:val="22"/>
          <w:szCs w:val="22"/>
          <w:lang w:val="sv-FI" w:eastAsia="sv-FI"/>
        </w:rPr>
      </w:pPr>
      <w:hyperlink w:anchor="_Toc133908905" w:history="1">
        <w:r w:rsidR="00646134" w:rsidRPr="00874411">
          <w:rPr>
            <w:rStyle w:val="Hyperlnk"/>
          </w:rPr>
          <w:t>Skatteintäkternas omfattning</w:t>
        </w:r>
        <w:r w:rsidR="00646134">
          <w:rPr>
            <w:webHidden/>
          </w:rPr>
          <w:tab/>
        </w:r>
        <w:r w:rsidR="00646134">
          <w:rPr>
            <w:webHidden/>
          </w:rPr>
          <w:fldChar w:fldCharType="begin"/>
        </w:r>
        <w:r w:rsidR="00646134">
          <w:rPr>
            <w:webHidden/>
          </w:rPr>
          <w:instrText xml:space="preserve"> PAGEREF _Toc133908905 \h </w:instrText>
        </w:r>
        <w:r w:rsidR="00646134">
          <w:rPr>
            <w:webHidden/>
          </w:rPr>
        </w:r>
        <w:r w:rsidR="00646134">
          <w:rPr>
            <w:webHidden/>
          </w:rPr>
          <w:fldChar w:fldCharType="separate"/>
        </w:r>
        <w:r>
          <w:rPr>
            <w:webHidden/>
          </w:rPr>
          <w:t>4</w:t>
        </w:r>
        <w:r w:rsidR="00646134">
          <w:rPr>
            <w:webHidden/>
          </w:rPr>
          <w:fldChar w:fldCharType="end"/>
        </w:r>
      </w:hyperlink>
    </w:p>
    <w:p w14:paraId="5A5B7E17" w14:textId="26B71F3C" w:rsidR="00646134" w:rsidRDefault="002A1E37">
      <w:pPr>
        <w:pStyle w:val="Innehll3"/>
        <w:rPr>
          <w:rFonts w:asciiTheme="minorHAnsi" w:eastAsiaTheme="minorEastAsia" w:hAnsiTheme="minorHAnsi" w:cstheme="minorBidi"/>
          <w:sz w:val="22"/>
          <w:szCs w:val="22"/>
          <w:lang w:val="sv-FI" w:eastAsia="sv-FI"/>
        </w:rPr>
      </w:pPr>
      <w:hyperlink w:anchor="_Toc133908906" w:history="1">
        <w:r w:rsidR="00646134" w:rsidRPr="00874411">
          <w:rPr>
            <w:rStyle w:val="Hyperlnk"/>
          </w:rPr>
          <w:t>Retroaktiv lagstiftning och egendomsskydd</w:t>
        </w:r>
        <w:r w:rsidR="00646134">
          <w:rPr>
            <w:webHidden/>
          </w:rPr>
          <w:tab/>
        </w:r>
        <w:r w:rsidR="00646134">
          <w:rPr>
            <w:webHidden/>
          </w:rPr>
          <w:fldChar w:fldCharType="begin"/>
        </w:r>
        <w:r w:rsidR="00646134">
          <w:rPr>
            <w:webHidden/>
          </w:rPr>
          <w:instrText xml:space="preserve"> PAGEREF _Toc133908906 \h </w:instrText>
        </w:r>
        <w:r w:rsidR="00646134">
          <w:rPr>
            <w:webHidden/>
          </w:rPr>
        </w:r>
        <w:r w:rsidR="00646134">
          <w:rPr>
            <w:webHidden/>
          </w:rPr>
          <w:fldChar w:fldCharType="separate"/>
        </w:r>
        <w:r>
          <w:rPr>
            <w:webHidden/>
          </w:rPr>
          <w:t>4</w:t>
        </w:r>
        <w:r w:rsidR="00646134">
          <w:rPr>
            <w:webHidden/>
          </w:rPr>
          <w:fldChar w:fldCharType="end"/>
        </w:r>
      </w:hyperlink>
    </w:p>
    <w:p w14:paraId="03011E30" w14:textId="644ED300" w:rsidR="00646134" w:rsidRDefault="002A1E37">
      <w:pPr>
        <w:pStyle w:val="Innehll3"/>
        <w:rPr>
          <w:rFonts w:asciiTheme="minorHAnsi" w:eastAsiaTheme="minorEastAsia" w:hAnsiTheme="minorHAnsi" w:cstheme="minorBidi"/>
          <w:sz w:val="22"/>
          <w:szCs w:val="22"/>
          <w:lang w:val="sv-FI" w:eastAsia="sv-FI"/>
        </w:rPr>
      </w:pPr>
      <w:hyperlink w:anchor="_Toc133908907" w:history="1">
        <w:r w:rsidR="00646134" w:rsidRPr="00874411">
          <w:rPr>
            <w:rStyle w:val="Hyperlnk"/>
          </w:rPr>
          <w:t>Lagstiftningsbehörigheten</w:t>
        </w:r>
        <w:r w:rsidR="00646134">
          <w:rPr>
            <w:webHidden/>
          </w:rPr>
          <w:tab/>
        </w:r>
        <w:r w:rsidR="00646134">
          <w:rPr>
            <w:webHidden/>
          </w:rPr>
          <w:fldChar w:fldCharType="begin"/>
        </w:r>
        <w:r w:rsidR="00646134">
          <w:rPr>
            <w:webHidden/>
          </w:rPr>
          <w:instrText xml:space="preserve"> PAGEREF _Toc133908907 \h </w:instrText>
        </w:r>
        <w:r w:rsidR="00646134">
          <w:rPr>
            <w:webHidden/>
          </w:rPr>
        </w:r>
        <w:r w:rsidR="00646134">
          <w:rPr>
            <w:webHidden/>
          </w:rPr>
          <w:fldChar w:fldCharType="separate"/>
        </w:r>
        <w:r>
          <w:rPr>
            <w:webHidden/>
          </w:rPr>
          <w:t>4</w:t>
        </w:r>
        <w:r w:rsidR="00646134">
          <w:rPr>
            <w:webHidden/>
          </w:rPr>
          <w:fldChar w:fldCharType="end"/>
        </w:r>
      </w:hyperlink>
    </w:p>
    <w:p w14:paraId="5CEFC524" w14:textId="38622226" w:rsidR="00646134" w:rsidRDefault="002A1E37">
      <w:pPr>
        <w:pStyle w:val="Innehll3"/>
        <w:rPr>
          <w:rFonts w:asciiTheme="minorHAnsi" w:eastAsiaTheme="minorEastAsia" w:hAnsiTheme="minorHAnsi" w:cstheme="minorBidi"/>
          <w:sz w:val="22"/>
          <w:szCs w:val="22"/>
          <w:lang w:val="sv-FI" w:eastAsia="sv-FI"/>
        </w:rPr>
      </w:pPr>
      <w:hyperlink w:anchor="_Toc133908908" w:history="1">
        <w:r w:rsidR="00646134" w:rsidRPr="00874411">
          <w:rPr>
            <w:rStyle w:val="Hyperlnk"/>
          </w:rPr>
          <w:t>Ändringar under riksdagsbehandlingen</w:t>
        </w:r>
        <w:r w:rsidR="00646134">
          <w:rPr>
            <w:webHidden/>
          </w:rPr>
          <w:tab/>
        </w:r>
        <w:r w:rsidR="00646134">
          <w:rPr>
            <w:webHidden/>
          </w:rPr>
          <w:fldChar w:fldCharType="begin"/>
        </w:r>
        <w:r w:rsidR="00646134">
          <w:rPr>
            <w:webHidden/>
          </w:rPr>
          <w:instrText xml:space="preserve"> PAGEREF _Toc133908908 \h </w:instrText>
        </w:r>
        <w:r w:rsidR="00646134">
          <w:rPr>
            <w:webHidden/>
          </w:rPr>
        </w:r>
        <w:r w:rsidR="00646134">
          <w:rPr>
            <w:webHidden/>
          </w:rPr>
          <w:fldChar w:fldCharType="separate"/>
        </w:r>
        <w:r>
          <w:rPr>
            <w:webHidden/>
          </w:rPr>
          <w:t>5</w:t>
        </w:r>
        <w:r w:rsidR="00646134">
          <w:rPr>
            <w:webHidden/>
          </w:rPr>
          <w:fldChar w:fldCharType="end"/>
        </w:r>
      </w:hyperlink>
    </w:p>
    <w:p w14:paraId="756AEEA3" w14:textId="45A833C3" w:rsidR="00646134" w:rsidRDefault="002A1E37">
      <w:pPr>
        <w:pStyle w:val="Innehll1"/>
        <w:rPr>
          <w:rFonts w:asciiTheme="minorHAnsi" w:eastAsiaTheme="minorEastAsia" w:hAnsiTheme="minorHAnsi" w:cstheme="minorBidi"/>
          <w:sz w:val="22"/>
          <w:szCs w:val="22"/>
          <w:lang w:val="sv-FI" w:eastAsia="sv-FI"/>
        </w:rPr>
      </w:pPr>
      <w:hyperlink w:anchor="_Toc133908909" w:history="1">
        <w:r w:rsidR="00646134" w:rsidRPr="00874411">
          <w:rPr>
            <w:rStyle w:val="Hyperlnk"/>
          </w:rPr>
          <w:t>Ärendets behandling</w:t>
        </w:r>
        <w:r w:rsidR="00646134">
          <w:rPr>
            <w:webHidden/>
          </w:rPr>
          <w:tab/>
        </w:r>
        <w:r w:rsidR="00646134">
          <w:rPr>
            <w:webHidden/>
          </w:rPr>
          <w:fldChar w:fldCharType="begin"/>
        </w:r>
        <w:r w:rsidR="00646134">
          <w:rPr>
            <w:webHidden/>
          </w:rPr>
          <w:instrText xml:space="preserve"> PAGEREF _Toc133908909 \h </w:instrText>
        </w:r>
        <w:r w:rsidR="00646134">
          <w:rPr>
            <w:webHidden/>
          </w:rPr>
        </w:r>
        <w:r w:rsidR="00646134">
          <w:rPr>
            <w:webHidden/>
          </w:rPr>
          <w:fldChar w:fldCharType="separate"/>
        </w:r>
        <w:r>
          <w:rPr>
            <w:webHidden/>
          </w:rPr>
          <w:t>5</w:t>
        </w:r>
        <w:r w:rsidR="00646134">
          <w:rPr>
            <w:webHidden/>
          </w:rPr>
          <w:fldChar w:fldCharType="end"/>
        </w:r>
      </w:hyperlink>
    </w:p>
    <w:p w14:paraId="2251DE06" w14:textId="25118B88" w:rsidR="00646134" w:rsidRDefault="002A1E37">
      <w:pPr>
        <w:pStyle w:val="Innehll2"/>
        <w:rPr>
          <w:rFonts w:asciiTheme="minorHAnsi" w:eastAsiaTheme="minorEastAsia" w:hAnsiTheme="minorHAnsi" w:cstheme="minorBidi"/>
          <w:sz w:val="22"/>
          <w:szCs w:val="22"/>
          <w:lang w:val="sv-FI" w:eastAsia="sv-FI"/>
        </w:rPr>
      </w:pPr>
      <w:hyperlink w:anchor="_Toc133908910" w:history="1">
        <w:r w:rsidR="00646134" w:rsidRPr="00874411">
          <w:rPr>
            <w:rStyle w:val="Hyperlnk"/>
          </w:rPr>
          <w:t>Utlåtande</w:t>
        </w:r>
        <w:r w:rsidR="00646134">
          <w:rPr>
            <w:webHidden/>
          </w:rPr>
          <w:tab/>
        </w:r>
        <w:r w:rsidR="00646134">
          <w:rPr>
            <w:webHidden/>
          </w:rPr>
          <w:fldChar w:fldCharType="begin"/>
        </w:r>
        <w:r w:rsidR="00646134">
          <w:rPr>
            <w:webHidden/>
          </w:rPr>
          <w:instrText xml:space="preserve"> PAGEREF _Toc133908910 \h </w:instrText>
        </w:r>
        <w:r w:rsidR="00646134">
          <w:rPr>
            <w:webHidden/>
          </w:rPr>
        </w:r>
        <w:r w:rsidR="00646134">
          <w:rPr>
            <w:webHidden/>
          </w:rPr>
          <w:fldChar w:fldCharType="separate"/>
        </w:r>
        <w:r>
          <w:rPr>
            <w:webHidden/>
          </w:rPr>
          <w:t>5</w:t>
        </w:r>
        <w:r w:rsidR="00646134">
          <w:rPr>
            <w:webHidden/>
          </w:rPr>
          <w:fldChar w:fldCharType="end"/>
        </w:r>
      </w:hyperlink>
    </w:p>
    <w:p w14:paraId="39BF5AEE" w14:textId="22EEF282" w:rsidR="00646134" w:rsidRDefault="002A1E37">
      <w:pPr>
        <w:pStyle w:val="Innehll2"/>
        <w:rPr>
          <w:rFonts w:asciiTheme="minorHAnsi" w:eastAsiaTheme="minorEastAsia" w:hAnsiTheme="minorHAnsi" w:cstheme="minorBidi"/>
          <w:sz w:val="22"/>
          <w:szCs w:val="22"/>
          <w:lang w:val="sv-FI" w:eastAsia="sv-FI"/>
        </w:rPr>
      </w:pPr>
      <w:hyperlink w:anchor="_Toc133908911" w:history="1">
        <w:r w:rsidR="00646134" w:rsidRPr="00874411">
          <w:rPr>
            <w:rStyle w:val="Hyperlnk"/>
          </w:rPr>
          <w:t>Höranden</w:t>
        </w:r>
        <w:r w:rsidR="00646134">
          <w:rPr>
            <w:webHidden/>
          </w:rPr>
          <w:tab/>
        </w:r>
        <w:r w:rsidR="00646134">
          <w:rPr>
            <w:webHidden/>
          </w:rPr>
          <w:fldChar w:fldCharType="begin"/>
        </w:r>
        <w:r w:rsidR="00646134">
          <w:rPr>
            <w:webHidden/>
          </w:rPr>
          <w:instrText xml:space="preserve"> PAGEREF _Toc133908911 \h </w:instrText>
        </w:r>
        <w:r w:rsidR="00646134">
          <w:rPr>
            <w:webHidden/>
          </w:rPr>
        </w:r>
        <w:r w:rsidR="00646134">
          <w:rPr>
            <w:webHidden/>
          </w:rPr>
          <w:fldChar w:fldCharType="separate"/>
        </w:r>
        <w:r>
          <w:rPr>
            <w:webHidden/>
          </w:rPr>
          <w:t>5</w:t>
        </w:r>
        <w:r w:rsidR="00646134">
          <w:rPr>
            <w:webHidden/>
          </w:rPr>
          <w:fldChar w:fldCharType="end"/>
        </w:r>
      </w:hyperlink>
    </w:p>
    <w:p w14:paraId="7D1032A0" w14:textId="237F05B5" w:rsidR="00646134" w:rsidRDefault="002A1E37">
      <w:pPr>
        <w:pStyle w:val="Innehll2"/>
        <w:rPr>
          <w:rFonts w:asciiTheme="minorHAnsi" w:eastAsiaTheme="minorEastAsia" w:hAnsiTheme="minorHAnsi" w:cstheme="minorBidi"/>
          <w:sz w:val="22"/>
          <w:szCs w:val="22"/>
          <w:lang w:val="sv-FI" w:eastAsia="sv-FI"/>
        </w:rPr>
      </w:pPr>
      <w:hyperlink w:anchor="_Toc133908912" w:history="1">
        <w:r w:rsidR="00646134" w:rsidRPr="00874411">
          <w:rPr>
            <w:rStyle w:val="Hyperlnk"/>
          </w:rPr>
          <w:t>Närvarande</w:t>
        </w:r>
        <w:r w:rsidR="00646134">
          <w:rPr>
            <w:webHidden/>
          </w:rPr>
          <w:tab/>
        </w:r>
        <w:r w:rsidR="00646134">
          <w:rPr>
            <w:webHidden/>
          </w:rPr>
          <w:fldChar w:fldCharType="begin"/>
        </w:r>
        <w:r w:rsidR="00646134">
          <w:rPr>
            <w:webHidden/>
          </w:rPr>
          <w:instrText xml:space="preserve"> PAGEREF _Toc133908912 \h </w:instrText>
        </w:r>
        <w:r w:rsidR="00646134">
          <w:rPr>
            <w:webHidden/>
          </w:rPr>
        </w:r>
        <w:r w:rsidR="00646134">
          <w:rPr>
            <w:webHidden/>
          </w:rPr>
          <w:fldChar w:fldCharType="separate"/>
        </w:r>
        <w:r>
          <w:rPr>
            <w:webHidden/>
          </w:rPr>
          <w:t>5</w:t>
        </w:r>
        <w:r w:rsidR="00646134">
          <w:rPr>
            <w:webHidden/>
          </w:rPr>
          <w:fldChar w:fldCharType="end"/>
        </w:r>
      </w:hyperlink>
    </w:p>
    <w:p w14:paraId="71731FFB" w14:textId="45C37525" w:rsidR="00646134" w:rsidRDefault="002A1E37">
      <w:pPr>
        <w:pStyle w:val="Innehll1"/>
        <w:rPr>
          <w:rFonts w:asciiTheme="minorHAnsi" w:eastAsiaTheme="minorEastAsia" w:hAnsiTheme="minorHAnsi" w:cstheme="minorBidi"/>
          <w:sz w:val="22"/>
          <w:szCs w:val="22"/>
          <w:lang w:val="sv-FI" w:eastAsia="sv-FI"/>
        </w:rPr>
      </w:pPr>
      <w:hyperlink w:anchor="_Toc133908913" w:history="1">
        <w:r w:rsidR="00646134" w:rsidRPr="00874411">
          <w:rPr>
            <w:rStyle w:val="Hyperlnk"/>
          </w:rPr>
          <w:t>Utskottets förslag</w:t>
        </w:r>
        <w:r w:rsidR="00646134">
          <w:rPr>
            <w:webHidden/>
          </w:rPr>
          <w:tab/>
        </w:r>
        <w:r w:rsidR="00646134">
          <w:rPr>
            <w:webHidden/>
          </w:rPr>
          <w:fldChar w:fldCharType="begin"/>
        </w:r>
        <w:r w:rsidR="00646134">
          <w:rPr>
            <w:webHidden/>
          </w:rPr>
          <w:instrText xml:space="preserve"> PAGEREF _Toc133908913 \h </w:instrText>
        </w:r>
        <w:r w:rsidR="00646134">
          <w:rPr>
            <w:webHidden/>
          </w:rPr>
        </w:r>
        <w:r w:rsidR="00646134">
          <w:rPr>
            <w:webHidden/>
          </w:rPr>
          <w:fldChar w:fldCharType="separate"/>
        </w:r>
        <w:r>
          <w:rPr>
            <w:webHidden/>
          </w:rPr>
          <w:t>5</w:t>
        </w:r>
        <w:r w:rsidR="00646134">
          <w:rPr>
            <w:webHidden/>
          </w:rPr>
          <w:fldChar w:fldCharType="end"/>
        </w:r>
      </w:hyperlink>
    </w:p>
    <w:p w14:paraId="2DA091CD" w14:textId="689EC3C3" w:rsidR="002401D0" w:rsidRDefault="002401D0">
      <w:pPr>
        <w:pStyle w:val="ANormal"/>
        <w:rPr>
          <w:noProof/>
        </w:rPr>
      </w:pPr>
      <w:r>
        <w:rPr>
          <w:rFonts w:ascii="Verdana" w:hAnsi="Verdana"/>
          <w:noProof/>
          <w:sz w:val="16"/>
          <w:szCs w:val="36"/>
        </w:rPr>
        <w:fldChar w:fldCharType="end"/>
      </w:r>
    </w:p>
    <w:p w14:paraId="04063679" w14:textId="77777777" w:rsidR="002401D0" w:rsidRDefault="002401D0">
      <w:pPr>
        <w:pStyle w:val="ANormal"/>
      </w:pPr>
    </w:p>
    <w:p w14:paraId="7D6480FE" w14:textId="77777777" w:rsidR="002401D0" w:rsidRDefault="002401D0">
      <w:pPr>
        <w:pStyle w:val="RubrikA"/>
      </w:pPr>
      <w:bookmarkStart w:id="1" w:name="_Toc529800932"/>
      <w:bookmarkStart w:id="2" w:name="_Toc133908900"/>
      <w:r>
        <w:t>Sammanfattning</w:t>
      </w:r>
      <w:bookmarkEnd w:id="1"/>
      <w:bookmarkEnd w:id="2"/>
    </w:p>
    <w:p w14:paraId="13B58397" w14:textId="77777777" w:rsidR="002401D0" w:rsidRDefault="002401D0">
      <w:pPr>
        <w:pStyle w:val="Rubrikmellanrum"/>
      </w:pPr>
    </w:p>
    <w:p w14:paraId="35860050" w14:textId="08331762" w:rsidR="002401D0" w:rsidRDefault="00E9548E">
      <w:pPr>
        <w:pStyle w:val="RubrikB"/>
      </w:pPr>
      <w:bookmarkStart w:id="3" w:name="_Toc529800933"/>
      <w:bookmarkStart w:id="4" w:name="_Toc133908901"/>
      <w:r>
        <w:t>Landskapsregeringens</w:t>
      </w:r>
      <w:r w:rsidR="002401D0">
        <w:t xml:space="preserve"> förslag</w:t>
      </w:r>
      <w:bookmarkEnd w:id="3"/>
      <w:bookmarkEnd w:id="4"/>
    </w:p>
    <w:p w14:paraId="70C6C956" w14:textId="77777777" w:rsidR="002401D0" w:rsidRDefault="002401D0">
      <w:pPr>
        <w:pStyle w:val="Rubrikmellanrum"/>
      </w:pPr>
    </w:p>
    <w:p w14:paraId="6B77BFFE" w14:textId="77777777" w:rsidR="00E9548E" w:rsidRDefault="00E9548E" w:rsidP="00E9548E">
      <w:pPr>
        <w:pStyle w:val="ANormal"/>
      </w:pPr>
      <w:r>
        <w:t>Landskapsregeringen föreslår att det stiftas en landskapslag om tillfällig skatt på vinster inom elbranschen och sektorn för fossila bränslen. Förslaget innebär att EU-förordningen om en krisintervention för att komma till rätta med de höga energipriserna genomförs på motsvarande sätt som i riket.</w:t>
      </w:r>
    </w:p>
    <w:p w14:paraId="6C0D7127" w14:textId="77777777" w:rsidR="00E9548E" w:rsidRDefault="00E9548E" w:rsidP="00E9548E">
      <w:pPr>
        <w:pStyle w:val="ANormal"/>
      </w:pPr>
      <w:r>
        <w:tab/>
        <w:t>Enligt förslaget införs en tillfällig skatt på 30 procent som gäller elföretags vinster under skatteåret 2023.</w:t>
      </w:r>
      <w:r w:rsidRPr="00D2268B">
        <w:t xml:space="preserve"> </w:t>
      </w:r>
      <w:r>
        <w:t>Skatten tas ut utöver den inkomstskatt som betalas på företagens vinster och är inte avdragsgill i inkomstbeskattningen.</w:t>
      </w:r>
      <w:r w:rsidRPr="00D2268B">
        <w:t xml:space="preserve"> </w:t>
      </w:r>
      <w:r>
        <w:t>Skattskyldiga är företag som producerar el och företag som säljer el antingen direkt till slutförbrukarna eller för återförsäljning.</w:t>
      </w:r>
      <w:r w:rsidRPr="00D2268B">
        <w:t xml:space="preserve"> </w:t>
      </w:r>
      <w:r>
        <w:t>Skattskyldigheten omfattar inte ringa elaffärsverksamhet eller sådana detaljförsäljare av el som inte hör till en koncern med elproduktion och som inte har innehav i företag som bedriver elproduktion, om innehavet ger företaget rätt att köpa el till ett lägre pris.</w:t>
      </w:r>
      <w:r w:rsidRPr="00070F07">
        <w:t xml:space="preserve"> </w:t>
      </w:r>
      <w:r>
        <w:t>Skatten gäller det resultat av elaffärsverksamheten som överstiger en intäkt på tio procent beräknat på beloppet av det egna kapital som är bundet i elaffärsverksamheten.</w:t>
      </w:r>
      <w:r w:rsidRPr="00070F07">
        <w:t xml:space="preserve"> </w:t>
      </w:r>
      <w:r>
        <w:t>Med resultatet av elaffärsverksamheten avses skillnaden mellan de skattepliktiga inkomster och avdragsgilla utgifter samt övriga avdragsgilla poster som periodiserats till elaffärsverksamhetens skatteår. Inkomster som ett elföretags eventuella fasta driftställe utanför Åland har genererat ska inte beaktas i resultatet av elaffärsverksamheten.</w:t>
      </w:r>
    </w:p>
    <w:p w14:paraId="5ABAC500" w14:textId="77777777" w:rsidR="00E9548E" w:rsidRDefault="00E9548E" w:rsidP="00E9548E">
      <w:pPr>
        <w:pStyle w:val="ANormal"/>
      </w:pPr>
      <w:r>
        <w:tab/>
        <w:t>Genom förslaget införs också en tillfällig skatt på 33 procent som gäller vinster under skatteåret 2023 för företag inom sektorn för fossila bränslen.</w:t>
      </w:r>
      <w:r w:rsidRPr="00070F07">
        <w:t xml:space="preserve"> </w:t>
      </w:r>
      <w:r>
        <w:t>Skattskyldiga är företag vars omsättning till mer än 75 procent har genererats av utvinning av råolja, utvinning av naturgas, framställning av raffinerade oljeprodukter av råolja eller tillverkning av stenkolsprodukter.</w:t>
      </w:r>
    </w:p>
    <w:p w14:paraId="4A247721" w14:textId="77777777" w:rsidR="00E9548E" w:rsidRDefault="00E9548E" w:rsidP="00E9548E">
      <w:pPr>
        <w:pStyle w:val="ANormal"/>
      </w:pPr>
      <w:r>
        <w:lastRenderedPageBreak/>
        <w:tab/>
        <w:t>De tillfälliga skatterna uppbärs till landskapet och tas ut i efterhand under 2024. Avsikten är att överföra uppbörden till Skatteförvaltningen genom överenskommelseförordning.</w:t>
      </w:r>
    </w:p>
    <w:p w14:paraId="73FAF691" w14:textId="77777777" w:rsidR="00E9548E" w:rsidRDefault="00E9548E" w:rsidP="00E9548E">
      <w:pPr>
        <w:pStyle w:val="ANormal"/>
      </w:pPr>
      <w:r>
        <w:tab/>
        <w:t>Den föreslagna lagen är avsedd att tillämpas vid beskattningen för skatteåret 2023, men beroende på när den skattskyldiges räkenskapsperiod slutar kan den i stället i vissa fall tillämpas vid beskattningen för 2024. Den bör därför träda i kraft så snart som möjligt.</w:t>
      </w:r>
    </w:p>
    <w:p w14:paraId="102BF51D" w14:textId="77777777" w:rsidR="002401D0" w:rsidRDefault="002401D0">
      <w:pPr>
        <w:pStyle w:val="ANormal"/>
      </w:pPr>
    </w:p>
    <w:p w14:paraId="01671149" w14:textId="77777777" w:rsidR="002401D0" w:rsidRDefault="002401D0">
      <w:pPr>
        <w:pStyle w:val="RubrikB"/>
      </w:pPr>
      <w:bookmarkStart w:id="5" w:name="_Toc529800934"/>
      <w:bookmarkStart w:id="6" w:name="_Toc133908902"/>
      <w:r>
        <w:t>Utskottets förslag</w:t>
      </w:r>
      <w:bookmarkEnd w:id="5"/>
      <w:bookmarkEnd w:id="6"/>
    </w:p>
    <w:p w14:paraId="6A0ED663" w14:textId="77777777" w:rsidR="002401D0" w:rsidRDefault="002401D0">
      <w:pPr>
        <w:pStyle w:val="Rubrikmellanrum"/>
      </w:pPr>
    </w:p>
    <w:p w14:paraId="56438EFF" w14:textId="4037607C" w:rsidR="002401D0" w:rsidRDefault="00EF6B3F">
      <w:pPr>
        <w:pStyle w:val="ANormal"/>
      </w:pPr>
      <w:r>
        <w:t xml:space="preserve">Utskottet föreslår att </w:t>
      </w:r>
      <w:r w:rsidR="000B6462">
        <w:t>lagtinget antar lagförslaget med de ändringar av språklig och teknisk natur som utskottet genomfört.</w:t>
      </w:r>
    </w:p>
    <w:p w14:paraId="78D1BBAD" w14:textId="77777777" w:rsidR="002401D0" w:rsidRDefault="002401D0">
      <w:pPr>
        <w:pStyle w:val="ANormal"/>
      </w:pPr>
    </w:p>
    <w:p w14:paraId="2119E365" w14:textId="77777777" w:rsidR="002401D0" w:rsidRDefault="002401D0">
      <w:pPr>
        <w:pStyle w:val="RubrikA"/>
      </w:pPr>
      <w:bookmarkStart w:id="7" w:name="_Toc529800935"/>
      <w:bookmarkStart w:id="8" w:name="_Toc133908903"/>
      <w:r>
        <w:t>Utskottets synpunkter</w:t>
      </w:r>
      <w:bookmarkEnd w:id="7"/>
      <w:bookmarkEnd w:id="8"/>
    </w:p>
    <w:p w14:paraId="793563CB" w14:textId="77777777" w:rsidR="002401D0" w:rsidRDefault="002401D0">
      <w:pPr>
        <w:pStyle w:val="Rubrikmellanrum"/>
      </w:pPr>
    </w:p>
    <w:p w14:paraId="7C3EF56C" w14:textId="7BC25870" w:rsidR="008C73D0" w:rsidRDefault="008C73D0">
      <w:pPr>
        <w:pStyle w:val="ANormal"/>
      </w:pPr>
      <w:r w:rsidRPr="008C73D0">
        <w:t xml:space="preserve">Föreliggande lagförslag är </w:t>
      </w:r>
      <w:r>
        <w:t xml:space="preserve">en följd av en EU-förordning (2022/1854) vars syfte är att utjämna följderna av de kraftiga höjningar på främst elenergi som drabbat Europa som en följd av kriget i Ukraina. Förordningen innehåller förslag till minskad elkonsumtion, ett utgiftstak på elenergi och </w:t>
      </w:r>
      <w:r w:rsidR="00C711D7">
        <w:t>ett så kallat solidaritetsbidrag för företag i den fossila energisektorn. Lagförslaget berör enbart Åland till den del det gäller elförsörjningen.</w:t>
      </w:r>
    </w:p>
    <w:p w14:paraId="5BA0012F" w14:textId="0C3C317A" w:rsidR="00FA6947" w:rsidRDefault="008C73D0">
      <w:pPr>
        <w:pStyle w:val="ANormal"/>
      </w:pPr>
      <w:r>
        <w:tab/>
        <w:t xml:space="preserve">Landskapsregeringen </w:t>
      </w:r>
      <w:r w:rsidR="00C711D7">
        <w:t>har valt att föreslå att rikets motsvarande lag används som blankettlag, något som förenklar uppbörden av skatt</w:t>
      </w:r>
      <w:r w:rsidR="00BC7F15">
        <w:t>en</w:t>
      </w:r>
      <w:r w:rsidR="00C711D7">
        <w:t>.</w:t>
      </w:r>
    </w:p>
    <w:p w14:paraId="5231A852" w14:textId="351B1D57" w:rsidR="00676C58" w:rsidRDefault="000F0CA5">
      <w:pPr>
        <w:pStyle w:val="ANormal"/>
      </w:pPr>
      <w:r>
        <w:tab/>
      </w:r>
      <w:r w:rsidR="003E22DA">
        <w:t xml:space="preserve">I EU-förordningen syftar man till att sänka priserna på elenergi genom införande av ett kostnadstak på elenergi om 180 euro/MWh. För att sätta detta i ett perspektiv </w:t>
      </w:r>
      <w:r w:rsidR="0041282F">
        <w:t>kan man konstatera att medelpriset</w:t>
      </w:r>
      <w:r w:rsidR="0086509D">
        <w:t xml:space="preserve"> (månadsmedeltal)</w:t>
      </w:r>
      <w:r w:rsidR="0041282F">
        <w:t xml:space="preserve"> inom</w:t>
      </w:r>
      <w:r w:rsidR="00661A8F">
        <w:t xml:space="preserve"> </w:t>
      </w:r>
      <w:r w:rsidR="0041282F">
        <w:t>SE3-området</w:t>
      </w:r>
      <w:r w:rsidR="00661A8F">
        <w:t xml:space="preserve">, från vilket Åland får sin energi, </w:t>
      </w:r>
      <w:r w:rsidR="0041282F">
        <w:t xml:space="preserve">på </w:t>
      </w:r>
      <w:proofErr w:type="spellStart"/>
      <w:r w:rsidR="0041282F">
        <w:t>Nordpools</w:t>
      </w:r>
      <w:proofErr w:type="spellEnd"/>
      <w:r w:rsidR="0041282F">
        <w:t xml:space="preserve"> spotmarknad för elenergi var 36 euro/MWh under perioden november 2011 till januari 2022. </w:t>
      </w:r>
      <w:r w:rsidR="00676C58">
        <w:t xml:space="preserve">Under 2022 och till och med januari 2023 uppgår medelpriset till 125 euro/MWh, alltså 3,5 gånger högre än den tidigare prisnivån </w:t>
      </w:r>
      <w:r w:rsidR="00FF235F">
        <w:t xml:space="preserve">som </w:t>
      </w:r>
      <w:r w:rsidR="0086509D">
        <w:t>i allmänhet legat i spannet</w:t>
      </w:r>
      <w:r w:rsidR="00FF235F">
        <w:t xml:space="preserve"> </w:t>
      </w:r>
      <w:r w:rsidR="00676C58">
        <w:t xml:space="preserve">mellan </w:t>
      </w:r>
      <w:proofErr w:type="gramStart"/>
      <w:r w:rsidR="00676C58">
        <w:t>20-50</w:t>
      </w:r>
      <w:proofErr w:type="gramEnd"/>
      <w:r w:rsidR="00676C58">
        <w:t xml:space="preserve"> euro/MWh. </w:t>
      </w:r>
      <w:r w:rsidR="00FF235F">
        <w:t xml:space="preserve">Under inledningen av 2023 har prisnivån vikit så att medelpriset per vecka för årets </w:t>
      </w:r>
      <w:r w:rsidR="00661A8F" w:rsidRPr="00EF6B3F">
        <w:t>femton</w:t>
      </w:r>
      <w:r w:rsidR="00FF235F" w:rsidRPr="00EF6B3F">
        <w:t xml:space="preserve"> första veckor ligger på </w:t>
      </w:r>
      <w:r w:rsidR="0086509D" w:rsidRPr="00EF6B3F">
        <w:t>7</w:t>
      </w:r>
      <w:r w:rsidR="00661A8F" w:rsidRPr="00EF6B3F">
        <w:t>4</w:t>
      </w:r>
      <w:r w:rsidR="00FF235F" w:rsidRPr="00EF6B3F">
        <w:t xml:space="preserve"> euro/MWh.</w:t>
      </w:r>
      <w:r w:rsidR="00EF6B3F">
        <w:t xml:space="preserve"> </w:t>
      </w:r>
      <w:r w:rsidR="008E1E58">
        <w:t xml:space="preserve"> </w:t>
      </w:r>
    </w:p>
    <w:p w14:paraId="73E339E8" w14:textId="77777777" w:rsidR="0086509D" w:rsidRDefault="0086509D">
      <w:pPr>
        <w:pStyle w:val="ANormal"/>
      </w:pPr>
    </w:p>
    <w:p w14:paraId="2622DE27" w14:textId="2C094114" w:rsidR="00EF6B3F" w:rsidRDefault="00EF6B3F">
      <w:pPr>
        <w:pStyle w:val="ANormal"/>
      </w:pPr>
      <w:r>
        <w:rPr>
          <w:noProof/>
        </w:rPr>
        <w:drawing>
          <wp:inline distT="0" distB="0" distL="0" distR="0" wp14:anchorId="7A12688A" wp14:editId="550BBB27">
            <wp:extent cx="4248150" cy="2978150"/>
            <wp:effectExtent l="0" t="0" r="0" b="0"/>
            <wp:docPr id="6" name="Diagram 6">
              <a:extLst xmlns:a="http://schemas.openxmlformats.org/drawingml/2006/main">
                <a:ext uri="{FF2B5EF4-FFF2-40B4-BE49-F238E27FC236}">
                  <a16:creationId xmlns:a16="http://schemas.microsoft.com/office/drawing/2014/main" id="{EB02C4EE-2803-58D9-54F0-9A1631FCFE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0DD6F0" w14:textId="236BEAF9" w:rsidR="0086509D" w:rsidRDefault="0086509D">
      <w:pPr>
        <w:pStyle w:val="ANormal"/>
      </w:pPr>
    </w:p>
    <w:p w14:paraId="4AF8DD05" w14:textId="2752451E" w:rsidR="003E22DA" w:rsidRDefault="0086509D">
      <w:pPr>
        <w:pStyle w:val="ANormal"/>
      </w:pPr>
      <w:r>
        <w:tab/>
      </w:r>
      <w:r w:rsidR="0041282F">
        <w:t xml:space="preserve">Under år 2022 överskreds det satta utgiftstaket om 180 euro/MWh endast under augusti, september och december, som högst på nivån 246 euro/MWh. Utgiftstaket är således ganska högt satt i jämförelse med det prisområde som används på Åland. </w:t>
      </w:r>
    </w:p>
    <w:p w14:paraId="6E22C672" w14:textId="0C82294E" w:rsidR="00A94CC0" w:rsidRDefault="0041282F" w:rsidP="00A94CC0">
      <w:pPr>
        <w:pStyle w:val="ANormal"/>
      </w:pPr>
      <w:r>
        <w:lastRenderedPageBreak/>
        <w:tab/>
        <w:t xml:space="preserve">Medan EU valt att </w:t>
      </w:r>
      <w:r w:rsidR="0002578E">
        <w:t xml:space="preserve">försöka </w:t>
      </w:r>
      <w:r>
        <w:t xml:space="preserve">reglera prissättningen på </w:t>
      </w:r>
      <w:r w:rsidR="00B755E9">
        <w:t>elenergi</w:t>
      </w:r>
      <w:r>
        <w:t xml:space="preserve"> </w:t>
      </w:r>
      <w:r w:rsidR="0002578E">
        <w:t xml:space="preserve">genom ett pristak </w:t>
      </w:r>
      <w:r>
        <w:t>har Finland gått in för att ta ut en extra vinstskatt av de bolag som producerar och</w:t>
      </w:r>
      <w:r w:rsidR="00E30D65">
        <w:t>/eller</w:t>
      </w:r>
      <w:r>
        <w:t xml:space="preserve"> säljer elenergi</w:t>
      </w:r>
      <w:r w:rsidR="0002578E">
        <w:t>. Avsikten är att</w:t>
      </w:r>
      <w:r>
        <w:t xml:space="preserve"> </w:t>
      </w:r>
      <w:r w:rsidR="00B755E9">
        <w:t xml:space="preserve">konsumenterna </w:t>
      </w:r>
      <w:proofErr w:type="gramStart"/>
      <w:r w:rsidR="00B755E9">
        <w:t>istället</w:t>
      </w:r>
      <w:proofErr w:type="gramEnd"/>
      <w:r w:rsidR="00B755E9">
        <w:t xml:space="preserve"> </w:t>
      </w:r>
      <w:r w:rsidR="0002578E">
        <w:t xml:space="preserve">ska </w:t>
      </w:r>
      <w:r w:rsidR="00B755E9">
        <w:t xml:space="preserve">kompenseras med </w:t>
      </w:r>
      <w:r w:rsidR="00A94CC0">
        <w:t>olika åtgärder som riktas direkt mot</w:t>
      </w:r>
      <w:r w:rsidR="00BC7F15">
        <w:t xml:space="preserve"> dem</w:t>
      </w:r>
      <w:r w:rsidR="00B755E9">
        <w:t xml:space="preserve">. </w:t>
      </w:r>
    </w:p>
    <w:p w14:paraId="41E5BB34" w14:textId="517C2E08" w:rsidR="0041282F" w:rsidRDefault="00A94CC0" w:rsidP="00A94CC0">
      <w:pPr>
        <w:pStyle w:val="ANormal"/>
      </w:pPr>
      <w:r>
        <w:tab/>
        <w:t>S</w:t>
      </w:r>
      <w:r w:rsidR="00B755E9">
        <w:t xml:space="preserve">kattesatsen är dimensionerad så att den i princip </w:t>
      </w:r>
      <w:r>
        <w:t xml:space="preserve">ska </w:t>
      </w:r>
      <w:r w:rsidR="00B755E9">
        <w:t>eliminera minst 90 procent av den vinst som energiproducenterna gör på den försäljning vars pris överskrider 180 euro/MWh.</w:t>
      </w:r>
      <w:r w:rsidR="0002578E">
        <w:t xml:space="preserve"> I propositionen</w:t>
      </w:r>
      <w:r w:rsidR="0035049D">
        <w:t xml:space="preserve"> till riksdagen (RP 320/2022 </w:t>
      </w:r>
      <w:proofErr w:type="spellStart"/>
      <w:r w:rsidR="0035049D">
        <w:t>rd</w:t>
      </w:r>
      <w:proofErr w:type="spellEnd"/>
      <w:r w:rsidR="0035049D">
        <w:t>)</w:t>
      </w:r>
      <w:r w:rsidR="0002578E">
        <w:t xml:space="preserve"> förklaras detta förfarande med bristande tid för beredning och </w:t>
      </w:r>
      <w:r w:rsidR="003B68EC">
        <w:t>den</w:t>
      </w:r>
      <w:r w:rsidR="0002578E">
        <w:t xml:space="preserve"> komplexitet ett pristak</w:t>
      </w:r>
      <w:r w:rsidR="003B68EC">
        <w:t xml:space="preserve"> skulle medföra</w:t>
      </w:r>
      <w:r w:rsidR="0002578E">
        <w:t xml:space="preserve">. </w:t>
      </w:r>
    </w:p>
    <w:p w14:paraId="081E8CE0" w14:textId="170F3250" w:rsidR="00972CC1" w:rsidRDefault="00972CC1">
      <w:pPr>
        <w:pStyle w:val="ANormal"/>
      </w:pPr>
    </w:p>
    <w:p w14:paraId="3D09DEBC" w14:textId="5AF856C2" w:rsidR="00972CC1" w:rsidRDefault="00A94CC0" w:rsidP="00A94CC0">
      <w:pPr>
        <w:pStyle w:val="RubrikC"/>
      </w:pPr>
      <w:bookmarkStart w:id="9" w:name="_Toc133908904"/>
      <w:r>
        <w:t>K</w:t>
      </w:r>
      <w:r w:rsidR="00972CC1" w:rsidRPr="00972CC1">
        <w:t>ompensationsåtgärder</w:t>
      </w:r>
      <w:r>
        <w:t xml:space="preserve"> riktade till konsumenterna</w:t>
      </w:r>
      <w:bookmarkEnd w:id="9"/>
    </w:p>
    <w:p w14:paraId="02BAA59C" w14:textId="46E5DFEA" w:rsidR="00A94CC0" w:rsidRDefault="00A94CC0" w:rsidP="00A94CC0">
      <w:pPr>
        <w:pStyle w:val="Rubrikmellanrum"/>
      </w:pPr>
    </w:p>
    <w:p w14:paraId="7BCBE48D" w14:textId="1406660A" w:rsidR="00A94CC0" w:rsidRDefault="00063EEA" w:rsidP="00A94CC0">
      <w:pPr>
        <w:pStyle w:val="ANormal"/>
      </w:pPr>
      <w:r>
        <w:t>Riksdagen har under hösten 2022 och vintern 2023 antagit ett flertal lagar vars syfte är att kompensera konsumenterna för de höjda kostnaderna för elenergi. Nedan följer en summering av dessa åtgärder:</w:t>
      </w:r>
    </w:p>
    <w:p w14:paraId="154A8FE0" w14:textId="264D99FE" w:rsidR="00063EEA" w:rsidRDefault="00063EEA" w:rsidP="008B3A12">
      <w:pPr>
        <w:pStyle w:val="ANormal"/>
        <w:numPr>
          <w:ilvl w:val="0"/>
          <w:numId w:val="47"/>
        </w:numPr>
      </w:pPr>
      <w:r>
        <w:t xml:space="preserve">En temporär sänkning av mervärdesskatten </w:t>
      </w:r>
      <w:r w:rsidR="00A71A50">
        <w:t xml:space="preserve">(RP 194/2022) </w:t>
      </w:r>
      <w:r>
        <w:t>på elenergi från 24 procent till 10 procent. Sänkningen gäller initialt för perioden 1.12.2022 till 30.4.2023. Samtidigt sänktes mervärdesskatten på persontransporter till noll under perioden 1.1-30.4.2023. Åtgärderna är riksbehörighet. Landskapet är indirekt med och finansierar åtgärden via en minskning av avräkningsbeloppet.</w:t>
      </w:r>
    </w:p>
    <w:p w14:paraId="0A1965CA" w14:textId="5B51340F" w:rsidR="00A71A50" w:rsidRDefault="00A71A50" w:rsidP="008B3A12">
      <w:pPr>
        <w:pStyle w:val="ANormal"/>
        <w:numPr>
          <w:ilvl w:val="0"/>
          <w:numId w:val="47"/>
        </w:numPr>
      </w:pPr>
      <w:r>
        <w:t>En temporär rätt att göra hushållsavdrag för höga elenergiräkningar (</w:t>
      </w:r>
      <w:proofErr w:type="gramStart"/>
      <w:r>
        <w:t>2</w:t>
      </w:r>
      <w:r w:rsidR="001F07EE">
        <w:t>.</w:t>
      </w:r>
      <w:r>
        <w:t>000</w:t>
      </w:r>
      <w:proofErr w:type="gramEnd"/>
      <w:r>
        <w:t>-6</w:t>
      </w:r>
      <w:r w:rsidR="001F07EE">
        <w:t>.</w:t>
      </w:r>
      <w:r>
        <w:t>000 euro) under perioden januari-april 2023 (RP 204</w:t>
      </w:r>
      <w:r w:rsidR="001F07EE">
        <w:t>/2022</w:t>
      </w:r>
      <w:r>
        <w:t>).</w:t>
      </w:r>
      <w:r w:rsidR="001F07EE">
        <w:t xml:space="preserve"> </w:t>
      </w:r>
      <w:r w:rsidR="008B3A12">
        <w:t>Hushållsavdraget dras i första hand från statsskatten och i andra hand från kommunalskatten (26 § kommunalskattelag (2011:119) för landskapet Åland)</w:t>
      </w:r>
    </w:p>
    <w:p w14:paraId="35AB70CB" w14:textId="37BF963D" w:rsidR="00937C46" w:rsidRDefault="00937C46" w:rsidP="008B3A12">
      <w:pPr>
        <w:pStyle w:val="ANormal"/>
        <w:numPr>
          <w:ilvl w:val="0"/>
          <w:numId w:val="47"/>
        </w:numPr>
      </w:pPr>
      <w:r>
        <w:t>En temporär lag om stöd för hushåll med låga inkomster som inte kan göra hushållsavdrag. Stödet beviljas via Folkpensionsanstalten (RP 234</w:t>
      </w:r>
      <w:r w:rsidR="001F07EE">
        <w:t>/2022</w:t>
      </w:r>
      <w:r>
        <w:t xml:space="preserve">). </w:t>
      </w:r>
      <w:r w:rsidR="008B3A12">
        <w:t>Lagen kom till i snabb takt och det finns inget omnämnande om behörighetsfrågan i propositionen och landskapsregeringen har inte heller fått avge något yttrande i ärendet</w:t>
      </w:r>
    </w:p>
    <w:p w14:paraId="54853FD5" w14:textId="665693B7" w:rsidR="00063EEA" w:rsidRDefault="00A71A50" w:rsidP="008B3A12">
      <w:pPr>
        <w:pStyle w:val="ANormal"/>
        <w:numPr>
          <w:ilvl w:val="0"/>
          <w:numId w:val="47"/>
        </w:numPr>
      </w:pPr>
      <w:r>
        <w:t>En lag om retroaktiv kompensation till hushåll för höga elpriser och en lag om förlängning av betalningstiden för elenergiräkningar samt ett temporärt stöd för elbolagens likviditet (RP 324</w:t>
      </w:r>
      <w:r w:rsidR="001F07EE">
        <w:t>/2022</w:t>
      </w:r>
      <w:r>
        <w:t>).</w:t>
      </w:r>
      <w:r w:rsidR="00063EEA">
        <w:t xml:space="preserve"> </w:t>
      </w:r>
      <w:r>
        <w:t>Landskapsregeringen anser att åtgärderna är landskapets behörighet. Motsvarande lagstiftning har ännu inte föreslagits från landskapsregeringens sida.</w:t>
      </w:r>
      <w:r w:rsidR="00063EEA">
        <w:t xml:space="preserve"> </w:t>
      </w:r>
      <w:r>
        <w:t xml:space="preserve"> </w:t>
      </w:r>
    </w:p>
    <w:p w14:paraId="226DCE5D" w14:textId="2BC02C33" w:rsidR="00846BA0" w:rsidRPr="009D7646" w:rsidRDefault="00846BA0" w:rsidP="008B3A12">
      <w:pPr>
        <w:pStyle w:val="ANormal"/>
        <w:numPr>
          <w:ilvl w:val="0"/>
          <w:numId w:val="47"/>
        </w:numPr>
      </w:pPr>
      <w:r>
        <w:t xml:space="preserve">En lag om temporära stöd till jord- och vattenbruket som kompensation för höjda gödsel och elenergikostnader (RP 327/2022). </w:t>
      </w:r>
      <w:r w:rsidRPr="009D7646">
        <w:t xml:space="preserve">Stödet </w:t>
      </w:r>
      <w:r w:rsidR="009D7646">
        <w:t xml:space="preserve">är enligt propositionen </w:t>
      </w:r>
      <w:r w:rsidRPr="009D7646">
        <w:t>åländsk behörighet</w:t>
      </w:r>
      <w:r w:rsidR="008C2F8E">
        <w:t xml:space="preserve"> och landskapsregeringen har föreslagit ett stödpaket i samband med den första tilläggsbudgeten. Finansieringen fö</w:t>
      </w:r>
      <w:r w:rsidR="00BC7F15">
        <w:t>r</w:t>
      </w:r>
      <w:r w:rsidR="008C2F8E">
        <w:t xml:space="preserve"> detta stödpaket kommer dock i sin helhet från statsbudgeten.</w:t>
      </w:r>
    </w:p>
    <w:p w14:paraId="16DB5F75" w14:textId="0AE9F676" w:rsidR="00780CC5" w:rsidRDefault="00780CC5" w:rsidP="008B3A12">
      <w:pPr>
        <w:pStyle w:val="ANormal"/>
        <w:numPr>
          <w:ilvl w:val="0"/>
          <w:numId w:val="47"/>
        </w:numPr>
      </w:pPr>
      <w:r>
        <w:t>Miljöministeriets förordning 17/2023 möjliggör för bostadssammanslutningar att erhålla kompensation för höga elenergipriser för fyra månader december</w:t>
      </w:r>
      <w:r w:rsidR="00BC7F15">
        <w:t xml:space="preserve"> </w:t>
      </w:r>
      <w:r>
        <w:t>2022-mars 2023. Även denna stödform är åländsk behörighet.</w:t>
      </w:r>
    </w:p>
    <w:p w14:paraId="3300BA8B" w14:textId="7FDC6844" w:rsidR="00780CC5" w:rsidRPr="00A94CC0" w:rsidRDefault="00780CC5" w:rsidP="00780CC5">
      <w:pPr>
        <w:pStyle w:val="ANormal"/>
      </w:pPr>
      <w:r>
        <w:tab/>
        <w:t xml:space="preserve">Utskottet konstaterar att de åländska konsumenterna av elenergi erhåller stöd såtillvida stödformen är riksbehörighet eller annars ingår i ett större nationellt system. </w:t>
      </w:r>
      <w:r w:rsidR="008C2F8E">
        <w:t>Enligt den information u</w:t>
      </w:r>
      <w:r w:rsidRPr="008C2F8E">
        <w:t xml:space="preserve">tskottet har </w:t>
      </w:r>
      <w:r w:rsidR="008C2F8E" w:rsidRPr="008C2F8E">
        <w:t>erhållit</w:t>
      </w:r>
      <w:r w:rsidRPr="008C2F8E">
        <w:t xml:space="preserve"> </w:t>
      </w:r>
      <w:r w:rsidR="008C2F8E">
        <w:t>avser landskapsregeringen invänta en slutlig bedömning av lagstiftningsbehörigheten innan man planerar eventuella vidare åtgärder riktade till konsumenterna</w:t>
      </w:r>
      <w:r w:rsidR="008C2F8E" w:rsidRPr="008C2F8E">
        <w:t>.</w:t>
      </w:r>
      <w:r w:rsidRPr="008C2F8E">
        <w:t xml:space="preserve"> </w:t>
      </w:r>
    </w:p>
    <w:p w14:paraId="3521055F" w14:textId="77777777" w:rsidR="00FA6947" w:rsidRDefault="00FA6947">
      <w:pPr>
        <w:pStyle w:val="ANormal"/>
        <w:rPr>
          <w:b/>
          <w:bCs/>
        </w:rPr>
      </w:pPr>
    </w:p>
    <w:p w14:paraId="1042553D" w14:textId="276EDF5C" w:rsidR="002401D0" w:rsidRDefault="00D1081C" w:rsidP="003B68EC">
      <w:pPr>
        <w:pStyle w:val="RubrikC"/>
      </w:pPr>
      <w:bookmarkStart w:id="10" w:name="_Toc133908905"/>
      <w:r w:rsidRPr="00D1081C">
        <w:lastRenderedPageBreak/>
        <w:t xml:space="preserve">Skatteintäkternas </w:t>
      </w:r>
      <w:r w:rsidR="00194F42">
        <w:t>omfattning</w:t>
      </w:r>
      <w:bookmarkEnd w:id="10"/>
    </w:p>
    <w:p w14:paraId="637B9720" w14:textId="17618423" w:rsidR="003B68EC" w:rsidRDefault="003B68EC" w:rsidP="003B68EC">
      <w:pPr>
        <w:pStyle w:val="Rubrikmellanrum"/>
      </w:pPr>
    </w:p>
    <w:p w14:paraId="652E879E" w14:textId="77777777" w:rsidR="008563BD" w:rsidRDefault="003B68EC" w:rsidP="003B68EC">
      <w:pPr>
        <w:pStyle w:val="ANormal"/>
      </w:pPr>
      <w:r>
        <w:t xml:space="preserve">I lagförslaget finns ingen egentlig utredning över </w:t>
      </w:r>
      <w:r w:rsidR="0035049D">
        <w:t xml:space="preserve">det förväntade skatteutfallet eftersom utfallet i hög grad är beroende av de prisnivåer på elenergimarknaden som kommer att råda under 2023. </w:t>
      </w:r>
    </w:p>
    <w:p w14:paraId="13170092" w14:textId="13F0D0D4" w:rsidR="003B68EC" w:rsidRDefault="008563BD" w:rsidP="003B68EC">
      <w:pPr>
        <w:pStyle w:val="ANormal"/>
      </w:pPr>
      <w:r>
        <w:tab/>
      </w:r>
      <w:r w:rsidR="0035049D">
        <w:t xml:space="preserve">I propositionen till riksdagen förväntas skatteintäkterna </w:t>
      </w:r>
      <w:r>
        <w:t xml:space="preserve">för hela landet </w:t>
      </w:r>
      <w:r w:rsidR="0035049D">
        <w:t xml:space="preserve">ligga inom intervallet </w:t>
      </w:r>
      <w:proofErr w:type="gramStart"/>
      <w:r w:rsidR="0035049D">
        <w:t>0,5</w:t>
      </w:r>
      <w:r w:rsidR="003815CF">
        <w:t>-</w:t>
      </w:r>
      <w:r w:rsidR="0035049D">
        <w:t>1,3</w:t>
      </w:r>
      <w:proofErr w:type="gramEnd"/>
      <w:r w:rsidR="0035049D">
        <w:t xml:space="preserve"> miljarder euro, beräknat under antagandet att priset ligger mellan 100 och 200 euro/MWh och att producenterna till 65 % har </w:t>
      </w:r>
      <w:proofErr w:type="spellStart"/>
      <w:r w:rsidR="0035049D">
        <w:t>terminssäkrat</w:t>
      </w:r>
      <w:proofErr w:type="spellEnd"/>
      <w:r w:rsidR="0035049D">
        <w:t xml:space="preserve"> försäljningen på en nivå som är 40 euro/MWh. Under behandlingen i riksdagens ekonomiutskott har detta antagande</w:t>
      </w:r>
      <w:r w:rsidR="0016036B">
        <w:t xml:space="preserve"> justerats nedåt till spannet </w:t>
      </w:r>
      <w:proofErr w:type="gramStart"/>
      <w:r w:rsidR="0016036B">
        <w:t>0</w:t>
      </w:r>
      <w:r w:rsidR="003815CF">
        <w:t>,</w:t>
      </w:r>
      <w:r w:rsidR="0016036B">
        <w:t>3-0,4</w:t>
      </w:r>
      <w:proofErr w:type="gramEnd"/>
      <w:r w:rsidR="0016036B">
        <w:t xml:space="preserve"> miljarder euro. Detta som en följd av att såväl terminspriserna som de faktiska priserna har sjunkit i början på året.</w:t>
      </w:r>
    </w:p>
    <w:p w14:paraId="49F83F09" w14:textId="4CA0C7D6" w:rsidR="008563BD" w:rsidRDefault="008E1E58" w:rsidP="003B68EC">
      <w:pPr>
        <w:pStyle w:val="ANormal"/>
      </w:pPr>
      <w:r>
        <w:tab/>
        <w:t xml:space="preserve">Det finns förväntningar om sjunkande priser, en slutsats som man kan dra från priserna på framtida inköp av elenergi. Dessa handlas på NASDAQ OMX marknadsplats för råvaror i form av så kallade </w:t>
      </w:r>
      <w:proofErr w:type="spellStart"/>
      <w:r w:rsidR="008563BD">
        <w:t>terminkontrakt</w:t>
      </w:r>
      <w:proofErr w:type="spellEnd"/>
      <w:r w:rsidR="008563BD">
        <w:t xml:space="preserve"> (ett avtal om leverans av energi vid en framtida tidpunkt till ett fast pris)</w:t>
      </w:r>
      <w:r>
        <w:t>.</w:t>
      </w:r>
    </w:p>
    <w:p w14:paraId="44F1FF8F" w14:textId="0576D216" w:rsidR="008563BD" w:rsidRDefault="008563BD" w:rsidP="003B68EC">
      <w:pPr>
        <w:pStyle w:val="ANormal"/>
      </w:pPr>
      <w:r>
        <w:tab/>
        <w:t xml:space="preserve">Utskottet har </w:t>
      </w:r>
      <w:r w:rsidR="008116D5">
        <w:t xml:space="preserve">gjort en översiktlig </w:t>
      </w:r>
      <w:r>
        <w:t>simuler</w:t>
      </w:r>
      <w:r w:rsidR="008116D5">
        <w:t>ing av</w:t>
      </w:r>
      <w:r>
        <w:t xml:space="preserve"> ett eventuellt skatteutfall för landskapets del. Simuleringen baserar sig på en produktion om 170 000 MWh </w:t>
      </w:r>
      <w:r w:rsidR="00246A77">
        <w:t xml:space="preserve">från de två största bolagen </w:t>
      </w:r>
      <w:r>
        <w:t xml:space="preserve">och vid ett </w:t>
      </w:r>
      <w:r w:rsidR="00246A77">
        <w:t>års</w:t>
      </w:r>
      <w:r>
        <w:t>medelpris om 5</w:t>
      </w:r>
      <w:r w:rsidR="00246A77">
        <w:t>0 €/MWh blir intäkten från den tillfälliga skatten cirka 50 000 euro, vid 65 €/MWh cirka 6</w:t>
      </w:r>
      <w:r w:rsidR="008A7D7C">
        <w:t>8</w:t>
      </w:r>
      <w:r w:rsidR="00246A77">
        <w:t>0 000 euro och vid medelpriset 7</w:t>
      </w:r>
      <w:r w:rsidR="008116D5">
        <w:t>4</w:t>
      </w:r>
      <w:r w:rsidR="00246A77">
        <w:t xml:space="preserve"> €/MWh cirka 1,</w:t>
      </w:r>
      <w:r w:rsidR="008116D5">
        <w:t>3</w:t>
      </w:r>
      <w:r w:rsidR="00246A77">
        <w:t xml:space="preserve"> miljoner euro. </w:t>
      </w:r>
    </w:p>
    <w:p w14:paraId="6AC15E06" w14:textId="3A87B291" w:rsidR="00A35AA5" w:rsidRPr="00D1081C" w:rsidRDefault="003815CF">
      <w:pPr>
        <w:pStyle w:val="ANormal"/>
        <w:rPr>
          <w:b/>
          <w:bCs/>
        </w:rPr>
      </w:pPr>
      <w:r>
        <w:tab/>
      </w:r>
    </w:p>
    <w:p w14:paraId="75064AC0" w14:textId="6240BFD4" w:rsidR="00D1081C" w:rsidRDefault="00D1081C" w:rsidP="005D53C2">
      <w:pPr>
        <w:pStyle w:val="RubrikC"/>
      </w:pPr>
      <w:bookmarkStart w:id="11" w:name="_Toc133908906"/>
      <w:r w:rsidRPr="00D1081C">
        <w:t>Retroaktiv lagstiftning</w:t>
      </w:r>
      <w:r w:rsidR="00084C06">
        <w:t xml:space="preserve"> och egendomsskydd</w:t>
      </w:r>
      <w:bookmarkEnd w:id="11"/>
    </w:p>
    <w:p w14:paraId="2AA8B44F" w14:textId="77777777" w:rsidR="005D53C2" w:rsidRPr="005D53C2" w:rsidRDefault="005D53C2" w:rsidP="005D53C2">
      <w:pPr>
        <w:pStyle w:val="Rubrikmellanrum"/>
      </w:pPr>
    </w:p>
    <w:p w14:paraId="0E0A4082" w14:textId="1A7952F3" w:rsidR="00084C06" w:rsidRDefault="005D53C2" w:rsidP="00084C06">
      <w:pPr>
        <w:pStyle w:val="ANormal"/>
      </w:pPr>
      <w:r w:rsidRPr="005D53C2">
        <w:t>Utskottet</w:t>
      </w:r>
      <w:r>
        <w:t xml:space="preserve"> har behandlat frågan om retroaktiviteten i lagstiftningen. </w:t>
      </w:r>
      <w:r w:rsidR="00084C06">
        <w:t>Även frågan om skattens motiv kan diskuteras ur grundlagssynvinkel, eftersom skatten i princip</w:t>
      </w:r>
      <w:r w:rsidR="008475C8">
        <w:t xml:space="preserve"> i ett enda slag</w:t>
      </w:r>
      <w:r w:rsidR="00084C06">
        <w:t xml:space="preserve"> fördubblar den vanliga </w:t>
      </w:r>
      <w:r w:rsidR="008475C8">
        <w:t>samfunds</w:t>
      </w:r>
      <w:r w:rsidR="00084C06">
        <w:t xml:space="preserve">skatten skulle den kunna ses som ett intrång i </w:t>
      </w:r>
      <w:r w:rsidR="008475C8">
        <w:t xml:space="preserve">det </w:t>
      </w:r>
      <w:r w:rsidR="00084C06">
        <w:t>egendomsskydd</w:t>
      </w:r>
      <w:r w:rsidR="008475C8">
        <w:t xml:space="preserve"> som medborgarna åtnjuter enligt grundlagen</w:t>
      </w:r>
      <w:r w:rsidR="00084C06">
        <w:t xml:space="preserve">. </w:t>
      </w:r>
    </w:p>
    <w:p w14:paraId="722914EA" w14:textId="3B6FF5FD" w:rsidR="00084C06" w:rsidRDefault="00084C06">
      <w:pPr>
        <w:pStyle w:val="ANormal"/>
      </w:pPr>
      <w:r>
        <w:tab/>
      </w:r>
      <w:r w:rsidR="005D53C2">
        <w:t>I samband med behandlingen av den föreslagna blankettlagen i riksdagen gav grundlagsutskottet ett utlåtande (</w:t>
      </w:r>
      <w:proofErr w:type="spellStart"/>
      <w:r w:rsidR="005D53C2">
        <w:t>GrUU</w:t>
      </w:r>
      <w:proofErr w:type="spellEnd"/>
      <w:r w:rsidR="005D53C2">
        <w:t xml:space="preserve"> 97/2022) i vilket man konstaterade att det inte i grundlagen finns något uttryckligt förbud mot retroaktiv beskattning</w:t>
      </w:r>
      <w:r w:rsidR="008475C8">
        <w:t>,</w:t>
      </w:r>
      <w:r w:rsidR="005D53C2">
        <w:t xml:space="preserve"> utan retroaktiviteten bör prövas </w:t>
      </w:r>
      <w:r w:rsidR="00687915">
        <w:t xml:space="preserve">gentemot de som skatten riktar sig mot. I detta fall konstateras att det i allmänhet är fråga om stora företag och att syftet med beskattningen, det vill säga att uppnå lägre elenergipriser på konsumentnivå, varit känd sedan förordningen om krisintervention publicerades i Europeiska unionens officiella tidning den 7 oktober 2022. </w:t>
      </w:r>
      <w:r>
        <w:t xml:space="preserve">Samma resonemang gäller egendomsskyddet, att det är fråga om stora företag och att fysiska personer inte drabbas direkt. </w:t>
      </w:r>
    </w:p>
    <w:p w14:paraId="25A2D91B" w14:textId="6F2210E5" w:rsidR="00687915" w:rsidRDefault="00084C06">
      <w:pPr>
        <w:pStyle w:val="ANormal"/>
      </w:pPr>
      <w:r>
        <w:tab/>
      </w:r>
      <w:r w:rsidR="00687915">
        <w:t>Med tanke på detta kan man anse att marknadsaktörerna haft kännedom om de åtgärder som nu vidtas.</w:t>
      </w:r>
      <w:r>
        <w:t xml:space="preserve"> Grundlagsutskottet ha</w:t>
      </w:r>
      <w:r w:rsidR="008475C8">
        <w:t>de</w:t>
      </w:r>
      <w:r>
        <w:t xml:space="preserve"> således ingenting att invända mot grunderna för regleringen.</w:t>
      </w:r>
    </w:p>
    <w:p w14:paraId="359EBC1C" w14:textId="726B3C6C" w:rsidR="00A35AA5" w:rsidRPr="00D1081C" w:rsidRDefault="00687915">
      <w:pPr>
        <w:pStyle w:val="ANormal"/>
        <w:rPr>
          <w:b/>
          <w:bCs/>
        </w:rPr>
      </w:pPr>
      <w:r>
        <w:tab/>
      </w:r>
    </w:p>
    <w:p w14:paraId="5B53D54B" w14:textId="21ED1415" w:rsidR="00D1081C" w:rsidRDefault="00D1081C" w:rsidP="00A94CC0">
      <w:pPr>
        <w:pStyle w:val="RubrikC"/>
      </w:pPr>
      <w:bookmarkStart w:id="12" w:name="_Toc133908907"/>
      <w:r w:rsidRPr="00D1081C">
        <w:t>Lagstiftningsbehörigheten</w:t>
      </w:r>
      <w:bookmarkEnd w:id="12"/>
    </w:p>
    <w:p w14:paraId="1F282BF1" w14:textId="77777777" w:rsidR="00A94CC0" w:rsidRPr="00A94CC0" w:rsidRDefault="00A94CC0" w:rsidP="00A94CC0">
      <w:pPr>
        <w:pStyle w:val="Rubrikmellanrum"/>
      </w:pPr>
    </w:p>
    <w:p w14:paraId="0693DB58" w14:textId="76367EB7" w:rsidR="00A35AA5" w:rsidRDefault="00A94CC0">
      <w:pPr>
        <w:pStyle w:val="ANormal"/>
      </w:pPr>
      <w:r>
        <w:t xml:space="preserve">Utskottet konstaterar att landskapsregeringen och finansministeriet har olika uppfattningar om behörighetsfördelningen. Utskottet har med anledning därav hört självstyrelsepolitiska nämnden vars synpunkter framkommer nedan. </w:t>
      </w:r>
      <w:r w:rsidR="00C2656C">
        <w:t>Nämnden har även inhämtat ett utlåtande från professor emeritus Olli Mäenpää, vilket ingår som bilaga i nämndens utlåtande.</w:t>
      </w:r>
    </w:p>
    <w:p w14:paraId="6304EF9F" w14:textId="7FC0DE65" w:rsidR="00C2656C" w:rsidRDefault="00C2656C" w:rsidP="00C2656C">
      <w:pPr>
        <w:pStyle w:val="ANormal"/>
      </w:pPr>
      <w:r>
        <w:tab/>
        <w:t xml:space="preserve">Nämnden delar såväl landskapsregeringens som professor Mäenpääs slutsatser att den föreslagna landskapslagen faller inom lagtingets behörighet. </w:t>
      </w:r>
    </w:p>
    <w:p w14:paraId="4F699D13" w14:textId="77777777" w:rsidR="00C2656C" w:rsidRDefault="00C2656C" w:rsidP="00C2656C">
      <w:pPr>
        <w:pStyle w:val="ANormal"/>
        <w:rPr>
          <w:bdr w:val="none" w:sz="0" w:space="0" w:color="auto" w:frame="1"/>
        </w:rPr>
      </w:pPr>
      <w:r>
        <w:rPr>
          <w:bdr w:val="none" w:sz="0" w:space="0" w:color="auto" w:frame="1"/>
        </w:rPr>
        <w:tab/>
        <w:t>Den föreslagna lagen är att b</w:t>
      </w:r>
      <w:r w:rsidRPr="00DC5452">
        <w:rPr>
          <w:bdr w:val="none" w:sz="0" w:space="0" w:color="auto" w:frame="1"/>
        </w:rPr>
        <w:t xml:space="preserve">etrakta som skattelagstiftning </w:t>
      </w:r>
      <w:r>
        <w:rPr>
          <w:bdr w:val="none" w:sz="0" w:space="0" w:color="auto" w:frame="1"/>
        </w:rPr>
        <w:t xml:space="preserve">snarare </w:t>
      </w:r>
      <w:r w:rsidRPr="00DC5452">
        <w:rPr>
          <w:bdr w:val="none" w:sz="0" w:space="0" w:color="auto" w:frame="1"/>
        </w:rPr>
        <w:t>än lagstiftning om elmarknaden. Lagstiftningsbehörigheten när det gäller beskattning är delad</w:t>
      </w:r>
      <w:r>
        <w:rPr>
          <w:bdr w:val="none" w:sz="0" w:space="0" w:color="auto" w:frame="1"/>
        </w:rPr>
        <w:t xml:space="preserve"> och e</w:t>
      </w:r>
      <w:r w:rsidRPr="00DC5452">
        <w:rPr>
          <w:bdr w:val="none" w:sz="0" w:space="0" w:color="auto" w:frame="1"/>
        </w:rPr>
        <w:t>nligt 18 § 5 punkten i självstyrelselagen har lagtinget behörighet att lagstifta bland annat om landskapet tillkommande näringsskatter.</w:t>
      </w:r>
      <w:r>
        <w:rPr>
          <w:bdr w:val="none" w:sz="0" w:space="0" w:color="auto" w:frame="1"/>
        </w:rPr>
        <w:t xml:space="preserve"> Begreppet näringsskatt har förblivit oförändrat sedan den </w:t>
      </w:r>
      <w:r>
        <w:rPr>
          <w:bdr w:val="none" w:sz="0" w:space="0" w:color="auto" w:frame="1"/>
        </w:rPr>
        <w:lastRenderedPageBreak/>
        <w:t xml:space="preserve">första självstyrelselagens tillkomst. </w:t>
      </w:r>
      <w:r w:rsidRPr="00842C86">
        <w:rPr>
          <w:bdr w:val="none" w:sz="0" w:space="0" w:color="auto" w:frame="1"/>
        </w:rPr>
        <w:t>Kännetecknande för en näringsskatt är att den riktar sig mot avkastningen av en särskild näring medan mervärdesskatt och accis, som också riktar sig mot näringsidkare är allmänna skatter.</w:t>
      </w:r>
      <w:r>
        <w:rPr>
          <w:bdr w:val="none" w:sz="0" w:space="0" w:color="auto" w:frame="1"/>
        </w:rPr>
        <w:t xml:space="preserve"> </w:t>
      </w:r>
      <w:r w:rsidRPr="00D33F97">
        <w:rPr>
          <w:bdr w:val="none" w:sz="0" w:space="0" w:color="auto" w:frame="1"/>
        </w:rPr>
        <w:t>Vinstskatten skulle vara avsedd att beskatta avkastningen från energinäringsverksamhet strängare än genom den allmänna inkomstskatten</w:t>
      </w:r>
      <w:r>
        <w:rPr>
          <w:bdr w:val="none" w:sz="0" w:space="0" w:color="auto" w:frame="1"/>
        </w:rPr>
        <w:t xml:space="preserve"> och den</w:t>
      </w:r>
      <w:r w:rsidRPr="00D33F97">
        <w:rPr>
          <w:bdr w:val="none" w:sz="0" w:space="0" w:color="auto" w:frame="1"/>
        </w:rPr>
        <w:t xml:space="preserve"> skulle antingen ersätta inkomstskatten eller utgöra en konsumtionsskatt.</w:t>
      </w:r>
    </w:p>
    <w:p w14:paraId="21BBB47A" w14:textId="1383B737" w:rsidR="00C2656C" w:rsidRPr="00D33F97" w:rsidRDefault="00C2656C" w:rsidP="00C2656C">
      <w:pPr>
        <w:pStyle w:val="ANormal"/>
        <w:rPr>
          <w:bdr w:val="none" w:sz="0" w:space="0" w:color="auto" w:frame="1"/>
        </w:rPr>
      </w:pPr>
      <w:r>
        <w:rPr>
          <w:bdr w:val="none" w:sz="0" w:space="0" w:color="auto" w:frame="1"/>
        </w:rPr>
        <w:tab/>
        <w:t>Nämnden delar särskilt professor Mäenpää</w:t>
      </w:r>
      <w:r w:rsidR="00E30D65">
        <w:rPr>
          <w:bdr w:val="none" w:sz="0" w:space="0" w:color="auto" w:frame="1"/>
        </w:rPr>
        <w:t>s</w:t>
      </w:r>
      <w:r>
        <w:rPr>
          <w:bdr w:val="none" w:sz="0" w:space="0" w:color="auto" w:frame="1"/>
        </w:rPr>
        <w:t xml:space="preserve"> syn att frågan om h</w:t>
      </w:r>
      <w:r w:rsidRPr="00D33F97">
        <w:rPr>
          <w:bdr w:val="none" w:sz="0" w:space="0" w:color="auto" w:frame="1"/>
        </w:rPr>
        <w:t>ur och till vilka ändamål näringsskattens intäkter används</w:t>
      </w:r>
      <w:r>
        <w:rPr>
          <w:bdr w:val="none" w:sz="0" w:space="0" w:color="auto" w:frame="1"/>
        </w:rPr>
        <w:t>,</w:t>
      </w:r>
      <w:r w:rsidRPr="00D33F97">
        <w:rPr>
          <w:bdr w:val="none" w:sz="0" w:space="0" w:color="auto" w:frame="1"/>
        </w:rPr>
        <w:t xml:space="preserve"> saknar betydelse </w:t>
      </w:r>
      <w:r>
        <w:rPr>
          <w:bdr w:val="none" w:sz="0" w:space="0" w:color="auto" w:frame="1"/>
        </w:rPr>
        <w:t>för bedömning av lagstiftningsbehörighetens fördelning.</w:t>
      </w:r>
    </w:p>
    <w:p w14:paraId="1919D7A2" w14:textId="6A2B7898" w:rsidR="0047345F" w:rsidRDefault="0047345F">
      <w:pPr>
        <w:pStyle w:val="ANormal"/>
        <w:rPr>
          <w:b/>
          <w:bCs/>
        </w:rPr>
      </w:pPr>
    </w:p>
    <w:p w14:paraId="20BE4845" w14:textId="1566D282" w:rsidR="002112D5" w:rsidRDefault="002112D5" w:rsidP="002112D5">
      <w:pPr>
        <w:pStyle w:val="RubrikC"/>
      </w:pPr>
      <w:bookmarkStart w:id="13" w:name="_Toc133908908"/>
      <w:r>
        <w:t xml:space="preserve">Ändringar </w:t>
      </w:r>
      <w:r w:rsidR="0091470D">
        <w:t>under</w:t>
      </w:r>
      <w:r>
        <w:t xml:space="preserve"> riksdagsbehandlingen</w:t>
      </w:r>
      <w:bookmarkEnd w:id="13"/>
    </w:p>
    <w:p w14:paraId="35338E73" w14:textId="77777777" w:rsidR="002112D5" w:rsidRPr="002112D5" w:rsidRDefault="002112D5" w:rsidP="002112D5">
      <w:pPr>
        <w:pStyle w:val="Rubrikmellanrum"/>
      </w:pPr>
    </w:p>
    <w:p w14:paraId="269C92D9" w14:textId="74FF0448" w:rsidR="002112D5" w:rsidRPr="002112D5" w:rsidRDefault="002112D5">
      <w:pPr>
        <w:pStyle w:val="ANormal"/>
      </w:pPr>
      <w:r w:rsidRPr="002112D5">
        <w:t xml:space="preserve">Utskottet har noterat att </w:t>
      </w:r>
      <w:r>
        <w:t>riksdagens finansutskott g</w:t>
      </w:r>
      <w:r w:rsidR="00C2656C">
        <w:t>enomförde</w:t>
      </w:r>
      <w:r>
        <w:t xml:space="preserve"> e</w:t>
      </w:r>
      <w:r w:rsidR="00E30D65">
        <w:t>tt</w:t>
      </w:r>
      <w:r>
        <w:t xml:space="preserve"> </w:t>
      </w:r>
      <w:r w:rsidR="00646134">
        <w:t xml:space="preserve">antal betydande </w:t>
      </w:r>
      <w:r>
        <w:t>ändringar i lagförslaget under behandling</w:t>
      </w:r>
      <w:r w:rsidR="00646134">
        <w:t>en</w:t>
      </w:r>
      <w:r>
        <w:t xml:space="preserve">. </w:t>
      </w:r>
      <w:r w:rsidR="0091470D">
        <w:t xml:space="preserve">Ändringarna har således tillkommit efter det att lagförslaget lämnades till lagtinget. </w:t>
      </w:r>
      <w:r>
        <w:t>Enligt vad utskottet erfar</w:t>
      </w:r>
      <w:r w:rsidR="00C2656C">
        <w:t>it</w:t>
      </w:r>
      <w:r>
        <w:t xml:space="preserve"> påverkar dessa ändringar inte landskapsregeringens lagförslag.</w:t>
      </w:r>
    </w:p>
    <w:p w14:paraId="09B6898B" w14:textId="77777777" w:rsidR="002112D5" w:rsidRPr="00D1081C" w:rsidRDefault="002112D5">
      <w:pPr>
        <w:pStyle w:val="ANormal"/>
        <w:rPr>
          <w:b/>
          <w:bCs/>
        </w:rPr>
      </w:pPr>
    </w:p>
    <w:p w14:paraId="5AF8F2AD" w14:textId="77777777" w:rsidR="002401D0" w:rsidRDefault="002401D0">
      <w:pPr>
        <w:pStyle w:val="RubrikA"/>
      </w:pPr>
      <w:bookmarkStart w:id="14" w:name="_Toc529800936"/>
      <w:bookmarkStart w:id="15" w:name="_Toc133908909"/>
      <w:r>
        <w:t>Ärendets behandling</w:t>
      </w:r>
      <w:bookmarkEnd w:id="14"/>
      <w:bookmarkEnd w:id="15"/>
    </w:p>
    <w:p w14:paraId="1B82AD3E" w14:textId="77777777" w:rsidR="002401D0" w:rsidRDefault="002401D0">
      <w:pPr>
        <w:pStyle w:val="Rubrikmellanrum"/>
      </w:pPr>
    </w:p>
    <w:p w14:paraId="3F419116" w14:textId="742E615D" w:rsidR="00E9548E" w:rsidRPr="00635B59" w:rsidRDefault="00E9548E" w:rsidP="00E9548E">
      <w:pPr>
        <w:pStyle w:val="ANormal"/>
      </w:pPr>
      <w:r w:rsidRPr="00635B59">
        <w:t xml:space="preserve">Lagtinget har den </w:t>
      </w:r>
      <w:r>
        <w:t>25 januari</w:t>
      </w:r>
      <w:r w:rsidRPr="00635B59">
        <w:t xml:space="preserve"> 202</w:t>
      </w:r>
      <w:r>
        <w:t>3</w:t>
      </w:r>
      <w:r w:rsidRPr="00635B59">
        <w:t xml:space="preserve"> </w:t>
      </w:r>
      <w:proofErr w:type="spellStart"/>
      <w:r w:rsidRPr="00635B59">
        <w:t>inbegärt</w:t>
      </w:r>
      <w:proofErr w:type="spellEnd"/>
      <w:r w:rsidRPr="00635B59">
        <w:t xml:space="preserve"> finans- och näringsutskottets yttrande över förslaget till </w:t>
      </w:r>
      <w:r w:rsidR="0047345F">
        <w:t>landskapslagen om tillfällig skatt på vinster inom elbranschen och sektorn för fossila bränslen.</w:t>
      </w:r>
    </w:p>
    <w:p w14:paraId="5167CE2F" w14:textId="399E88E6" w:rsidR="00E9548E" w:rsidRDefault="00E9548E" w:rsidP="00E9548E">
      <w:pPr>
        <w:pStyle w:val="ANormal"/>
      </w:pPr>
    </w:p>
    <w:p w14:paraId="11F6B1D4" w14:textId="2BE2A048" w:rsidR="00B05A4E" w:rsidRDefault="00B05A4E" w:rsidP="00B05A4E">
      <w:pPr>
        <w:pStyle w:val="RubrikB"/>
      </w:pPr>
      <w:bookmarkStart w:id="16" w:name="_Toc133908910"/>
      <w:r>
        <w:t>Utlåtande</w:t>
      </w:r>
      <w:bookmarkEnd w:id="16"/>
    </w:p>
    <w:p w14:paraId="302BC45F" w14:textId="1A193EAA" w:rsidR="00B05A4E" w:rsidRDefault="00B05A4E" w:rsidP="00B05A4E">
      <w:pPr>
        <w:pStyle w:val="Rubrikmellanrum"/>
      </w:pPr>
    </w:p>
    <w:p w14:paraId="5585C48A" w14:textId="3BD458A7" w:rsidR="00B05A4E" w:rsidRPr="00B05A4E" w:rsidRDefault="00B05A4E" w:rsidP="00B05A4E">
      <w:pPr>
        <w:pStyle w:val="ANormal"/>
      </w:pPr>
      <w:r>
        <w:t>Utskottet har under behandlingen inhämtat självstyrelsepolitiska nämndens utlåtande över behörighetsfördelningen mellan landskapet och riket.</w:t>
      </w:r>
    </w:p>
    <w:p w14:paraId="580B03D3" w14:textId="77777777" w:rsidR="00B05A4E" w:rsidRDefault="00B05A4E" w:rsidP="00E9548E">
      <w:pPr>
        <w:pStyle w:val="RubrikB"/>
      </w:pPr>
      <w:bookmarkStart w:id="17" w:name="_Toc27797206"/>
      <w:bookmarkStart w:id="18" w:name="_Toc59866784"/>
      <w:bookmarkStart w:id="19" w:name="_Toc91300104"/>
      <w:bookmarkStart w:id="20" w:name="_Toc57991561"/>
      <w:bookmarkStart w:id="21" w:name="_Toc125021587"/>
    </w:p>
    <w:p w14:paraId="52505C12" w14:textId="46697DC7" w:rsidR="00E9548E" w:rsidRPr="00635B59" w:rsidRDefault="00E9548E" w:rsidP="00E9548E">
      <w:pPr>
        <w:pStyle w:val="RubrikB"/>
      </w:pPr>
      <w:bookmarkStart w:id="22" w:name="_Toc133908911"/>
      <w:r w:rsidRPr="00635B59">
        <w:t>Hörande</w:t>
      </w:r>
      <w:bookmarkEnd w:id="17"/>
      <w:bookmarkEnd w:id="18"/>
      <w:bookmarkEnd w:id="19"/>
      <w:r w:rsidRPr="00635B59">
        <w:t>n</w:t>
      </w:r>
      <w:bookmarkEnd w:id="20"/>
      <w:bookmarkEnd w:id="21"/>
      <w:bookmarkEnd w:id="22"/>
    </w:p>
    <w:p w14:paraId="6FE9056A" w14:textId="77777777" w:rsidR="00E9548E" w:rsidRPr="00635B59" w:rsidRDefault="00E9548E" w:rsidP="00E9548E">
      <w:pPr>
        <w:pStyle w:val="Rubrikmellanrum"/>
      </w:pPr>
    </w:p>
    <w:p w14:paraId="59819C68" w14:textId="0425357C" w:rsidR="00E9548E" w:rsidRDefault="00E9548E" w:rsidP="00E9548E">
      <w:pPr>
        <w:pStyle w:val="ANormal"/>
        <w:rPr>
          <w:szCs w:val="22"/>
        </w:rPr>
      </w:pPr>
      <w:r w:rsidRPr="003C26AF">
        <w:rPr>
          <w:szCs w:val="22"/>
        </w:rPr>
        <w:t>Utskottet har i ärendet hör</w:t>
      </w:r>
      <w:r w:rsidR="0047345F">
        <w:rPr>
          <w:szCs w:val="22"/>
        </w:rPr>
        <w:t>t ministern Roger Höglund och lagberedaren Diana Lönngren.</w:t>
      </w:r>
    </w:p>
    <w:p w14:paraId="0C240566" w14:textId="5558EC01" w:rsidR="00B05A4E" w:rsidRDefault="00B05A4E" w:rsidP="00E9548E">
      <w:pPr>
        <w:pStyle w:val="ANormal"/>
        <w:rPr>
          <w:szCs w:val="22"/>
        </w:rPr>
      </w:pPr>
    </w:p>
    <w:p w14:paraId="3A98B12C" w14:textId="77777777" w:rsidR="00E9548E" w:rsidRPr="00494B5F" w:rsidRDefault="00E9548E" w:rsidP="00E9548E">
      <w:pPr>
        <w:pStyle w:val="RubrikB"/>
      </w:pPr>
      <w:bookmarkStart w:id="23" w:name="_Toc124955285"/>
      <w:bookmarkStart w:id="24" w:name="_Toc133908912"/>
      <w:r>
        <w:t>Närvarande</w:t>
      </w:r>
      <w:bookmarkEnd w:id="23"/>
      <w:bookmarkEnd w:id="24"/>
    </w:p>
    <w:p w14:paraId="0ED1C439" w14:textId="77777777" w:rsidR="00E9548E" w:rsidRPr="00494B5F" w:rsidRDefault="00E9548E" w:rsidP="00E9548E">
      <w:pPr>
        <w:pStyle w:val="Rubrikmellanrum"/>
        <w:rPr>
          <w:szCs w:val="10"/>
        </w:rPr>
      </w:pPr>
    </w:p>
    <w:p w14:paraId="20616D04" w14:textId="259C9DE9" w:rsidR="00E9548E" w:rsidRDefault="00E9548E" w:rsidP="00E9548E">
      <w:pPr>
        <w:pStyle w:val="ANormal"/>
      </w:pPr>
      <w:r w:rsidRPr="00494B5F">
        <w:t>I ärendets avgörande behandling deltog ordföranden Jörgen Pettersson, vice ordföranden John Holmberg</w:t>
      </w:r>
      <w:r>
        <w:t xml:space="preserve">, </w:t>
      </w:r>
      <w:r w:rsidRPr="00494B5F">
        <w:t>ledamöterna Nina Fellman</w:t>
      </w:r>
      <w:r>
        <w:t>,</w:t>
      </w:r>
      <w:r w:rsidRPr="00494B5F">
        <w:t xml:space="preserve"> </w:t>
      </w:r>
      <w:r>
        <w:t>Lars Häggblom, Robert Mansén</w:t>
      </w:r>
      <w:r w:rsidR="00377DB7">
        <w:t xml:space="preserve"> och</w:t>
      </w:r>
      <w:r w:rsidRPr="00494B5F">
        <w:t xml:space="preserve"> Jörgen Strand</w:t>
      </w:r>
      <w:r>
        <w:t>.</w:t>
      </w:r>
    </w:p>
    <w:p w14:paraId="4BFD77A6" w14:textId="77777777" w:rsidR="00E9548E" w:rsidRDefault="00E9548E">
      <w:pPr>
        <w:pStyle w:val="ANormal"/>
      </w:pPr>
    </w:p>
    <w:p w14:paraId="5E8C3017" w14:textId="77777777" w:rsidR="002401D0" w:rsidRDefault="002401D0">
      <w:pPr>
        <w:pStyle w:val="ANormal"/>
      </w:pPr>
    </w:p>
    <w:p w14:paraId="431DC5C9" w14:textId="77777777" w:rsidR="002401D0" w:rsidRDefault="002401D0">
      <w:pPr>
        <w:pStyle w:val="RubrikA"/>
      </w:pPr>
      <w:bookmarkStart w:id="25" w:name="_Toc529800937"/>
      <w:bookmarkStart w:id="26" w:name="_Toc133908913"/>
      <w:r>
        <w:t>Utskottets förslag</w:t>
      </w:r>
      <w:bookmarkEnd w:id="25"/>
      <w:bookmarkEnd w:id="26"/>
    </w:p>
    <w:p w14:paraId="68398B48" w14:textId="77777777" w:rsidR="002401D0" w:rsidRDefault="002401D0">
      <w:pPr>
        <w:pStyle w:val="Rubrikmellanrum"/>
      </w:pPr>
    </w:p>
    <w:p w14:paraId="02A12C24" w14:textId="77777777" w:rsidR="002401D0" w:rsidRDefault="002401D0">
      <w:pPr>
        <w:pStyle w:val="ANormal"/>
      </w:pPr>
      <w:r>
        <w:t>Med hänvisning till det anförda föreslår utskottet</w:t>
      </w:r>
    </w:p>
    <w:p w14:paraId="7C271287" w14:textId="77777777" w:rsidR="002401D0" w:rsidRDefault="002401D0">
      <w:pPr>
        <w:pStyle w:val="ANormal"/>
      </w:pPr>
    </w:p>
    <w:p w14:paraId="01FEC0C2" w14:textId="0A2408AD" w:rsidR="002401D0" w:rsidRDefault="002401D0">
      <w:pPr>
        <w:pStyle w:val="Klam"/>
      </w:pPr>
      <w:r>
        <w:t>att lagtinget</w:t>
      </w:r>
      <w:r w:rsidR="00E9548E">
        <w:t xml:space="preserve"> antar lagförslaget i följande lydelse:</w:t>
      </w:r>
    </w:p>
    <w:p w14:paraId="4A9464DE" w14:textId="236D78E4" w:rsidR="00E9548E" w:rsidRDefault="00E9548E" w:rsidP="00E9548E">
      <w:pPr>
        <w:pStyle w:val="ANormal"/>
      </w:pPr>
    </w:p>
    <w:p w14:paraId="12F842C3" w14:textId="77777777" w:rsidR="00E9548E" w:rsidRDefault="00E9548E" w:rsidP="00E9548E">
      <w:pPr>
        <w:pStyle w:val="LagHuvRubr"/>
        <w:rPr>
          <w:lang w:val="en-GB"/>
        </w:rPr>
      </w:pPr>
      <w:bookmarkStart w:id="27" w:name="_Toc125019737"/>
      <w:r>
        <w:rPr>
          <w:lang w:val="en-GB"/>
        </w:rPr>
        <w:t>L A N D S K A P S L A G</w:t>
      </w:r>
      <w:r>
        <w:rPr>
          <w:lang w:val="en-GB"/>
        </w:rPr>
        <w:br/>
        <w:t xml:space="preserve">om </w:t>
      </w:r>
      <w:proofErr w:type="spellStart"/>
      <w:r>
        <w:rPr>
          <w:lang w:val="en-GB"/>
        </w:rPr>
        <w:t>tillfällig</w:t>
      </w:r>
      <w:proofErr w:type="spellEnd"/>
      <w:r>
        <w:rPr>
          <w:lang w:val="en-GB"/>
        </w:rPr>
        <w:t xml:space="preserve"> skatt </w:t>
      </w:r>
      <w:proofErr w:type="spellStart"/>
      <w:r>
        <w:rPr>
          <w:lang w:val="en-GB"/>
        </w:rPr>
        <w:t>på</w:t>
      </w:r>
      <w:proofErr w:type="spellEnd"/>
      <w:r>
        <w:rPr>
          <w:lang w:val="en-GB"/>
        </w:rPr>
        <w:t xml:space="preserve"> </w:t>
      </w:r>
      <w:proofErr w:type="spellStart"/>
      <w:r>
        <w:rPr>
          <w:lang w:val="en-GB"/>
        </w:rPr>
        <w:t>vinster</w:t>
      </w:r>
      <w:proofErr w:type="spellEnd"/>
      <w:r>
        <w:rPr>
          <w:lang w:val="en-GB"/>
        </w:rPr>
        <w:t xml:space="preserve"> </w:t>
      </w:r>
      <w:proofErr w:type="spellStart"/>
      <w:r>
        <w:rPr>
          <w:lang w:val="en-GB"/>
        </w:rPr>
        <w:t>inom</w:t>
      </w:r>
      <w:proofErr w:type="spellEnd"/>
      <w:r>
        <w:rPr>
          <w:lang w:val="en-GB"/>
        </w:rPr>
        <w:t xml:space="preserve"> </w:t>
      </w:r>
      <w:proofErr w:type="spellStart"/>
      <w:r>
        <w:rPr>
          <w:lang w:val="en-GB"/>
        </w:rPr>
        <w:t>elbranschen</w:t>
      </w:r>
      <w:proofErr w:type="spellEnd"/>
      <w:r>
        <w:rPr>
          <w:lang w:val="en-GB"/>
        </w:rPr>
        <w:t xml:space="preserve"> </w:t>
      </w:r>
      <w:proofErr w:type="spellStart"/>
      <w:r>
        <w:rPr>
          <w:lang w:val="en-GB"/>
        </w:rPr>
        <w:t>och</w:t>
      </w:r>
      <w:proofErr w:type="spellEnd"/>
      <w:r>
        <w:rPr>
          <w:lang w:val="en-GB"/>
        </w:rPr>
        <w:t xml:space="preserve"> </w:t>
      </w:r>
      <w:proofErr w:type="spellStart"/>
      <w:r>
        <w:rPr>
          <w:lang w:val="en-GB"/>
        </w:rPr>
        <w:t>sektorn</w:t>
      </w:r>
      <w:proofErr w:type="spellEnd"/>
      <w:r>
        <w:rPr>
          <w:lang w:val="en-GB"/>
        </w:rPr>
        <w:t xml:space="preserve"> för </w:t>
      </w:r>
      <w:proofErr w:type="spellStart"/>
      <w:r>
        <w:rPr>
          <w:lang w:val="en-GB"/>
        </w:rPr>
        <w:t>fossila</w:t>
      </w:r>
      <w:proofErr w:type="spellEnd"/>
      <w:r>
        <w:rPr>
          <w:lang w:val="en-GB"/>
        </w:rPr>
        <w:t xml:space="preserve"> </w:t>
      </w:r>
      <w:proofErr w:type="spellStart"/>
      <w:r>
        <w:rPr>
          <w:lang w:val="en-GB"/>
        </w:rPr>
        <w:t>bränslen</w:t>
      </w:r>
      <w:bookmarkEnd w:id="27"/>
      <w:proofErr w:type="spellEnd"/>
    </w:p>
    <w:p w14:paraId="5925F36D" w14:textId="77777777" w:rsidR="00E9548E" w:rsidRDefault="00E9548E" w:rsidP="00E9548E">
      <w:pPr>
        <w:pStyle w:val="ANormal"/>
        <w:rPr>
          <w:lang w:val="en-GB"/>
        </w:rPr>
      </w:pPr>
    </w:p>
    <w:p w14:paraId="1FF88C78" w14:textId="77777777" w:rsidR="00E9548E" w:rsidRDefault="00E9548E" w:rsidP="00E9548E">
      <w:pPr>
        <w:pStyle w:val="ANormal"/>
      </w:pPr>
      <w:r>
        <w:tab/>
        <w:t>I enlighet med lagtingets beslut föreskrivs:</w:t>
      </w:r>
    </w:p>
    <w:p w14:paraId="1D319257" w14:textId="77777777" w:rsidR="00E9548E" w:rsidRDefault="00E9548E" w:rsidP="00E9548E">
      <w:pPr>
        <w:pStyle w:val="ANormal"/>
      </w:pPr>
      <w:bookmarkStart w:id="28" w:name="_Hlk124342874"/>
    </w:p>
    <w:p w14:paraId="11C7D6AB" w14:textId="77777777" w:rsidR="00E9548E" w:rsidRDefault="00E9548E" w:rsidP="00E9548E">
      <w:pPr>
        <w:pStyle w:val="LagParagraf"/>
      </w:pPr>
      <w:r>
        <w:t>1 §</w:t>
      </w:r>
    </w:p>
    <w:p w14:paraId="3A832767" w14:textId="77777777" w:rsidR="00E9548E" w:rsidRDefault="00E9548E" w:rsidP="00E9548E">
      <w:pPr>
        <w:pStyle w:val="LagPararubrik"/>
      </w:pPr>
      <w:r>
        <w:t>Tillämpningsområde</w:t>
      </w:r>
    </w:p>
    <w:p w14:paraId="548B669E" w14:textId="0462B057" w:rsidR="00E9548E" w:rsidRDefault="00E9548E" w:rsidP="00E9548E">
      <w:pPr>
        <w:pStyle w:val="ANormal"/>
      </w:pPr>
      <w:r>
        <w:tab/>
        <w:t xml:space="preserve">Företag som bedriver elaffärsverksamhet och företag som är verksamma inom sektorn för fossila bränslen ska på vinsterna betala skatt till landskapet i enlighet med vad som föreskrivs om skatt till staten i lagen om tillfällig </w:t>
      </w:r>
      <w:r>
        <w:lastRenderedPageBreak/>
        <w:t>skatt på vinster inom elbranschen och sektorn för fossila bränslen (</w:t>
      </w:r>
      <w:r w:rsidRPr="00DD1B3F">
        <w:rPr>
          <w:highlight w:val="yellow"/>
        </w:rPr>
        <w:t xml:space="preserve">FFS </w:t>
      </w:r>
      <w:r w:rsidR="00DD1B3F" w:rsidRPr="00DD1B3F">
        <w:rPr>
          <w:highlight w:val="yellow"/>
        </w:rPr>
        <w:t>363/</w:t>
      </w:r>
      <w:r w:rsidRPr="00DD1B3F">
        <w:rPr>
          <w:highlight w:val="yellow"/>
        </w:rPr>
        <w:t>2023</w:t>
      </w:r>
      <w:r w:rsidR="00377DB7" w:rsidRPr="00377DB7">
        <w:rPr>
          <w:highlight w:val="yellow"/>
        </w:rPr>
        <w:t>)</w:t>
      </w:r>
      <w:r>
        <w:t>, lagen om tillfällig vinstskatt), med de undantag som följer av denna lag.</w:t>
      </w:r>
    </w:p>
    <w:p w14:paraId="02ECB131" w14:textId="77777777" w:rsidR="00E9548E" w:rsidRDefault="00E9548E" w:rsidP="00E9548E">
      <w:pPr>
        <w:pStyle w:val="ANormal"/>
      </w:pPr>
      <w:r>
        <w:tab/>
        <w:t>Lagen om tillfällig vinstskatt ska tillämpas i den lydelse den har när denna lag träder i kraft. Senare ändringar av lagen ska gälla på Åland från tidpunkten för deras ikraftträdande i riket. Ändringar av bestämmelser beträffande vilka det föreskrivs om avvikelser ska dock inte tillämpas på Åland.</w:t>
      </w:r>
    </w:p>
    <w:p w14:paraId="4D564698" w14:textId="77777777" w:rsidR="00E9548E" w:rsidRDefault="00E9548E" w:rsidP="00E9548E">
      <w:pPr>
        <w:pStyle w:val="ANormal"/>
      </w:pPr>
    </w:p>
    <w:p w14:paraId="01DF0BFE" w14:textId="77777777" w:rsidR="00E9548E" w:rsidRDefault="00E9548E" w:rsidP="00E9548E">
      <w:pPr>
        <w:pStyle w:val="LagParagraf"/>
      </w:pPr>
      <w:r>
        <w:t>2 §</w:t>
      </w:r>
    </w:p>
    <w:p w14:paraId="64DBC06D" w14:textId="77777777" w:rsidR="00E9548E" w:rsidRDefault="00E9548E" w:rsidP="00E9548E">
      <w:pPr>
        <w:pStyle w:val="LagPararubrik"/>
      </w:pPr>
      <w:r>
        <w:t>Begränsat skattskyldiga företag</w:t>
      </w:r>
    </w:p>
    <w:p w14:paraId="5D71F56F" w14:textId="77777777" w:rsidR="00E9548E" w:rsidRPr="00BC6DF4" w:rsidRDefault="00E9548E" w:rsidP="00E9548E">
      <w:pPr>
        <w:pStyle w:val="ANormal"/>
      </w:pPr>
      <w:r>
        <w:tab/>
        <w:t xml:space="preserve">Med avvikelse från 3 § 3 mom. och 13 § 3 mom. lagen om tillfällig vinstskatt är ett företag som på det sätt som avses i 9 § inkomstskattelagen (FFS 1535/1992) </w:t>
      </w:r>
      <w:r w:rsidRPr="000B0832">
        <w:rPr>
          <w:strike/>
          <w:color w:val="FF0000"/>
        </w:rPr>
        <w:t>är</w:t>
      </w:r>
      <w:r>
        <w:t xml:space="preserve"> begränsat skattskyldigt endast skyldigt att betala skatt om företaget på Åland har ett i 13a § i den lagen avsett fast driftsställe för bedrivande av näringsverksamhet.</w:t>
      </w:r>
    </w:p>
    <w:p w14:paraId="77E17A03" w14:textId="77777777" w:rsidR="00E9548E" w:rsidRDefault="00E9548E" w:rsidP="00E9548E">
      <w:pPr>
        <w:pStyle w:val="ANormal"/>
      </w:pPr>
    </w:p>
    <w:p w14:paraId="2012CB5D" w14:textId="77777777" w:rsidR="00E9548E" w:rsidRDefault="00E9548E" w:rsidP="00E9548E">
      <w:pPr>
        <w:pStyle w:val="LagParagraf"/>
      </w:pPr>
      <w:r>
        <w:t>3 §</w:t>
      </w:r>
    </w:p>
    <w:p w14:paraId="0C107572" w14:textId="593D5A53" w:rsidR="00E9548E" w:rsidRDefault="00E9548E" w:rsidP="00E9548E">
      <w:pPr>
        <w:pStyle w:val="LagPararubrik"/>
      </w:pPr>
      <w:r>
        <w:t xml:space="preserve">Fasta </w:t>
      </w:r>
      <w:r w:rsidRPr="000B0832">
        <w:rPr>
          <w:highlight w:val="yellow"/>
        </w:rPr>
        <w:t>drift</w:t>
      </w:r>
      <w:r w:rsidR="000B0832" w:rsidRPr="000B0832">
        <w:rPr>
          <w:highlight w:val="yellow"/>
        </w:rPr>
        <w:t>s</w:t>
      </w:r>
      <w:r w:rsidRPr="000B0832">
        <w:rPr>
          <w:highlight w:val="yellow"/>
        </w:rPr>
        <w:t>ställen</w:t>
      </w:r>
      <w:r>
        <w:t xml:space="preserve"> utanför Åland</w:t>
      </w:r>
    </w:p>
    <w:p w14:paraId="6E7654E7" w14:textId="21BF1159" w:rsidR="00E9548E" w:rsidRDefault="00E9548E" w:rsidP="00E9548E">
      <w:pPr>
        <w:pStyle w:val="ANormal"/>
      </w:pPr>
      <w:r>
        <w:tab/>
        <w:t xml:space="preserve">Bestämmelserna i 9 § lagen om tillfällig vinstskatt om skattskyldiga med fasta </w:t>
      </w:r>
      <w:r w:rsidRPr="000B0832">
        <w:rPr>
          <w:highlight w:val="yellow"/>
        </w:rPr>
        <w:t>drift</w:t>
      </w:r>
      <w:r w:rsidR="000B0832" w:rsidRPr="000B0832">
        <w:rPr>
          <w:highlight w:val="yellow"/>
        </w:rPr>
        <w:t>s</w:t>
      </w:r>
      <w:r w:rsidRPr="000B0832">
        <w:rPr>
          <w:highlight w:val="yellow"/>
        </w:rPr>
        <w:t>ställen</w:t>
      </w:r>
      <w:r>
        <w:t xml:space="preserve"> utomlands ska avse skattskyldiga med fasta driftsställen utanför Åland.</w:t>
      </w:r>
    </w:p>
    <w:p w14:paraId="4CA40E7D" w14:textId="77777777" w:rsidR="00E9548E" w:rsidRDefault="00E9548E" w:rsidP="00E9548E">
      <w:pPr>
        <w:pStyle w:val="ANormal"/>
      </w:pPr>
    </w:p>
    <w:p w14:paraId="4CCCB2E4" w14:textId="77777777" w:rsidR="00E9548E" w:rsidRDefault="00E9548E" w:rsidP="00E9548E">
      <w:pPr>
        <w:pStyle w:val="LagParagraf"/>
      </w:pPr>
      <w:r>
        <w:t>4 §</w:t>
      </w:r>
    </w:p>
    <w:p w14:paraId="63F7BABB" w14:textId="77777777" w:rsidR="00E9548E" w:rsidRPr="00CF359D" w:rsidRDefault="00E9548E" w:rsidP="00E9548E">
      <w:pPr>
        <w:pStyle w:val="LagPararubrik"/>
      </w:pPr>
      <w:r>
        <w:t>Verkställande av beskattningen och skatteuppbörd</w:t>
      </w:r>
    </w:p>
    <w:p w14:paraId="31C372F9" w14:textId="77777777" w:rsidR="00E9548E" w:rsidRDefault="00E9548E" w:rsidP="00E9548E">
      <w:pPr>
        <w:pStyle w:val="ANormal"/>
      </w:pPr>
      <w:r>
        <w:tab/>
        <w:t>Vid verkställande av beskattningen enligt denna lag tillämpas lagen om beskattningsförfarande (FFS 1558/1995) samt de bestämmelser och föreskrifter som utfärdas med stöd av den.</w:t>
      </w:r>
    </w:p>
    <w:p w14:paraId="321E8889" w14:textId="5C2DEB2F" w:rsidR="00E9548E" w:rsidRDefault="00E9548E" w:rsidP="00E9548E">
      <w:pPr>
        <w:pStyle w:val="ANormal"/>
      </w:pPr>
      <w:r>
        <w:tab/>
        <w:t xml:space="preserve">Vid skatteuppbörd, indrivning av skatt och återbäring av skatt tillämpas lagen om skatteuppbörd </w:t>
      </w:r>
      <w:r w:rsidRPr="0047345F">
        <w:rPr>
          <w:highlight w:val="yellow"/>
        </w:rPr>
        <w:t>(FFS 11/2018</w:t>
      </w:r>
      <w:r w:rsidR="0047345F" w:rsidRPr="0047345F">
        <w:rPr>
          <w:highlight w:val="yellow"/>
        </w:rPr>
        <w:t>)</w:t>
      </w:r>
      <w:r>
        <w:t xml:space="preserve"> samt de bestämmelser och föreskrifter som utfärdas med stöd av den.</w:t>
      </w:r>
    </w:p>
    <w:p w14:paraId="5868AD96" w14:textId="77777777" w:rsidR="00E9548E" w:rsidRDefault="00E9548E" w:rsidP="00E9548E">
      <w:pPr>
        <w:pStyle w:val="ANormal"/>
      </w:pPr>
      <w:r>
        <w:tab/>
        <w:t xml:space="preserve"> De författningar som nämns i 1 och 2 mom. tillämpas i den lydelse de har när denna lag träder i kraft.</w:t>
      </w:r>
      <w:r w:rsidRPr="002A3A14">
        <w:t xml:space="preserve"> </w:t>
      </w:r>
      <w:r>
        <w:t>Senare ändringar av författningarna ska gälla på Åland från tidpunkten för deras ikraftträdande i riket.</w:t>
      </w:r>
    </w:p>
    <w:p w14:paraId="42D827B6" w14:textId="77777777" w:rsidR="00E9548E" w:rsidRDefault="00E9548E" w:rsidP="00E9548E">
      <w:pPr>
        <w:pStyle w:val="ANormal"/>
      </w:pPr>
    </w:p>
    <w:p w14:paraId="7978513F" w14:textId="77777777" w:rsidR="00E9548E" w:rsidRDefault="00E9548E" w:rsidP="00E9548E">
      <w:pPr>
        <w:pStyle w:val="LagParagraf"/>
      </w:pPr>
      <w:r>
        <w:t>5 §</w:t>
      </w:r>
    </w:p>
    <w:p w14:paraId="17D1DFD1" w14:textId="77777777" w:rsidR="00E9548E" w:rsidRDefault="00E9548E" w:rsidP="00E9548E">
      <w:pPr>
        <w:pStyle w:val="LagPararubrik"/>
      </w:pPr>
      <w:r>
        <w:t>Hänvisningar</w:t>
      </w:r>
    </w:p>
    <w:p w14:paraId="69840733" w14:textId="77777777" w:rsidR="00E9548E" w:rsidRDefault="00E9548E" w:rsidP="00E9548E">
      <w:pPr>
        <w:pStyle w:val="ANormal"/>
      </w:pPr>
      <w:r>
        <w:tab/>
        <w:t>Hänvisningar i lagen om tillfällig vinstskatt till elmarknadslagen (FFS 588/2013) ska avse landskapslagen (2015:102) om tillämpning i landskapet Åland av rikslagstiftning om elmarknaden. Hänvisningen till strafflagen (FFS 39/1889) ska avse landskapslagen (2002:60) om tillämpning i landskapet Åland av 29 kap. strafflagen.</w:t>
      </w:r>
    </w:p>
    <w:p w14:paraId="09152B2A" w14:textId="77777777" w:rsidR="00E9548E" w:rsidRDefault="00E9548E" w:rsidP="00E9548E">
      <w:pPr>
        <w:pStyle w:val="ANormal"/>
      </w:pPr>
    </w:p>
    <w:p w14:paraId="0C25927F" w14:textId="77777777" w:rsidR="00E9548E" w:rsidRDefault="00E9548E" w:rsidP="00E9548E">
      <w:pPr>
        <w:pStyle w:val="LagParagraf"/>
      </w:pPr>
      <w:r>
        <w:t>6 §</w:t>
      </w:r>
    </w:p>
    <w:p w14:paraId="1871DA5F" w14:textId="77777777" w:rsidR="00E9548E" w:rsidRDefault="00E9548E" w:rsidP="00E9548E">
      <w:pPr>
        <w:pStyle w:val="LagPararubrik"/>
      </w:pPr>
      <w:r>
        <w:t>Förvaltningsuppgifter</w:t>
      </w:r>
    </w:p>
    <w:p w14:paraId="62D325E2" w14:textId="77777777" w:rsidR="00E9548E" w:rsidRDefault="00E9548E" w:rsidP="00E9548E">
      <w:pPr>
        <w:pStyle w:val="ANormal"/>
      </w:pPr>
      <w:r>
        <w:tab/>
        <w:t>De förvaltningsuppgifter som enligt lagen om tillfällig vinstskatt ankommer på statens myndigheter ska på Åland skötas av landskapsregeringen till den del förvaltningen hänför sig till uppgifter inom landskapets behörighet.</w:t>
      </w:r>
    </w:p>
    <w:p w14:paraId="596131DB" w14:textId="77777777" w:rsidR="00E9548E" w:rsidRDefault="00E9548E" w:rsidP="00E9548E">
      <w:pPr>
        <w:pStyle w:val="ANormal"/>
      </w:pPr>
    </w:p>
    <w:p w14:paraId="00C287D6" w14:textId="77777777" w:rsidR="00E9548E" w:rsidRDefault="00E9548E" w:rsidP="00E9548E">
      <w:pPr>
        <w:pStyle w:val="LagParagraf"/>
      </w:pPr>
      <w:r>
        <w:t>7 §</w:t>
      </w:r>
    </w:p>
    <w:p w14:paraId="41E1D816" w14:textId="77777777" w:rsidR="00E9548E" w:rsidRDefault="00E9548E" w:rsidP="00E9548E">
      <w:pPr>
        <w:pStyle w:val="LagPararubrik"/>
      </w:pPr>
      <w:r>
        <w:t>Ikraftträdande</w:t>
      </w:r>
    </w:p>
    <w:p w14:paraId="102B9871" w14:textId="77777777" w:rsidR="00E9548E" w:rsidRDefault="00E9548E" w:rsidP="00E9548E">
      <w:pPr>
        <w:pStyle w:val="ANormal"/>
      </w:pPr>
      <w:r>
        <w:tab/>
        <w:t>Denna lag träder i kraft den….</w:t>
      </w:r>
    </w:p>
    <w:p w14:paraId="7383DAD3" w14:textId="77777777" w:rsidR="00E9548E" w:rsidRDefault="00E9548E" w:rsidP="00E9548E">
      <w:pPr>
        <w:pStyle w:val="ANormal"/>
      </w:pPr>
      <w:r>
        <w:tab/>
        <w:t>Lagen ska tillämpas vid beskattningen för skatteåret 2023. Om den skattskyldiges räkenskapsperiod inte slutar under kalenderåret 2023, tillämpas lagen vid företagets beskattning för skatteåret 2024.</w:t>
      </w:r>
    </w:p>
    <w:p w14:paraId="246EBE33" w14:textId="77777777" w:rsidR="00E9548E" w:rsidRDefault="00E9548E" w:rsidP="00E9548E">
      <w:pPr>
        <w:pStyle w:val="ANormal"/>
      </w:pPr>
      <w:r>
        <w:lastRenderedPageBreak/>
        <w:tab/>
        <w:t>Om beslut om ändring av den skattskyldiges räkenskapsperiod har fattats den 1 december 2022 eller därefter så att det skatteår som går ut 2023 går ut före den 31 december 2023, tillämpas denna lag dock på den skattskyldiges skatteår 2023 och 2024.</w:t>
      </w:r>
    </w:p>
    <w:p w14:paraId="47837395" w14:textId="77777777" w:rsidR="00E9548E" w:rsidRPr="00B0560E" w:rsidRDefault="00E9548E" w:rsidP="00E9548E">
      <w:pPr>
        <w:pStyle w:val="ANormal"/>
      </w:pPr>
    </w:p>
    <w:bookmarkEnd w:id="28"/>
    <w:p w14:paraId="18F5F8CB" w14:textId="77777777" w:rsidR="00E9548E" w:rsidRDefault="00E9548E" w:rsidP="00E9548E">
      <w:pPr>
        <w:pStyle w:val="ANormal"/>
        <w:jc w:val="center"/>
      </w:pPr>
      <w:r>
        <w:fldChar w:fldCharType="begin"/>
      </w:r>
      <w:r>
        <w:instrText>HYPERLINK \l "_top" \o "Klicka för att gå till toppen av dokumentet"</w:instrText>
      </w:r>
      <w:r>
        <w:fldChar w:fldCharType="separate"/>
      </w:r>
      <w:r>
        <w:rPr>
          <w:rStyle w:val="Hyperlnk"/>
        </w:rPr>
        <w:t>__________________</w:t>
      </w:r>
      <w:r>
        <w:rPr>
          <w:rStyle w:val="Hyperlnk"/>
        </w:rPr>
        <w:fldChar w:fldCharType="end"/>
      </w:r>
    </w:p>
    <w:p w14:paraId="39C38477" w14:textId="77777777" w:rsidR="00E9548E" w:rsidRPr="00E9548E" w:rsidRDefault="00E9548E" w:rsidP="00E9548E">
      <w:pPr>
        <w:pStyle w:val="ANormal"/>
      </w:pPr>
    </w:p>
    <w:p w14:paraId="69BB9519"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184068A9" w14:textId="77777777">
        <w:trPr>
          <w:cantSplit/>
        </w:trPr>
        <w:tc>
          <w:tcPr>
            <w:tcW w:w="7931" w:type="dxa"/>
            <w:gridSpan w:val="2"/>
          </w:tcPr>
          <w:p w14:paraId="5C53DC89" w14:textId="2B8C3692" w:rsidR="002401D0" w:rsidRDefault="002401D0">
            <w:pPr>
              <w:pStyle w:val="ANormal"/>
              <w:keepNext/>
            </w:pPr>
            <w:r>
              <w:t xml:space="preserve">Mariehamn den </w:t>
            </w:r>
            <w:r w:rsidR="00377DB7">
              <w:t>2</w:t>
            </w:r>
            <w:r w:rsidR="00E9548E">
              <w:t xml:space="preserve"> </w:t>
            </w:r>
            <w:r w:rsidR="00F72830">
              <w:t>maj</w:t>
            </w:r>
            <w:r w:rsidR="00E9548E">
              <w:t xml:space="preserve"> 2023</w:t>
            </w:r>
          </w:p>
        </w:tc>
      </w:tr>
      <w:tr w:rsidR="002401D0" w14:paraId="3C130AF7" w14:textId="77777777">
        <w:tc>
          <w:tcPr>
            <w:tcW w:w="4454" w:type="dxa"/>
            <w:vAlign w:val="bottom"/>
          </w:tcPr>
          <w:p w14:paraId="79FBDCA7" w14:textId="77777777" w:rsidR="002401D0" w:rsidRDefault="002401D0">
            <w:pPr>
              <w:pStyle w:val="ANormal"/>
              <w:keepNext/>
            </w:pPr>
          </w:p>
          <w:p w14:paraId="4E4CFAE3" w14:textId="77777777" w:rsidR="002401D0" w:rsidRDefault="002401D0">
            <w:pPr>
              <w:pStyle w:val="ANormal"/>
              <w:keepNext/>
            </w:pPr>
          </w:p>
          <w:p w14:paraId="7A41B8FE" w14:textId="77777777" w:rsidR="002401D0" w:rsidRDefault="002401D0">
            <w:pPr>
              <w:pStyle w:val="ANormal"/>
              <w:keepNext/>
            </w:pPr>
            <w:r>
              <w:t>Ordförande</w:t>
            </w:r>
          </w:p>
        </w:tc>
        <w:tc>
          <w:tcPr>
            <w:tcW w:w="3477" w:type="dxa"/>
            <w:vAlign w:val="bottom"/>
          </w:tcPr>
          <w:p w14:paraId="4662E302" w14:textId="77777777" w:rsidR="002401D0" w:rsidRDefault="002401D0">
            <w:pPr>
              <w:pStyle w:val="ANormal"/>
              <w:keepNext/>
            </w:pPr>
          </w:p>
          <w:p w14:paraId="5AAB8B95" w14:textId="77777777" w:rsidR="002401D0" w:rsidRDefault="002401D0">
            <w:pPr>
              <w:pStyle w:val="ANormal"/>
              <w:keepNext/>
            </w:pPr>
          </w:p>
          <w:p w14:paraId="0216B464" w14:textId="6E17F6C4" w:rsidR="002401D0" w:rsidRDefault="00E9548E">
            <w:pPr>
              <w:pStyle w:val="ANormal"/>
              <w:keepNext/>
            </w:pPr>
            <w:r>
              <w:t>Jörgen Pettersson</w:t>
            </w:r>
          </w:p>
        </w:tc>
      </w:tr>
      <w:tr w:rsidR="002401D0" w14:paraId="4905E6A8" w14:textId="77777777">
        <w:tc>
          <w:tcPr>
            <w:tcW w:w="4454" w:type="dxa"/>
            <w:vAlign w:val="bottom"/>
          </w:tcPr>
          <w:p w14:paraId="419866C5" w14:textId="77777777" w:rsidR="002401D0" w:rsidRDefault="002401D0">
            <w:pPr>
              <w:pStyle w:val="ANormal"/>
              <w:keepNext/>
            </w:pPr>
          </w:p>
          <w:p w14:paraId="0EAB7786" w14:textId="77777777" w:rsidR="002401D0" w:rsidRDefault="002401D0">
            <w:pPr>
              <w:pStyle w:val="ANormal"/>
              <w:keepNext/>
            </w:pPr>
          </w:p>
          <w:p w14:paraId="63150EFE" w14:textId="77777777" w:rsidR="002401D0" w:rsidRDefault="002401D0">
            <w:pPr>
              <w:pStyle w:val="ANormal"/>
              <w:keepNext/>
            </w:pPr>
            <w:r>
              <w:t>Sekreterare</w:t>
            </w:r>
          </w:p>
        </w:tc>
        <w:tc>
          <w:tcPr>
            <w:tcW w:w="3477" w:type="dxa"/>
            <w:vAlign w:val="bottom"/>
          </w:tcPr>
          <w:p w14:paraId="39ED12C5" w14:textId="77777777" w:rsidR="002401D0" w:rsidRDefault="002401D0">
            <w:pPr>
              <w:pStyle w:val="ANormal"/>
              <w:keepNext/>
            </w:pPr>
          </w:p>
          <w:p w14:paraId="56F5EA01" w14:textId="77777777" w:rsidR="002401D0" w:rsidRDefault="002401D0">
            <w:pPr>
              <w:pStyle w:val="ANormal"/>
              <w:keepNext/>
            </w:pPr>
          </w:p>
          <w:p w14:paraId="331F0B6B" w14:textId="6BCA2554" w:rsidR="002401D0" w:rsidRDefault="00E9548E">
            <w:pPr>
              <w:pStyle w:val="ANormal"/>
              <w:keepNext/>
            </w:pPr>
            <w:r>
              <w:t>Sten Eriksson</w:t>
            </w:r>
          </w:p>
        </w:tc>
      </w:tr>
    </w:tbl>
    <w:p w14:paraId="026E8C42" w14:textId="77777777" w:rsidR="002401D0" w:rsidRDefault="002401D0">
      <w:pPr>
        <w:pStyle w:val="ANormal"/>
      </w:pPr>
    </w:p>
    <w:sectPr w:rsidR="002401D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6AC4" w14:textId="77777777" w:rsidR="00B07950" w:rsidRDefault="00B07950">
      <w:r>
        <w:separator/>
      </w:r>
    </w:p>
  </w:endnote>
  <w:endnote w:type="continuationSeparator" w:id="0">
    <w:p w14:paraId="2D307630" w14:textId="77777777" w:rsidR="00B07950" w:rsidRDefault="00B0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BB46"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01BC" w14:textId="74567936" w:rsidR="002401D0" w:rsidRDefault="002401D0">
    <w:pPr>
      <w:pStyle w:val="Sidfot"/>
      <w:rPr>
        <w:lang w:val="fi-FI"/>
      </w:rPr>
    </w:pPr>
    <w:r>
      <w:fldChar w:fldCharType="begin"/>
    </w:r>
    <w:r>
      <w:rPr>
        <w:lang w:val="fi-FI"/>
      </w:rPr>
      <w:instrText xml:space="preserve"> FILENAME  \* MERGEFORMAT </w:instrText>
    </w:r>
    <w:r>
      <w:fldChar w:fldCharType="separate"/>
    </w:r>
    <w:r w:rsidR="002A1E37">
      <w:rPr>
        <w:noProof/>
        <w:lang w:val="fi-FI"/>
      </w:rPr>
      <w:t>FNU1920222023 (1).docx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7693"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AC0F" w14:textId="77777777" w:rsidR="00B07950" w:rsidRDefault="00B07950">
      <w:r>
        <w:separator/>
      </w:r>
    </w:p>
  </w:footnote>
  <w:footnote w:type="continuationSeparator" w:id="0">
    <w:p w14:paraId="33D767EE" w14:textId="77777777" w:rsidR="00B07950" w:rsidRDefault="00B0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1A10"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087D518"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FA48"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66963"/>
    <w:multiLevelType w:val="hybridMultilevel"/>
    <w:tmpl w:val="27042A82"/>
    <w:lvl w:ilvl="0" w:tplc="3ED289A6">
      <w:start w:val="3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2548A"/>
    <w:multiLevelType w:val="hybridMultilevel"/>
    <w:tmpl w:val="579C5864"/>
    <w:lvl w:ilvl="0" w:tplc="08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011324">
    <w:abstractNumId w:val="6"/>
  </w:num>
  <w:num w:numId="2" w16cid:durableId="322634618">
    <w:abstractNumId w:val="3"/>
  </w:num>
  <w:num w:numId="3" w16cid:durableId="316767200">
    <w:abstractNumId w:val="2"/>
  </w:num>
  <w:num w:numId="4" w16cid:durableId="476919853">
    <w:abstractNumId w:val="1"/>
  </w:num>
  <w:num w:numId="5" w16cid:durableId="1432312650">
    <w:abstractNumId w:val="0"/>
  </w:num>
  <w:num w:numId="6" w16cid:durableId="1722945987">
    <w:abstractNumId w:val="7"/>
  </w:num>
  <w:num w:numId="7" w16cid:durableId="716054411">
    <w:abstractNumId w:val="5"/>
  </w:num>
  <w:num w:numId="8" w16cid:durableId="1435395039">
    <w:abstractNumId w:val="4"/>
  </w:num>
  <w:num w:numId="9" w16cid:durableId="1023822272">
    <w:abstractNumId w:val="10"/>
  </w:num>
  <w:num w:numId="10" w16cid:durableId="443621399">
    <w:abstractNumId w:val="13"/>
  </w:num>
  <w:num w:numId="11" w16cid:durableId="1312518251">
    <w:abstractNumId w:val="12"/>
  </w:num>
  <w:num w:numId="12" w16cid:durableId="163056029">
    <w:abstractNumId w:val="17"/>
  </w:num>
  <w:num w:numId="13" w16cid:durableId="262998569">
    <w:abstractNumId w:val="11"/>
  </w:num>
  <w:num w:numId="14" w16cid:durableId="2115441162">
    <w:abstractNumId w:val="16"/>
  </w:num>
  <w:num w:numId="15" w16cid:durableId="855923831">
    <w:abstractNumId w:val="9"/>
  </w:num>
  <w:num w:numId="16" w16cid:durableId="335812222">
    <w:abstractNumId w:val="22"/>
  </w:num>
  <w:num w:numId="17" w16cid:durableId="242956335">
    <w:abstractNumId w:val="8"/>
  </w:num>
  <w:num w:numId="18" w16cid:durableId="486240630">
    <w:abstractNumId w:val="18"/>
  </w:num>
  <w:num w:numId="19" w16cid:durableId="360204553">
    <w:abstractNumId w:val="21"/>
  </w:num>
  <w:num w:numId="20" w16cid:durableId="832448170">
    <w:abstractNumId w:val="24"/>
  </w:num>
  <w:num w:numId="21" w16cid:durableId="101538577">
    <w:abstractNumId w:val="23"/>
  </w:num>
  <w:num w:numId="22" w16cid:durableId="1649901332">
    <w:abstractNumId w:val="15"/>
  </w:num>
  <w:num w:numId="23" w16cid:durableId="2106146800">
    <w:abstractNumId w:val="19"/>
  </w:num>
  <w:num w:numId="24" w16cid:durableId="643196459">
    <w:abstractNumId w:val="19"/>
  </w:num>
  <w:num w:numId="25" w16cid:durableId="1357149382">
    <w:abstractNumId w:val="20"/>
  </w:num>
  <w:num w:numId="26" w16cid:durableId="392436812">
    <w:abstractNumId w:val="15"/>
  </w:num>
  <w:num w:numId="27" w16cid:durableId="964390969">
    <w:abstractNumId w:val="15"/>
  </w:num>
  <w:num w:numId="28" w16cid:durableId="311300792">
    <w:abstractNumId w:val="15"/>
  </w:num>
  <w:num w:numId="29" w16cid:durableId="1506239317">
    <w:abstractNumId w:val="15"/>
  </w:num>
  <w:num w:numId="30" w16cid:durableId="1948612329">
    <w:abstractNumId w:val="15"/>
  </w:num>
  <w:num w:numId="31" w16cid:durableId="124933829">
    <w:abstractNumId w:val="15"/>
  </w:num>
  <w:num w:numId="32" w16cid:durableId="453796846">
    <w:abstractNumId w:val="15"/>
  </w:num>
  <w:num w:numId="33" w16cid:durableId="1685939599">
    <w:abstractNumId w:val="15"/>
  </w:num>
  <w:num w:numId="34" w16cid:durableId="1933775094">
    <w:abstractNumId w:val="15"/>
  </w:num>
  <w:num w:numId="35" w16cid:durableId="1682925049">
    <w:abstractNumId w:val="19"/>
  </w:num>
  <w:num w:numId="36" w16cid:durableId="1319070485">
    <w:abstractNumId w:val="20"/>
  </w:num>
  <w:num w:numId="37" w16cid:durableId="1559245863">
    <w:abstractNumId w:val="15"/>
  </w:num>
  <w:num w:numId="38" w16cid:durableId="203179968">
    <w:abstractNumId w:val="15"/>
  </w:num>
  <w:num w:numId="39" w16cid:durableId="1145245060">
    <w:abstractNumId w:val="15"/>
  </w:num>
  <w:num w:numId="40" w16cid:durableId="604966377">
    <w:abstractNumId w:val="15"/>
  </w:num>
  <w:num w:numId="41" w16cid:durableId="1741900893">
    <w:abstractNumId w:val="15"/>
  </w:num>
  <w:num w:numId="42" w16cid:durableId="1583904448">
    <w:abstractNumId w:val="15"/>
  </w:num>
  <w:num w:numId="43" w16cid:durableId="2046173426">
    <w:abstractNumId w:val="15"/>
  </w:num>
  <w:num w:numId="44" w16cid:durableId="768429852">
    <w:abstractNumId w:val="15"/>
  </w:num>
  <w:num w:numId="45" w16cid:durableId="565527069">
    <w:abstractNumId w:val="15"/>
  </w:num>
  <w:num w:numId="46" w16cid:durableId="532499364">
    <w:abstractNumId w:val="14"/>
  </w:num>
  <w:num w:numId="47" w16cid:durableId="20444044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8E"/>
    <w:rsid w:val="00015E9C"/>
    <w:rsid w:val="0002578E"/>
    <w:rsid w:val="00041B81"/>
    <w:rsid w:val="00051556"/>
    <w:rsid w:val="00063EEA"/>
    <w:rsid w:val="00084C06"/>
    <w:rsid w:val="00085613"/>
    <w:rsid w:val="000B0832"/>
    <w:rsid w:val="000B2DC9"/>
    <w:rsid w:val="000B6462"/>
    <w:rsid w:val="000D6353"/>
    <w:rsid w:val="000F0CA5"/>
    <w:rsid w:val="000F7417"/>
    <w:rsid w:val="0015337C"/>
    <w:rsid w:val="0016036B"/>
    <w:rsid w:val="00162E6E"/>
    <w:rsid w:val="0017139A"/>
    <w:rsid w:val="00194F42"/>
    <w:rsid w:val="001C344F"/>
    <w:rsid w:val="001F07EE"/>
    <w:rsid w:val="00200295"/>
    <w:rsid w:val="002112D5"/>
    <w:rsid w:val="00215245"/>
    <w:rsid w:val="002401D0"/>
    <w:rsid w:val="00246A77"/>
    <w:rsid w:val="002A1E37"/>
    <w:rsid w:val="002A7857"/>
    <w:rsid w:val="0035049D"/>
    <w:rsid w:val="0036359C"/>
    <w:rsid w:val="00377DB7"/>
    <w:rsid w:val="003815CF"/>
    <w:rsid w:val="003B68EC"/>
    <w:rsid w:val="003E22DA"/>
    <w:rsid w:val="0041282F"/>
    <w:rsid w:val="0047345F"/>
    <w:rsid w:val="00497D52"/>
    <w:rsid w:val="00497FBF"/>
    <w:rsid w:val="005D53C2"/>
    <w:rsid w:val="005E3965"/>
    <w:rsid w:val="00646134"/>
    <w:rsid w:val="00661A8F"/>
    <w:rsid w:val="00676C58"/>
    <w:rsid w:val="00687915"/>
    <w:rsid w:val="006B2E9E"/>
    <w:rsid w:val="00706A77"/>
    <w:rsid w:val="00723B93"/>
    <w:rsid w:val="00780CC5"/>
    <w:rsid w:val="008116D5"/>
    <w:rsid w:val="00811D50"/>
    <w:rsid w:val="00817B04"/>
    <w:rsid w:val="00846BA0"/>
    <w:rsid w:val="008475C8"/>
    <w:rsid w:val="008563BD"/>
    <w:rsid w:val="0086509D"/>
    <w:rsid w:val="008A7D7C"/>
    <w:rsid w:val="008B3A12"/>
    <w:rsid w:val="008C2F8E"/>
    <w:rsid w:val="008C73D0"/>
    <w:rsid w:val="008E1E58"/>
    <w:rsid w:val="0091470D"/>
    <w:rsid w:val="00926BE4"/>
    <w:rsid w:val="00937C46"/>
    <w:rsid w:val="00957C36"/>
    <w:rsid w:val="00972CC1"/>
    <w:rsid w:val="00993F5C"/>
    <w:rsid w:val="009B5431"/>
    <w:rsid w:val="009D73B2"/>
    <w:rsid w:val="009D7646"/>
    <w:rsid w:val="009F6BA9"/>
    <w:rsid w:val="009F7CE2"/>
    <w:rsid w:val="00A35AA5"/>
    <w:rsid w:val="00A71A50"/>
    <w:rsid w:val="00A94CC0"/>
    <w:rsid w:val="00B05A4E"/>
    <w:rsid w:val="00B07950"/>
    <w:rsid w:val="00B32E91"/>
    <w:rsid w:val="00B36A8F"/>
    <w:rsid w:val="00B755E9"/>
    <w:rsid w:val="00B90DEC"/>
    <w:rsid w:val="00BC7F15"/>
    <w:rsid w:val="00C17C36"/>
    <w:rsid w:val="00C2656C"/>
    <w:rsid w:val="00C711D7"/>
    <w:rsid w:val="00CB087E"/>
    <w:rsid w:val="00CF700E"/>
    <w:rsid w:val="00D1081C"/>
    <w:rsid w:val="00D746AE"/>
    <w:rsid w:val="00DA1A2A"/>
    <w:rsid w:val="00DC45B2"/>
    <w:rsid w:val="00DD1B3F"/>
    <w:rsid w:val="00DF1820"/>
    <w:rsid w:val="00E30D65"/>
    <w:rsid w:val="00E924E6"/>
    <w:rsid w:val="00E9548E"/>
    <w:rsid w:val="00EF6B3F"/>
    <w:rsid w:val="00F605BA"/>
    <w:rsid w:val="00F72830"/>
    <w:rsid w:val="00FA6126"/>
    <w:rsid w:val="00FA6947"/>
    <w:rsid w:val="00FF235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FCD3"/>
  <w15:docId w15:val="{DC772FAF-3D0D-4FEF-93B7-67315044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E9548E"/>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regeringen.local\filer\Gemensam\Lagtinget\Lagtingsorganen\Utskott\FNU\Arbetsdokument\2022-2023\Elskatter\Vindproduktion%20p&#229;%20&#197;lan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sv-FI" sz="1050"/>
              <a:t>Nordpools elpris per månad 11/2011-3/2023, jämfört med medelpriset</a:t>
            </a:r>
            <a:r>
              <a:rPr lang="sv-FI" sz="1050" baseline="0"/>
              <a:t> 2011-2021</a:t>
            </a:r>
            <a:endParaRPr lang="sv-FI"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col"/>
        <c:grouping val="clustered"/>
        <c:varyColors val="0"/>
        <c:ser>
          <c:idx val="0"/>
          <c:order val="0"/>
          <c:tx>
            <c:strRef>
              <c:f>Nordpooldata!$V$2</c:f>
              <c:strCache>
                <c:ptCount val="1"/>
                <c:pt idx="0">
                  <c:v>€/MWh</c:v>
                </c:pt>
              </c:strCache>
            </c:strRef>
          </c:tx>
          <c:spPr>
            <a:solidFill>
              <a:schemeClr val="accent1"/>
            </a:solidFill>
            <a:ln>
              <a:noFill/>
            </a:ln>
            <a:effectLst/>
          </c:spPr>
          <c:invertIfNegative val="0"/>
          <c:cat>
            <c:numRef>
              <c:f>Nordpooldata!$U$3:$U$139</c:f>
              <c:numCache>
                <c:formatCode>General</c:formatCode>
                <c:ptCount val="137"/>
                <c:pt idx="0">
                  <c:v>2011</c:v>
                </c:pt>
                <c:pt idx="2">
                  <c:v>2012</c:v>
                </c:pt>
                <c:pt idx="14">
                  <c:v>2013</c:v>
                </c:pt>
                <c:pt idx="26">
                  <c:v>2014</c:v>
                </c:pt>
                <c:pt idx="38">
                  <c:v>2015</c:v>
                </c:pt>
                <c:pt idx="50">
                  <c:v>2016</c:v>
                </c:pt>
                <c:pt idx="62">
                  <c:v>2017</c:v>
                </c:pt>
                <c:pt idx="74">
                  <c:v>2018</c:v>
                </c:pt>
                <c:pt idx="86">
                  <c:v>2019</c:v>
                </c:pt>
                <c:pt idx="98">
                  <c:v>2020</c:v>
                </c:pt>
                <c:pt idx="110">
                  <c:v>2021</c:v>
                </c:pt>
                <c:pt idx="122">
                  <c:v>2022</c:v>
                </c:pt>
                <c:pt idx="134">
                  <c:v>2023</c:v>
                </c:pt>
              </c:numCache>
            </c:numRef>
          </c:cat>
          <c:val>
            <c:numRef>
              <c:f>Nordpooldata!$V$3:$V$139</c:f>
              <c:numCache>
                <c:formatCode>General</c:formatCode>
                <c:ptCount val="137"/>
                <c:pt idx="0">
                  <c:v>43.52</c:v>
                </c:pt>
                <c:pt idx="1">
                  <c:v>33.22</c:v>
                </c:pt>
                <c:pt idx="2">
                  <c:v>38.200000000000003</c:v>
                </c:pt>
                <c:pt idx="3">
                  <c:v>50.8</c:v>
                </c:pt>
                <c:pt idx="4">
                  <c:v>29.02</c:v>
                </c:pt>
                <c:pt idx="5">
                  <c:v>31.52</c:v>
                </c:pt>
                <c:pt idx="6">
                  <c:v>30</c:v>
                </c:pt>
                <c:pt idx="7">
                  <c:v>27.14</c:v>
                </c:pt>
                <c:pt idx="8">
                  <c:v>13.36</c:v>
                </c:pt>
                <c:pt idx="9">
                  <c:v>27.05</c:v>
                </c:pt>
                <c:pt idx="10">
                  <c:v>29.5</c:v>
                </c:pt>
                <c:pt idx="11">
                  <c:v>34.69</c:v>
                </c:pt>
                <c:pt idx="12">
                  <c:v>33.74</c:v>
                </c:pt>
                <c:pt idx="13">
                  <c:v>43.83</c:v>
                </c:pt>
                <c:pt idx="14">
                  <c:v>41.9</c:v>
                </c:pt>
                <c:pt idx="15">
                  <c:v>39.43</c:v>
                </c:pt>
                <c:pt idx="16">
                  <c:v>44.46</c:v>
                </c:pt>
                <c:pt idx="17">
                  <c:v>43.91</c:v>
                </c:pt>
                <c:pt idx="18">
                  <c:v>36.86</c:v>
                </c:pt>
                <c:pt idx="19">
                  <c:v>34.200000000000003</c:v>
                </c:pt>
                <c:pt idx="20">
                  <c:v>34.22</c:v>
                </c:pt>
                <c:pt idx="21">
                  <c:v>40.380000000000003</c:v>
                </c:pt>
                <c:pt idx="22">
                  <c:v>45.71</c:v>
                </c:pt>
                <c:pt idx="23">
                  <c:v>42.23</c:v>
                </c:pt>
                <c:pt idx="24">
                  <c:v>37.31</c:v>
                </c:pt>
                <c:pt idx="25">
                  <c:v>32.89</c:v>
                </c:pt>
                <c:pt idx="26">
                  <c:v>33.31</c:v>
                </c:pt>
                <c:pt idx="27">
                  <c:v>30.14</c:v>
                </c:pt>
                <c:pt idx="28">
                  <c:v>26.53</c:v>
                </c:pt>
                <c:pt idx="29">
                  <c:v>27.17</c:v>
                </c:pt>
                <c:pt idx="30">
                  <c:v>35.11</c:v>
                </c:pt>
                <c:pt idx="31">
                  <c:v>32.29</c:v>
                </c:pt>
                <c:pt idx="32">
                  <c:v>29.76</c:v>
                </c:pt>
                <c:pt idx="33">
                  <c:v>34.549999999999997</c:v>
                </c:pt>
                <c:pt idx="34">
                  <c:v>36.46</c:v>
                </c:pt>
                <c:pt idx="35">
                  <c:v>31.28</c:v>
                </c:pt>
                <c:pt idx="36">
                  <c:v>30.65</c:v>
                </c:pt>
                <c:pt idx="37">
                  <c:v>32.04</c:v>
                </c:pt>
                <c:pt idx="38">
                  <c:v>30.28</c:v>
                </c:pt>
                <c:pt idx="39">
                  <c:v>29.59</c:v>
                </c:pt>
                <c:pt idx="40">
                  <c:v>25.89</c:v>
                </c:pt>
                <c:pt idx="41">
                  <c:v>25.51</c:v>
                </c:pt>
                <c:pt idx="42">
                  <c:v>22.51</c:v>
                </c:pt>
                <c:pt idx="43">
                  <c:v>15.29</c:v>
                </c:pt>
                <c:pt idx="44">
                  <c:v>9.07</c:v>
                </c:pt>
                <c:pt idx="45">
                  <c:v>16.690000000000001</c:v>
                </c:pt>
                <c:pt idx="46">
                  <c:v>20.91</c:v>
                </c:pt>
                <c:pt idx="47">
                  <c:v>23.63</c:v>
                </c:pt>
                <c:pt idx="48">
                  <c:v>25.77</c:v>
                </c:pt>
                <c:pt idx="49">
                  <c:v>19.64</c:v>
                </c:pt>
                <c:pt idx="50">
                  <c:v>30.98</c:v>
                </c:pt>
                <c:pt idx="51">
                  <c:v>19.45</c:v>
                </c:pt>
                <c:pt idx="52">
                  <c:v>21.61</c:v>
                </c:pt>
                <c:pt idx="53">
                  <c:v>22.07</c:v>
                </c:pt>
                <c:pt idx="54">
                  <c:v>23.66</c:v>
                </c:pt>
                <c:pt idx="55">
                  <c:v>33.729999999999997</c:v>
                </c:pt>
                <c:pt idx="56">
                  <c:v>28.95</c:v>
                </c:pt>
                <c:pt idx="57">
                  <c:v>30.49</c:v>
                </c:pt>
                <c:pt idx="58">
                  <c:v>29.22</c:v>
                </c:pt>
                <c:pt idx="59">
                  <c:v>36.18</c:v>
                </c:pt>
                <c:pt idx="60">
                  <c:v>40.98</c:v>
                </c:pt>
                <c:pt idx="61">
                  <c:v>33.14</c:v>
                </c:pt>
                <c:pt idx="62">
                  <c:v>31.93</c:v>
                </c:pt>
                <c:pt idx="63">
                  <c:v>33.1</c:v>
                </c:pt>
                <c:pt idx="64">
                  <c:v>30.39</c:v>
                </c:pt>
                <c:pt idx="65">
                  <c:v>28.88</c:v>
                </c:pt>
                <c:pt idx="66">
                  <c:v>29.58</c:v>
                </c:pt>
                <c:pt idx="67">
                  <c:v>27.03</c:v>
                </c:pt>
                <c:pt idx="68">
                  <c:v>30.83</c:v>
                </c:pt>
                <c:pt idx="69">
                  <c:v>33.630000000000003</c:v>
                </c:pt>
                <c:pt idx="70">
                  <c:v>36.46</c:v>
                </c:pt>
                <c:pt idx="71">
                  <c:v>30.6</c:v>
                </c:pt>
                <c:pt idx="72">
                  <c:v>31.96</c:v>
                </c:pt>
                <c:pt idx="73">
                  <c:v>30.63</c:v>
                </c:pt>
                <c:pt idx="74">
                  <c:v>32.39</c:v>
                </c:pt>
                <c:pt idx="75">
                  <c:v>39.85</c:v>
                </c:pt>
                <c:pt idx="76">
                  <c:v>44.84</c:v>
                </c:pt>
                <c:pt idx="77">
                  <c:v>38.89</c:v>
                </c:pt>
                <c:pt idx="78">
                  <c:v>32.74</c:v>
                </c:pt>
                <c:pt idx="79">
                  <c:v>44.21</c:v>
                </c:pt>
                <c:pt idx="80">
                  <c:v>52.4</c:v>
                </c:pt>
                <c:pt idx="81">
                  <c:v>54.53</c:v>
                </c:pt>
                <c:pt idx="82">
                  <c:v>49.64</c:v>
                </c:pt>
                <c:pt idx="83">
                  <c:v>43.99</c:v>
                </c:pt>
                <c:pt idx="84">
                  <c:v>49.85</c:v>
                </c:pt>
                <c:pt idx="85">
                  <c:v>50.81</c:v>
                </c:pt>
                <c:pt idx="86">
                  <c:v>54.37</c:v>
                </c:pt>
                <c:pt idx="87">
                  <c:v>45.54</c:v>
                </c:pt>
                <c:pt idx="88">
                  <c:v>39.39</c:v>
                </c:pt>
                <c:pt idx="89">
                  <c:v>39.69</c:v>
                </c:pt>
                <c:pt idx="90">
                  <c:v>34.82</c:v>
                </c:pt>
                <c:pt idx="91">
                  <c:v>24.47</c:v>
                </c:pt>
                <c:pt idx="92">
                  <c:v>35.07</c:v>
                </c:pt>
                <c:pt idx="93">
                  <c:v>37.01</c:v>
                </c:pt>
                <c:pt idx="94">
                  <c:v>34.74</c:v>
                </c:pt>
                <c:pt idx="95">
                  <c:v>37.71</c:v>
                </c:pt>
                <c:pt idx="96">
                  <c:v>41.8</c:v>
                </c:pt>
                <c:pt idx="97">
                  <c:v>36.01</c:v>
                </c:pt>
                <c:pt idx="98">
                  <c:v>23.73</c:v>
                </c:pt>
                <c:pt idx="99">
                  <c:v>18.39</c:v>
                </c:pt>
                <c:pt idx="100">
                  <c:v>13.84</c:v>
                </c:pt>
                <c:pt idx="101">
                  <c:v>9</c:v>
                </c:pt>
                <c:pt idx="102">
                  <c:v>12.74</c:v>
                </c:pt>
                <c:pt idx="103">
                  <c:v>23.73</c:v>
                </c:pt>
                <c:pt idx="104">
                  <c:v>8.92</c:v>
                </c:pt>
                <c:pt idx="105">
                  <c:v>33.659999999999997</c:v>
                </c:pt>
                <c:pt idx="106">
                  <c:v>33.49</c:v>
                </c:pt>
                <c:pt idx="107">
                  <c:v>22.12</c:v>
                </c:pt>
                <c:pt idx="108">
                  <c:v>23.64</c:v>
                </c:pt>
                <c:pt idx="109">
                  <c:v>30.96</c:v>
                </c:pt>
                <c:pt idx="110">
                  <c:v>48.6</c:v>
                </c:pt>
                <c:pt idx="111">
                  <c:v>53.14</c:v>
                </c:pt>
                <c:pt idx="112">
                  <c:v>36.17</c:v>
                </c:pt>
                <c:pt idx="113">
                  <c:v>33.119999999999997</c:v>
                </c:pt>
                <c:pt idx="114">
                  <c:v>42.88</c:v>
                </c:pt>
                <c:pt idx="115">
                  <c:v>39.840000000000003</c:v>
                </c:pt>
                <c:pt idx="116">
                  <c:v>57.9</c:v>
                </c:pt>
                <c:pt idx="117">
                  <c:v>65.67</c:v>
                </c:pt>
                <c:pt idx="118">
                  <c:v>90.26</c:v>
                </c:pt>
                <c:pt idx="119">
                  <c:v>64.28</c:v>
                </c:pt>
                <c:pt idx="120">
                  <c:v>82.53</c:v>
                </c:pt>
                <c:pt idx="121">
                  <c:v>175.74</c:v>
                </c:pt>
                <c:pt idx="122">
                  <c:v>100.89</c:v>
                </c:pt>
                <c:pt idx="123">
                  <c:v>73.489999999999995</c:v>
                </c:pt>
                <c:pt idx="124">
                  <c:v>122.9</c:v>
                </c:pt>
                <c:pt idx="125">
                  <c:v>86.3</c:v>
                </c:pt>
                <c:pt idx="126">
                  <c:v>98.15</c:v>
                </c:pt>
                <c:pt idx="127">
                  <c:v>119.14</c:v>
                </c:pt>
                <c:pt idx="128">
                  <c:v>81.790000000000006</c:v>
                </c:pt>
                <c:pt idx="129">
                  <c:v>211.4</c:v>
                </c:pt>
                <c:pt idx="130">
                  <c:v>212.3</c:v>
                </c:pt>
                <c:pt idx="131">
                  <c:v>73.58</c:v>
                </c:pt>
                <c:pt idx="132">
                  <c:v>120.04</c:v>
                </c:pt>
                <c:pt idx="133">
                  <c:v>245.84</c:v>
                </c:pt>
                <c:pt idx="134">
                  <c:v>82.72</c:v>
                </c:pt>
                <c:pt idx="135">
                  <c:v>73.67</c:v>
                </c:pt>
                <c:pt idx="136">
                  <c:v>71.790000000000006</c:v>
                </c:pt>
              </c:numCache>
            </c:numRef>
          </c:val>
          <c:extLst>
            <c:ext xmlns:c16="http://schemas.microsoft.com/office/drawing/2014/chart" uri="{C3380CC4-5D6E-409C-BE32-E72D297353CC}">
              <c16:uniqueId val="{00000000-B693-4187-B2C6-909BBEBA2D1B}"/>
            </c:ext>
          </c:extLst>
        </c:ser>
        <c:dLbls>
          <c:showLegendKey val="0"/>
          <c:showVal val="0"/>
          <c:showCatName val="0"/>
          <c:showSerName val="0"/>
          <c:showPercent val="0"/>
          <c:showBubbleSize val="0"/>
        </c:dLbls>
        <c:gapWidth val="219"/>
        <c:overlap val="-27"/>
        <c:axId val="747926520"/>
        <c:axId val="747925208"/>
      </c:barChart>
      <c:lineChart>
        <c:grouping val="standard"/>
        <c:varyColors val="0"/>
        <c:ser>
          <c:idx val="1"/>
          <c:order val="1"/>
          <c:tx>
            <c:strRef>
              <c:f>Nordpooldata!$W$2</c:f>
              <c:strCache>
                <c:ptCount val="1"/>
                <c:pt idx="0">
                  <c:v>Medeltal 11/2011-1/2022</c:v>
                </c:pt>
              </c:strCache>
            </c:strRef>
          </c:tx>
          <c:spPr>
            <a:ln w="28575" cap="rnd">
              <a:solidFill>
                <a:schemeClr val="accent2"/>
              </a:solidFill>
              <a:round/>
            </a:ln>
            <a:effectLst/>
          </c:spPr>
          <c:marker>
            <c:symbol val="none"/>
          </c:marker>
          <c:cat>
            <c:numRef>
              <c:f>Nordpooldata!$U$3:$U$137</c:f>
              <c:numCache>
                <c:formatCode>General</c:formatCode>
                <c:ptCount val="135"/>
                <c:pt idx="0">
                  <c:v>2011</c:v>
                </c:pt>
                <c:pt idx="2">
                  <c:v>2012</c:v>
                </c:pt>
                <c:pt idx="14">
                  <c:v>2013</c:v>
                </c:pt>
                <c:pt idx="26">
                  <c:v>2014</c:v>
                </c:pt>
                <c:pt idx="38">
                  <c:v>2015</c:v>
                </c:pt>
                <c:pt idx="50">
                  <c:v>2016</c:v>
                </c:pt>
                <c:pt idx="62">
                  <c:v>2017</c:v>
                </c:pt>
                <c:pt idx="74">
                  <c:v>2018</c:v>
                </c:pt>
                <c:pt idx="86">
                  <c:v>2019</c:v>
                </c:pt>
                <c:pt idx="98">
                  <c:v>2020</c:v>
                </c:pt>
                <c:pt idx="110">
                  <c:v>2021</c:v>
                </c:pt>
                <c:pt idx="122">
                  <c:v>2022</c:v>
                </c:pt>
                <c:pt idx="134">
                  <c:v>2023</c:v>
                </c:pt>
              </c:numCache>
            </c:numRef>
          </c:cat>
          <c:val>
            <c:numRef>
              <c:f>Nordpooldata!$W$3:$W$138</c:f>
              <c:numCache>
                <c:formatCode>0.00</c:formatCode>
                <c:ptCount val="136"/>
                <c:pt idx="0">
                  <c:v>36.17</c:v>
                </c:pt>
                <c:pt idx="1">
                  <c:v>36.17</c:v>
                </c:pt>
                <c:pt idx="2">
                  <c:v>36.17</c:v>
                </c:pt>
                <c:pt idx="3">
                  <c:v>36.17</c:v>
                </c:pt>
                <c:pt idx="4">
                  <c:v>36.17</c:v>
                </c:pt>
                <c:pt idx="5">
                  <c:v>36.17</c:v>
                </c:pt>
                <c:pt idx="6">
                  <c:v>36.17</c:v>
                </c:pt>
                <c:pt idx="7">
                  <c:v>36.17</c:v>
                </c:pt>
                <c:pt idx="8">
                  <c:v>36.17</c:v>
                </c:pt>
                <c:pt idx="9">
                  <c:v>36.17</c:v>
                </c:pt>
                <c:pt idx="10">
                  <c:v>36.17</c:v>
                </c:pt>
                <c:pt idx="11">
                  <c:v>36.17</c:v>
                </c:pt>
                <c:pt idx="12">
                  <c:v>36.17</c:v>
                </c:pt>
                <c:pt idx="13">
                  <c:v>36.17</c:v>
                </c:pt>
                <c:pt idx="14">
                  <c:v>36.17</c:v>
                </c:pt>
                <c:pt idx="15">
                  <c:v>36.17</c:v>
                </c:pt>
                <c:pt idx="16">
                  <c:v>36.17</c:v>
                </c:pt>
                <c:pt idx="17">
                  <c:v>36.17</c:v>
                </c:pt>
                <c:pt idx="18">
                  <c:v>36.17</c:v>
                </c:pt>
                <c:pt idx="19">
                  <c:v>36.17</c:v>
                </c:pt>
                <c:pt idx="20">
                  <c:v>36.17</c:v>
                </c:pt>
                <c:pt idx="21">
                  <c:v>36.17</c:v>
                </c:pt>
                <c:pt idx="22">
                  <c:v>36.17</c:v>
                </c:pt>
                <c:pt idx="23">
                  <c:v>36.17</c:v>
                </c:pt>
                <c:pt idx="24">
                  <c:v>36.17</c:v>
                </c:pt>
                <c:pt idx="25">
                  <c:v>36.17</c:v>
                </c:pt>
                <c:pt idx="26">
                  <c:v>36.17</c:v>
                </c:pt>
                <c:pt idx="27">
                  <c:v>36.17</c:v>
                </c:pt>
                <c:pt idx="28">
                  <c:v>36.17</c:v>
                </c:pt>
                <c:pt idx="29">
                  <c:v>36.17</c:v>
                </c:pt>
                <c:pt idx="30">
                  <c:v>36.17</c:v>
                </c:pt>
                <c:pt idx="31">
                  <c:v>36.17</c:v>
                </c:pt>
                <c:pt idx="32">
                  <c:v>36.17</c:v>
                </c:pt>
                <c:pt idx="33">
                  <c:v>36.17</c:v>
                </c:pt>
                <c:pt idx="34">
                  <c:v>36.17</c:v>
                </c:pt>
                <c:pt idx="35">
                  <c:v>36.17</c:v>
                </c:pt>
                <c:pt idx="36">
                  <c:v>36.17</c:v>
                </c:pt>
                <c:pt idx="37">
                  <c:v>36.17</c:v>
                </c:pt>
                <c:pt idx="38">
                  <c:v>36.17</c:v>
                </c:pt>
                <c:pt idx="39">
                  <c:v>36.17</c:v>
                </c:pt>
                <c:pt idx="40">
                  <c:v>36.17</c:v>
                </c:pt>
                <c:pt idx="41">
                  <c:v>36.17</c:v>
                </c:pt>
                <c:pt idx="42">
                  <c:v>36.17</c:v>
                </c:pt>
                <c:pt idx="43">
                  <c:v>36.17</c:v>
                </c:pt>
                <c:pt idx="44">
                  <c:v>36.17</c:v>
                </c:pt>
                <c:pt idx="45">
                  <c:v>36.17</c:v>
                </c:pt>
                <c:pt idx="46">
                  <c:v>36.17</c:v>
                </c:pt>
                <c:pt idx="47">
                  <c:v>36.17</c:v>
                </c:pt>
                <c:pt idx="48">
                  <c:v>36.17</c:v>
                </c:pt>
                <c:pt idx="49">
                  <c:v>36.17</c:v>
                </c:pt>
                <c:pt idx="50">
                  <c:v>36.17</c:v>
                </c:pt>
                <c:pt idx="51">
                  <c:v>36.17</c:v>
                </c:pt>
                <c:pt idx="52">
                  <c:v>36.17</c:v>
                </c:pt>
                <c:pt idx="53">
                  <c:v>36.17</c:v>
                </c:pt>
                <c:pt idx="54">
                  <c:v>36.17</c:v>
                </c:pt>
                <c:pt idx="55">
                  <c:v>36.17</c:v>
                </c:pt>
                <c:pt idx="56">
                  <c:v>36.17</c:v>
                </c:pt>
                <c:pt idx="57">
                  <c:v>36.17</c:v>
                </c:pt>
                <c:pt idx="58">
                  <c:v>36.17</c:v>
                </c:pt>
                <c:pt idx="59">
                  <c:v>36.17</c:v>
                </c:pt>
                <c:pt idx="60">
                  <c:v>36.17</c:v>
                </c:pt>
                <c:pt idx="61">
                  <c:v>36.17</c:v>
                </c:pt>
                <c:pt idx="62">
                  <c:v>36.17</c:v>
                </c:pt>
                <c:pt idx="63">
                  <c:v>36.17</c:v>
                </c:pt>
                <c:pt idx="64">
                  <c:v>36.17</c:v>
                </c:pt>
                <c:pt idx="65">
                  <c:v>36.17</c:v>
                </c:pt>
                <c:pt idx="66">
                  <c:v>36.17</c:v>
                </c:pt>
                <c:pt idx="67">
                  <c:v>36.17</c:v>
                </c:pt>
                <c:pt idx="68">
                  <c:v>36.17</c:v>
                </c:pt>
                <c:pt idx="69">
                  <c:v>36.17</c:v>
                </c:pt>
                <c:pt idx="70">
                  <c:v>36.17</c:v>
                </c:pt>
                <c:pt idx="71">
                  <c:v>36.17</c:v>
                </c:pt>
                <c:pt idx="72">
                  <c:v>36.17</c:v>
                </c:pt>
                <c:pt idx="73">
                  <c:v>36.17</c:v>
                </c:pt>
                <c:pt idx="74">
                  <c:v>36.17</c:v>
                </c:pt>
                <c:pt idx="75">
                  <c:v>36.17</c:v>
                </c:pt>
                <c:pt idx="76">
                  <c:v>36.17</c:v>
                </c:pt>
                <c:pt idx="77">
                  <c:v>36.17</c:v>
                </c:pt>
                <c:pt idx="78">
                  <c:v>36.17</c:v>
                </c:pt>
                <c:pt idx="79">
                  <c:v>36.17</c:v>
                </c:pt>
                <c:pt idx="80">
                  <c:v>36.17</c:v>
                </c:pt>
                <c:pt idx="81">
                  <c:v>36.17</c:v>
                </c:pt>
                <c:pt idx="82">
                  <c:v>36.17</c:v>
                </c:pt>
                <c:pt idx="83">
                  <c:v>36.17</c:v>
                </c:pt>
                <c:pt idx="84">
                  <c:v>36.17</c:v>
                </c:pt>
                <c:pt idx="85">
                  <c:v>36.17</c:v>
                </c:pt>
                <c:pt idx="86">
                  <c:v>36.17</c:v>
                </c:pt>
                <c:pt idx="87">
                  <c:v>36.17</c:v>
                </c:pt>
                <c:pt idx="88">
                  <c:v>36.17</c:v>
                </c:pt>
                <c:pt idx="89">
                  <c:v>36.17</c:v>
                </c:pt>
                <c:pt idx="90">
                  <c:v>36.17</c:v>
                </c:pt>
                <c:pt idx="91">
                  <c:v>36.17</c:v>
                </c:pt>
                <c:pt idx="92">
                  <c:v>36.17</c:v>
                </c:pt>
                <c:pt idx="93">
                  <c:v>36.17</c:v>
                </c:pt>
                <c:pt idx="94">
                  <c:v>36.17</c:v>
                </c:pt>
                <c:pt idx="95">
                  <c:v>36.17</c:v>
                </c:pt>
                <c:pt idx="96">
                  <c:v>36.17</c:v>
                </c:pt>
                <c:pt idx="97">
                  <c:v>36.17</c:v>
                </c:pt>
                <c:pt idx="98">
                  <c:v>36.17</c:v>
                </c:pt>
                <c:pt idx="99">
                  <c:v>36.17</c:v>
                </c:pt>
                <c:pt idx="100">
                  <c:v>36.17</c:v>
                </c:pt>
                <c:pt idx="101">
                  <c:v>36.17</c:v>
                </c:pt>
                <c:pt idx="102">
                  <c:v>36.17</c:v>
                </c:pt>
                <c:pt idx="103">
                  <c:v>36.17</c:v>
                </c:pt>
                <c:pt idx="104">
                  <c:v>36.17</c:v>
                </c:pt>
                <c:pt idx="105">
                  <c:v>36.17</c:v>
                </c:pt>
                <c:pt idx="106">
                  <c:v>36.17</c:v>
                </c:pt>
                <c:pt idx="107">
                  <c:v>36.17</c:v>
                </c:pt>
                <c:pt idx="108">
                  <c:v>36.17</c:v>
                </c:pt>
                <c:pt idx="109">
                  <c:v>36.17</c:v>
                </c:pt>
                <c:pt idx="110">
                  <c:v>36.17</c:v>
                </c:pt>
                <c:pt idx="111">
                  <c:v>36.17</c:v>
                </c:pt>
                <c:pt idx="112">
                  <c:v>36.17</c:v>
                </c:pt>
                <c:pt idx="113">
                  <c:v>36.17</c:v>
                </c:pt>
                <c:pt idx="114">
                  <c:v>36.17</c:v>
                </c:pt>
                <c:pt idx="115">
                  <c:v>36.17</c:v>
                </c:pt>
                <c:pt idx="116">
                  <c:v>36.17</c:v>
                </c:pt>
                <c:pt idx="117">
                  <c:v>36.17</c:v>
                </c:pt>
                <c:pt idx="118">
                  <c:v>36.17</c:v>
                </c:pt>
                <c:pt idx="119">
                  <c:v>36.17</c:v>
                </c:pt>
                <c:pt idx="120">
                  <c:v>36.17</c:v>
                </c:pt>
                <c:pt idx="121">
                  <c:v>36.17</c:v>
                </c:pt>
                <c:pt idx="122">
                  <c:v>36.17</c:v>
                </c:pt>
                <c:pt idx="123">
                  <c:v>36.17</c:v>
                </c:pt>
                <c:pt idx="124">
                  <c:v>36.17</c:v>
                </c:pt>
                <c:pt idx="125">
                  <c:v>36.17</c:v>
                </c:pt>
                <c:pt idx="126">
                  <c:v>36.17</c:v>
                </c:pt>
                <c:pt idx="127">
                  <c:v>36.17</c:v>
                </c:pt>
                <c:pt idx="128">
                  <c:v>36.17</c:v>
                </c:pt>
                <c:pt idx="129">
                  <c:v>36.17</c:v>
                </c:pt>
                <c:pt idx="130">
                  <c:v>36.17</c:v>
                </c:pt>
                <c:pt idx="131">
                  <c:v>36.17</c:v>
                </c:pt>
                <c:pt idx="132">
                  <c:v>36.17</c:v>
                </c:pt>
                <c:pt idx="133">
                  <c:v>36.17</c:v>
                </c:pt>
                <c:pt idx="134">
                  <c:v>36.17</c:v>
                </c:pt>
                <c:pt idx="135">
                  <c:v>36.17</c:v>
                </c:pt>
              </c:numCache>
            </c:numRef>
          </c:val>
          <c:smooth val="0"/>
          <c:extLst>
            <c:ext xmlns:c16="http://schemas.microsoft.com/office/drawing/2014/chart" uri="{C3380CC4-5D6E-409C-BE32-E72D297353CC}">
              <c16:uniqueId val="{00000001-B693-4187-B2C6-909BBEBA2D1B}"/>
            </c:ext>
          </c:extLst>
        </c:ser>
        <c:dLbls>
          <c:showLegendKey val="0"/>
          <c:showVal val="0"/>
          <c:showCatName val="0"/>
          <c:showSerName val="0"/>
          <c:showPercent val="0"/>
          <c:showBubbleSize val="0"/>
        </c:dLbls>
        <c:marker val="1"/>
        <c:smooth val="0"/>
        <c:axId val="747926520"/>
        <c:axId val="747925208"/>
      </c:lineChart>
      <c:catAx>
        <c:axId val="74792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v-FI"/>
          </a:p>
        </c:txPr>
        <c:crossAx val="747925208"/>
        <c:crosses val="autoZero"/>
        <c:auto val="1"/>
        <c:lblAlgn val="ctr"/>
        <c:lblOffset val="100"/>
        <c:noMultiLvlLbl val="0"/>
      </c:catAx>
      <c:valAx>
        <c:axId val="747925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sv-FI" sz="700"/>
                  <a:t>€/MWh</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v-F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747926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2</TotalTime>
  <Pages>7</Pages>
  <Words>2770</Words>
  <Characters>14684</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17420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x/2013-2014</dc:title>
  <dc:subject/>
  <dc:creator>Jessica Laaksonen</dc:creator>
  <cp:keywords/>
  <dc:description/>
  <cp:lastModifiedBy>Jessica Laaksonen</cp:lastModifiedBy>
  <cp:revision>2</cp:revision>
  <cp:lastPrinted>2023-05-02T09:26:00Z</cp:lastPrinted>
  <dcterms:created xsi:type="dcterms:W3CDTF">2023-05-02T09:28:00Z</dcterms:created>
  <dcterms:modified xsi:type="dcterms:W3CDTF">2023-05-02T09:28:00Z</dcterms:modified>
</cp:coreProperties>
</file>