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419019E" w14:textId="77777777">
        <w:trPr>
          <w:cantSplit/>
          <w:trHeight w:val="20"/>
        </w:trPr>
        <w:tc>
          <w:tcPr>
            <w:tcW w:w="861" w:type="dxa"/>
            <w:vMerge w:val="restart"/>
          </w:tcPr>
          <w:p w14:paraId="4FAABE40" w14:textId="23F45E92" w:rsidR="00AF3004" w:rsidRDefault="00573ACD">
            <w:pPr>
              <w:pStyle w:val="xLedtext"/>
              <w:keepNext/>
              <w:rPr>
                <w:noProof/>
              </w:rPr>
            </w:pPr>
            <w:r>
              <w:rPr>
                <w:noProof/>
                <w:sz w:val="20"/>
              </w:rPr>
              <w:drawing>
                <wp:anchor distT="0" distB="0" distL="114300" distR="114300" simplePos="0" relativeHeight="251657728" behindDoc="0" locked="0" layoutInCell="1" allowOverlap="1" wp14:anchorId="76F7F968" wp14:editId="14EB5A5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4517597" w14:textId="4CAC6FCA" w:rsidR="00AF3004" w:rsidRDefault="00573ACD">
            <w:pPr>
              <w:pStyle w:val="xMellanrum"/>
            </w:pPr>
            <w:r>
              <w:rPr>
                <w:noProof/>
              </w:rPr>
              <w:drawing>
                <wp:inline distT="0" distB="0" distL="0" distR="0" wp14:anchorId="22280D89" wp14:editId="56D5370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30E0DF3F" w14:textId="77777777">
        <w:trPr>
          <w:cantSplit/>
          <w:trHeight w:val="299"/>
        </w:trPr>
        <w:tc>
          <w:tcPr>
            <w:tcW w:w="861" w:type="dxa"/>
            <w:vMerge/>
          </w:tcPr>
          <w:p w14:paraId="6E5FC31E" w14:textId="77777777" w:rsidR="00AF3004" w:rsidRDefault="00AF3004">
            <w:pPr>
              <w:pStyle w:val="xLedtext"/>
            </w:pPr>
          </w:p>
        </w:tc>
        <w:tc>
          <w:tcPr>
            <w:tcW w:w="4448" w:type="dxa"/>
            <w:vAlign w:val="bottom"/>
          </w:tcPr>
          <w:p w14:paraId="6ACD42FE" w14:textId="77777777" w:rsidR="00AF3004" w:rsidRDefault="00AF3004">
            <w:pPr>
              <w:pStyle w:val="xAvsandare1"/>
            </w:pPr>
          </w:p>
        </w:tc>
        <w:tc>
          <w:tcPr>
            <w:tcW w:w="4288" w:type="dxa"/>
            <w:gridSpan w:val="2"/>
            <w:vAlign w:val="bottom"/>
          </w:tcPr>
          <w:p w14:paraId="5F8FF618" w14:textId="294849BB" w:rsidR="00AF3004" w:rsidRDefault="00DF7570">
            <w:pPr>
              <w:pStyle w:val="xDokTypNr"/>
            </w:pPr>
            <w:r>
              <w:t>LAGFÖ</w:t>
            </w:r>
            <w:r w:rsidR="00037574">
              <w:t>R</w:t>
            </w:r>
            <w:r>
              <w:t>SLAG</w:t>
            </w:r>
            <w:r w:rsidR="00AF3004">
              <w:t xml:space="preserve"> nr </w:t>
            </w:r>
            <w:r w:rsidR="001830FE">
              <w:t>1</w:t>
            </w:r>
            <w:r w:rsidR="007A2F54">
              <w:t>1</w:t>
            </w:r>
            <w:r w:rsidR="00AF3004">
              <w:t>/</w:t>
            </w:r>
            <w:r w:rsidR="00545379">
              <w:t>2022–2023</w:t>
            </w:r>
          </w:p>
        </w:tc>
      </w:tr>
      <w:tr w:rsidR="00AF3004" w14:paraId="3523470E" w14:textId="77777777">
        <w:trPr>
          <w:cantSplit/>
          <w:trHeight w:val="238"/>
        </w:trPr>
        <w:tc>
          <w:tcPr>
            <w:tcW w:w="861" w:type="dxa"/>
            <w:vMerge/>
          </w:tcPr>
          <w:p w14:paraId="3DE13646" w14:textId="77777777" w:rsidR="00AF3004" w:rsidRDefault="00AF3004">
            <w:pPr>
              <w:pStyle w:val="xLedtext"/>
            </w:pPr>
          </w:p>
        </w:tc>
        <w:tc>
          <w:tcPr>
            <w:tcW w:w="4448" w:type="dxa"/>
            <w:vAlign w:val="bottom"/>
          </w:tcPr>
          <w:p w14:paraId="03EBF2BA" w14:textId="77777777" w:rsidR="00AF3004" w:rsidRDefault="00AF3004">
            <w:pPr>
              <w:pStyle w:val="xLedtext"/>
            </w:pPr>
          </w:p>
        </w:tc>
        <w:tc>
          <w:tcPr>
            <w:tcW w:w="1725" w:type="dxa"/>
            <w:vAlign w:val="bottom"/>
          </w:tcPr>
          <w:p w14:paraId="0DCB6E24" w14:textId="77777777" w:rsidR="00AF3004" w:rsidRDefault="00AF3004">
            <w:pPr>
              <w:pStyle w:val="xLedtext"/>
              <w:rPr>
                <w:lang w:val="de-DE"/>
              </w:rPr>
            </w:pPr>
            <w:r>
              <w:rPr>
                <w:lang w:val="de-DE"/>
              </w:rPr>
              <w:t>Datum</w:t>
            </w:r>
          </w:p>
        </w:tc>
        <w:tc>
          <w:tcPr>
            <w:tcW w:w="2563" w:type="dxa"/>
            <w:vAlign w:val="bottom"/>
          </w:tcPr>
          <w:p w14:paraId="504D00C4" w14:textId="77777777" w:rsidR="00AF3004" w:rsidRDefault="00AF3004">
            <w:pPr>
              <w:pStyle w:val="xLedtext"/>
              <w:rPr>
                <w:lang w:val="de-DE"/>
              </w:rPr>
            </w:pPr>
          </w:p>
        </w:tc>
      </w:tr>
      <w:tr w:rsidR="00AF3004" w14:paraId="6008B7B1" w14:textId="77777777">
        <w:trPr>
          <w:cantSplit/>
          <w:trHeight w:val="238"/>
        </w:trPr>
        <w:tc>
          <w:tcPr>
            <w:tcW w:w="861" w:type="dxa"/>
            <w:vMerge/>
          </w:tcPr>
          <w:p w14:paraId="2569B47C" w14:textId="77777777" w:rsidR="00AF3004" w:rsidRDefault="00AF3004">
            <w:pPr>
              <w:pStyle w:val="xAvsandare2"/>
              <w:rPr>
                <w:lang w:val="de-DE"/>
              </w:rPr>
            </w:pPr>
          </w:p>
        </w:tc>
        <w:tc>
          <w:tcPr>
            <w:tcW w:w="4448" w:type="dxa"/>
            <w:vAlign w:val="center"/>
          </w:tcPr>
          <w:p w14:paraId="633DCF10" w14:textId="77777777" w:rsidR="00AF3004" w:rsidRDefault="00AF3004">
            <w:pPr>
              <w:pStyle w:val="xAvsandare2"/>
              <w:rPr>
                <w:lang w:val="de-DE"/>
              </w:rPr>
            </w:pPr>
          </w:p>
        </w:tc>
        <w:tc>
          <w:tcPr>
            <w:tcW w:w="1725" w:type="dxa"/>
            <w:vAlign w:val="center"/>
          </w:tcPr>
          <w:p w14:paraId="553D86BB" w14:textId="557B7562" w:rsidR="00AF3004" w:rsidRDefault="00AF3004">
            <w:pPr>
              <w:pStyle w:val="xDatum1"/>
              <w:rPr>
                <w:lang w:val="de-DE"/>
              </w:rPr>
            </w:pPr>
            <w:r>
              <w:rPr>
                <w:lang w:val="de-DE"/>
              </w:rPr>
              <w:t>20</w:t>
            </w:r>
            <w:r w:rsidR="001830FE">
              <w:rPr>
                <w:lang w:val="de-DE"/>
              </w:rPr>
              <w:t>22</w:t>
            </w:r>
            <w:r>
              <w:rPr>
                <w:lang w:val="de-DE"/>
              </w:rPr>
              <w:t>-</w:t>
            </w:r>
            <w:r w:rsidR="001830FE">
              <w:rPr>
                <w:lang w:val="de-DE"/>
              </w:rPr>
              <w:t>12</w:t>
            </w:r>
            <w:r>
              <w:rPr>
                <w:lang w:val="de-DE"/>
              </w:rPr>
              <w:t>-</w:t>
            </w:r>
            <w:r w:rsidR="001830FE">
              <w:rPr>
                <w:lang w:val="de-DE"/>
              </w:rPr>
              <w:t>01</w:t>
            </w:r>
          </w:p>
        </w:tc>
        <w:tc>
          <w:tcPr>
            <w:tcW w:w="2563" w:type="dxa"/>
            <w:vAlign w:val="center"/>
          </w:tcPr>
          <w:p w14:paraId="34669FAE" w14:textId="77777777" w:rsidR="00AF3004" w:rsidRDefault="00AF3004">
            <w:pPr>
              <w:pStyle w:val="xBeteckning1"/>
              <w:rPr>
                <w:lang w:val="de-DE"/>
              </w:rPr>
            </w:pPr>
          </w:p>
        </w:tc>
      </w:tr>
      <w:tr w:rsidR="00AF3004" w14:paraId="7545257E" w14:textId="77777777">
        <w:trPr>
          <w:cantSplit/>
          <w:trHeight w:val="238"/>
        </w:trPr>
        <w:tc>
          <w:tcPr>
            <w:tcW w:w="861" w:type="dxa"/>
            <w:vMerge/>
          </w:tcPr>
          <w:p w14:paraId="497BE734" w14:textId="77777777" w:rsidR="00AF3004" w:rsidRDefault="00AF3004">
            <w:pPr>
              <w:pStyle w:val="xLedtext"/>
              <w:rPr>
                <w:lang w:val="de-DE"/>
              </w:rPr>
            </w:pPr>
          </w:p>
        </w:tc>
        <w:tc>
          <w:tcPr>
            <w:tcW w:w="4448" w:type="dxa"/>
            <w:vAlign w:val="bottom"/>
          </w:tcPr>
          <w:p w14:paraId="316190EE" w14:textId="77777777" w:rsidR="00AF3004" w:rsidRDefault="00AF3004">
            <w:pPr>
              <w:pStyle w:val="xLedtext"/>
              <w:rPr>
                <w:lang w:val="de-DE"/>
              </w:rPr>
            </w:pPr>
          </w:p>
        </w:tc>
        <w:tc>
          <w:tcPr>
            <w:tcW w:w="1725" w:type="dxa"/>
            <w:vAlign w:val="bottom"/>
          </w:tcPr>
          <w:p w14:paraId="0701C88A" w14:textId="77777777" w:rsidR="00AF3004" w:rsidRDefault="00AF3004">
            <w:pPr>
              <w:pStyle w:val="xLedtext"/>
              <w:rPr>
                <w:lang w:val="de-DE"/>
              </w:rPr>
            </w:pPr>
          </w:p>
        </w:tc>
        <w:tc>
          <w:tcPr>
            <w:tcW w:w="2563" w:type="dxa"/>
            <w:vAlign w:val="bottom"/>
          </w:tcPr>
          <w:p w14:paraId="6A7713F2" w14:textId="77777777" w:rsidR="00AF3004" w:rsidRDefault="00AF3004">
            <w:pPr>
              <w:pStyle w:val="xLedtext"/>
              <w:rPr>
                <w:lang w:val="de-DE"/>
              </w:rPr>
            </w:pPr>
          </w:p>
        </w:tc>
      </w:tr>
      <w:tr w:rsidR="00AF3004" w14:paraId="6212E7C2" w14:textId="77777777">
        <w:trPr>
          <w:cantSplit/>
          <w:trHeight w:val="238"/>
        </w:trPr>
        <w:tc>
          <w:tcPr>
            <w:tcW w:w="861" w:type="dxa"/>
            <w:vMerge/>
            <w:tcBorders>
              <w:bottom w:val="single" w:sz="4" w:space="0" w:color="auto"/>
            </w:tcBorders>
          </w:tcPr>
          <w:p w14:paraId="78BC5944" w14:textId="77777777" w:rsidR="00AF3004" w:rsidRDefault="00AF3004">
            <w:pPr>
              <w:pStyle w:val="xAvsandare3"/>
              <w:rPr>
                <w:lang w:val="de-DE"/>
              </w:rPr>
            </w:pPr>
          </w:p>
        </w:tc>
        <w:tc>
          <w:tcPr>
            <w:tcW w:w="4448" w:type="dxa"/>
            <w:tcBorders>
              <w:bottom w:val="single" w:sz="4" w:space="0" w:color="auto"/>
            </w:tcBorders>
            <w:vAlign w:val="center"/>
          </w:tcPr>
          <w:p w14:paraId="6CB987B4" w14:textId="77777777" w:rsidR="00AF3004" w:rsidRDefault="00AF3004">
            <w:pPr>
              <w:pStyle w:val="xAvsandare3"/>
              <w:rPr>
                <w:lang w:val="de-DE"/>
              </w:rPr>
            </w:pPr>
          </w:p>
        </w:tc>
        <w:tc>
          <w:tcPr>
            <w:tcW w:w="1725" w:type="dxa"/>
            <w:tcBorders>
              <w:bottom w:val="single" w:sz="4" w:space="0" w:color="auto"/>
            </w:tcBorders>
            <w:vAlign w:val="center"/>
          </w:tcPr>
          <w:p w14:paraId="2497E3ED" w14:textId="77777777" w:rsidR="00AF3004" w:rsidRDefault="00AF3004">
            <w:pPr>
              <w:pStyle w:val="xDatum2"/>
              <w:rPr>
                <w:lang w:val="de-DE"/>
              </w:rPr>
            </w:pPr>
          </w:p>
        </w:tc>
        <w:tc>
          <w:tcPr>
            <w:tcW w:w="2563" w:type="dxa"/>
            <w:tcBorders>
              <w:bottom w:val="single" w:sz="4" w:space="0" w:color="auto"/>
            </w:tcBorders>
            <w:vAlign w:val="center"/>
          </w:tcPr>
          <w:p w14:paraId="720FC559" w14:textId="77777777" w:rsidR="00AF3004" w:rsidRDefault="00AF3004">
            <w:pPr>
              <w:pStyle w:val="xBeteckning2"/>
              <w:rPr>
                <w:lang w:val="de-DE"/>
              </w:rPr>
            </w:pPr>
          </w:p>
        </w:tc>
      </w:tr>
      <w:tr w:rsidR="00AF3004" w14:paraId="75069B0F" w14:textId="77777777">
        <w:trPr>
          <w:cantSplit/>
          <w:trHeight w:val="238"/>
        </w:trPr>
        <w:tc>
          <w:tcPr>
            <w:tcW w:w="861" w:type="dxa"/>
            <w:tcBorders>
              <w:top w:val="single" w:sz="4" w:space="0" w:color="auto"/>
            </w:tcBorders>
            <w:vAlign w:val="bottom"/>
          </w:tcPr>
          <w:p w14:paraId="0A51E435" w14:textId="77777777" w:rsidR="00AF3004" w:rsidRDefault="00AF3004">
            <w:pPr>
              <w:pStyle w:val="xLedtext"/>
              <w:rPr>
                <w:lang w:val="de-DE"/>
              </w:rPr>
            </w:pPr>
          </w:p>
        </w:tc>
        <w:tc>
          <w:tcPr>
            <w:tcW w:w="4448" w:type="dxa"/>
            <w:tcBorders>
              <w:top w:val="single" w:sz="4" w:space="0" w:color="auto"/>
            </w:tcBorders>
            <w:vAlign w:val="bottom"/>
          </w:tcPr>
          <w:p w14:paraId="02AC79DC" w14:textId="77777777" w:rsidR="00AF3004" w:rsidRDefault="00AF3004">
            <w:pPr>
              <w:pStyle w:val="xLedtext"/>
              <w:rPr>
                <w:lang w:val="de-DE"/>
              </w:rPr>
            </w:pPr>
          </w:p>
        </w:tc>
        <w:tc>
          <w:tcPr>
            <w:tcW w:w="4288" w:type="dxa"/>
            <w:gridSpan w:val="2"/>
            <w:tcBorders>
              <w:top w:val="single" w:sz="4" w:space="0" w:color="auto"/>
            </w:tcBorders>
            <w:vAlign w:val="bottom"/>
          </w:tcPr>
          <w:p w14:paraId="2DCB8DAB" w14:textId="77777777" w:rsidR="00AF3004" w:rsidRDefault="00AF3004">
            <w:pPr>
              <w:pStyle w:val="xLedtext"/>
              <w:rPr>
                <w:lang w:val="de-DE"/>
              </w:rPr>
            </w:pPr>
          </w:p>
        </w:tc>
      </w:tr>
      <w:tr w:rsidR="00AF3004" w14:paraId="553206DB" w14:textId="77777777">
        <w:trPr>
          <w:cantSplit/>
          <w:trHeight w:val="238"/>
        </w:trPr>
        <w:tc>
          <w:tcPr>
            <w:tcW w:w="861" w:type="dxa"/>
          </w:tcPr>
          <w:p w14:paraId="1977794D" w14:textId="77777777" w:rsidR="00AF3004" w:rsidRDefault="00AF3004">
            <w:pPr>
              <w:pStyle w:val="xCelltext"/>
              <w:rPr>
                <w:lang w:val="de-DE"/>
              </w:rPr>
            </w:pPr>
          </w:p>
        </w:tc>
        <w:tc>
          <w:tcPr>
            <w:tcW w:w="4448" w:type="dxa"/>
            <w:vMerge w:val="restart"/>
          </w:tcPr>
          <w:p w14:paraId="1775335A" w14:textId="77777777" w:rsidR="00AF3004" w:rsidRDefault="00AF3004">
            <w:pPr>
              <w:pStyle w:val="xMottagare1"/>
            </w:pPr>
            <w:bookmarkStart w:id="0" w:name="_top"/>
            <w:bookmarkEnd w:id="0"/>
            <w:r>
              <w:t>Till Ålands lagting</w:t>
            </w:r>
          </w:p>
        </w:tc>
        <w:tc>
          <w:tcPr>
            <w:tcW w:w="4288" w:type="dxa"/>
            <w:gridSpan w:val="2"/>
            <w:vMerge w:val="restart"/>
          </w:tcPr>
          <w:p w14:paraId="063FB5E7" w14:textId="5866B76A" w:rsidR="00995BDC" w:rsidRPr="00995BDC" w:rsidRDefault="00995BDC" w:rsidP="00A54CA1">
            <w:pPr>
              <w:pStyle w:val="xMottagare3"/>
            </w:pPr>
          </w:p>
        </w:tc>
      </w:tr>
      <w:tr w:rsidR="00AF3004" w14:paraId="4DFD4733" w14:textId="77777777">
        <w:trPr>
          <w:cantSplit/>
          <w:trHeight w:val="238"/>
        </w:trPr>
        <w:tc>
          <w:tcPr>
            <w:tcW w:w="861" w:type="dxa"/>
          </w:tcPr>
          <w:p w14:paraId="7B3DD247" w14:textId="77777777" w:rsidR="00AF3004" w:rsidRDefault="00AF3004">
            <w:pPr>
              <w:pStyle w:val="xCelltext"/>
            </w:pPr>
          </w:p>
        </w:tc>
        <w:tc>
          <w:tcPr>
            <w:tcW w:w="4448" w:type="dxa"/>
            <w:vMerge/>
            <w:vAlign w:val="center"/>
          </w:tcPr>
          <w:p w14:paraId="0DB8DC04" w14:textId="77777777" w:rsidR="00AF3004" w:rsidRDefault="00AF3004">
            <w:pPr>
              <w:pStyle w:val="xCelltext"/>
            </w:pPr>
          </w:p>
        </w:tc>
        <w:tc>
          <w:tcPr>
            <w:tcW w:w="4288" w:type="dxa"/>
            <w:gridSpan w:val="2"/>
            <w:vMerge/>
            <w:vAlign w:val="center"/>
          </w:tcPr>
          <w:p w14:paraId="07DD406D" w14:textId="77777777" w:rsidR="00AF3004" w:rsidRDefault="00AF3004">
            <w:pPr>
              <w:pStyle w:val="xCelltext"/>
            </w:pPr>
          </w:p>
        </w:tc>
      </w:tr>
      <w:tr w:rsidR="00AF3004" w14:paraId="02AE93FD" w14:textId="77777777">
        <w:trPr>
          <w:cantSplit/>
          <w:trHeight w:val="238"/>
        </w:trPr>
        <w:tc>
          <w:tcPr>
            <w:tcW w:w="861" w:type="dxa"/>
          </w:tcPr>
          <w:p w14:paraId="08A152D0" w14:textId="77777777" w:rsidR="00AF3004" w:rsidRDefault="00AF3004">
            <w:pPr>
              <w:pStyle w:val="xCelltext"/>
            </w:pPr>
          </w:p>
        </w:tc>
        <w:tc>
          <w:tcPr>
            <w:tcW w:w="4448" w:type="dxa"/>
            <w:vMerge/>
            <w:vAlign w:val="center"/>
          </w:tcPr>
          <w:p w14:paraId="2FF29C87" w14:textId="77777777" w:rsidR="00AF3004" w:rsidRDefault="00AF3004">
            <w:pPr>
              <w:pStyle w:val="xCelltext"/>
            </w:pPr>
          </w:p>
        </w:tc>
        <w:tc>
          <w:tcPr>
            <w:tcW w:w="4288" w:type="dxa"/>
            <w:gridSpan w:val="2"/>
            <w:vMerge/>
            <w:vAlign w:val="center"/>
          </w:tcPr>
          <w:p w14:paraId="096BABE8" w14:textId="77777777" w:rsidR="00AF3004" w:rsidRDefault="00AF3004">
            <w:pPr>
              <w:pStyle w:val="xCelltext"/>
            </w:pPr>
          </w:p>
        </w:tc>
      </w:tr>
      <w:tr w:rsidR="00AF3004" w14:paraId="06FBA899" w14:textId="77777777">
        <w:trPr>
          <w:cantSplit/>
          <w:trHeight w:val="238"/>
        </w:trPr>
        <w:tc>
          <w:tcPr>
            <w:tcW w:w="861" w:type="dxa"/>
          </w:tcPr>
          <w:p w14:paraId="7E7006EE" w14:textId="77777777" w:rsidR="00AF3004" w:rsidRDefault="00AF3004">
            <w:pPr>
              <w:pStyle w:val="xCelltext"/>
            </w:pPr>
          </w:p>
        </w:tc>
        <w:tc>
          <w:tcPr>
            <w:tcW w:w="4448" w:type="dxa"/>
            <w:vMerge/>
            <w:vAlign w:val="center"/>
          </w:tcPr>
          <w:p w14:paraId="2AC6D73E" w14:textId="77777777" w:rsidR="00AF3004" w:rsidRDefault="00AF3004">
            <w:pPr>
              <w:pStyle w:val="xCelltext"/>
            </w:pPr>
          </w:p>
        </w:tc>
        <w:tc>
          <w:tcPr>
            <w:tcW w:w="4288" w:type="dxa"/>
            <w:gridSpan w:val="2"/>
            <w:vMerge/>
            <w:vAlign w:val="center"/>
          </w:tcPr>
          <w:p w14:paraId="293C3CF7" w14:textId="77777777" w:rsidR="00AF3004" w:rsidRDefault="00AF3004">
            <w:pPr>
              <w:pStyle w:val="xCelltext"/>
            </w:pPr>
          </w:p>
        </w:tc>
      </w:tr>
      <w:tr w:rsidR="00AF3004" w14:paraId="6A188D18" w14:textId="77777777">
        <w:trPr>
          <w:cantSplit/>
          <w:trHeight w:val="238"/>
        </w:trPr>
        <w:tc>
          <w:tcPr>
            <w:tcW w:w="861" w:type="dxa"/>
          </w:tcPr>
          <w:p w14:paraId="7F7FB963" w14:textId="77777777" w:rsidR="00AF3004" w:rsidRDefault="00AF3004">
            <w:pPr>
              <w:pStyle w:val="xCelltext"/>
            </w:pPr>
          </w:p>
        </w:tc>
        <w:tc>
          <w:tcPr>
            <w:tcW w:w="4448" w:type="dxa"/>
            <w:vMerge/>
            <w:vAlign w:val="center"/>
          </w:tcPr>
          <w:p w14:paraId="61F819ED" w14:textId="77777777" w:rsidR="00AF3004" w:rsidRDefault="00AF3004">
            <w:pPr>
              <w:pStyle w:val="xCelltext"/>
            </w:pPr>
          </w:p>
        </w:tc>
        <w:tc>
          <w:tcPr>
            <w:tcW w:w="4288" w:type="dxa"/>
            <w:gridSpan w:val="2"/>
            <w:vMerge/>
            <w:vAlign w:val="center"/>
          </w:tcPr>
          <w:p w14:paraId="060788D2" w14:textId="77777777" w:rsidR="00AF3004" w:rsidRDefault="00AF3004">
            <w:pPr>
              <w:pStyle w:val="xCelltext"/>
            </w:pPr>
          </w:p>
        </w:tc>
      </w:tr>
    </w:tbl>
    <w:p w14:paraId="4AE9C362"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04F97580" w14:textId="55725E7A" w:rsidR="00AF3004" w:rsidRDefault="00037574">
      <w:pPr>
        <w:pStyle w:val="ArendeRubrik"/>
      </w:pPr>
      <w:r>
        <w:t>Kompensation till kommunerna för resekostnads</w:t>
      </w:r>
      <w:r w:rsidR="00A80E47">
        <w:t>avdraget</w:t>
      </w:r>
      <w:r>
        <w:t xml:space="preserve"> och grundavdraget</w:t>
      </w:r>
    </w:p>
    <w:p w14:paraId="711D5C61" w14:textId="77777777" w:rsidR="00AF3004" w:rsidRDefault="00AF3004">
      <w:pPr>
        <w:pStyle w:val="ANormal"/>
      </w:pPr>
    </w:p>
    <w:p w14:paraId="0E6DEDE0" w14:textId="77777777" w:rsidR="00AF3004" w:rsidRDefault="00AF3004">
      <w:pPr>
        <w:pStyle w:val="ANormal"/>
      </w:pPr>
    </w:p>
    <w:p w14:paraId="2A4B6EF0" w14:textId="77777777" w:rsidR="00AF3004" w:rsidRDefault="00AF3004">
      <w:pPr>
        <w:pStyle w:val="RubrikA"/>
      </w:pPr>
      <w:bookmarkStart w:id="1" w:name="_Toc120783009"/>
      <w:r>
        <w:t>Huvudsakligt innehåll</w:t>
      </w:r>
      <w:bookmarkEnd w:id="1"/>
    </w:p>
    <w:p w14:paraId="2AEBA862" w14:textId="77777777" w:rsidR="00AF3004" w:rsidRDefault="00AF3004">
      <w:pPr>
        <w:pStyle w:val="Rubrikmellanrum"/>
      </w:pPr>
    </w:p>
    <w:p w14:paraId="003076FB" w14:textId="1B370688" w:rsidR="00F4163B" w:rsidRDefault="00F4163B">
      <w:pPr>
        <w:pStyle w:val="ANormal"/>
      </w:pPr>
      <w:r>
        <w:t>Landskapsregeringen föreslår att kommunerna kompenseras för den förlust av skatteintäkter som beror på resekostnadsavdraget och grundavdraget vid kommunalbeskattningen.</w:t>
      </w:r>
    </w:p>
    <w:p w14:paraId="2DA77E1C" w14:textId="695B8176" w:rsidR="00AF3004" w:rsidRDefault="00F4163B">
      <w:pPr>
        <w:pStyle w:val="ANormal"/>
      </w:pPr>
      <w:r>
        <w:tab/>
        <w:t xml:space="preserve">Kompensationen ska baseras på det verkliga skatteutfallet och uppgå till 70 procent av de förlorade </w:t>
      </w:r>
      <w:r w:rsidR="00AC3F36">
        <w:t>skatte</w:t>
      </w:r>
      <w:r>
        <w:t>intäkterna. Enligt förslaget ska ett kalkylerat förskott betalas ut under det aktuella skatteåret. Förskottet avräknas sedan i förhållande till det verkliga utfallet när beskattningen har slutförts.</w:t>
      </w:r>
    </w:p>
    <w:p w14:paraId="4ED3D230" w14:textId="7C531AC6" w:rsidR="00F4163B" w:rsidRDefault="00F4163B">
      <w:pPr>
        <w:pStyle w:val="ANormal"/>
      </w:pPr>
      <w:r>
        <w:tab/>
        <w:t>Den föreslagna lagen föreslås bli tillämpad från och med skatteåret 2023 och den bör därför träda i kraft så snart som möjligt.</w:t>
      </w:r>
    </w:p>
    <w:p w14:paraId="0D9DCF18" w14:textId="77777777" w:rsidR="00AF3004" w:rsidRDefault="00AF3004">
      <w:pPr>
        <w:pStyle w:val="ANormal"/>
      </w:pPr>
    </w:p>
    <w:p w14:paraId="7A1E73CD" w14:textId="77777777" w:rsidR="00AF3004" w:rsidRDefault="00F755D6">
      <w:pPr>
        <w:pStyle w:val="ANormal"/>
        <w:jc w:val="center"/>
      </w:pPr>
      <w:hyperlink w:anchor="_top" w:tooltip="Klicka för att gå till toppen av dokumentet" w:history="1">
        <w:r w:rsidR="00AF3004">
          <w:rPr>
            <w:rStyle w:val="Hyperlnk"/>
          </w:rPr>
          <w:t>__________________</w:t>
        </w:r>
      </w:hyperlink>
    </w:p>
    <w:p w14:paraId="7D4D867D" w14:textId="77777777" w:rsidR="00AF3004" w:rsidRDefault="00AF3004">
      <w:pPr>
        <w:pStyle w:val="ANormal"/>
      </w:pPr>
    </w:p>
    <w:p w14:paraId="222D75E7" w14:textId="77777777" w:rsidR="00AF3004" w:rsidRDefault="00AF3004">
      <w:pPr>
        <w:pStyle w:val="ANormal"/>
      </w:pPr>
      <w:r>
        <w:br w:type="page"/>
      </w:r>
    </w:p>
    <w:p w14:paraId="4510E893" w14:textId="77777777" w:rsidR="00AF3004" w:rsidRDefault="00AF3004">
      <w:pPr>
        <w:pStyle w:val="Innehll1"/>
      </w:pPr>
      <w:r>
        <w:lastRenderedPageBreak/>
        <w:t>INNEHÅLL</w:t>
      </w:r>
    </w:p>
    <w:p w14:paraId="4AA5862A" w14:textId="28DE8262" w:rsidR="001830F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0783009" w:history="1">
        <w:r w:rsidR="001830FE" w:rsidRPr="00B27B59">
          <w:rPr>
            <w:rStyle w:val="Hyperlnk"/>
          </w:rPr>
          <w:t>Huvudsakligt innehåll</w:t>
        </w:r>
        <w:r w:rsidR="001830FE">
          <w:rPr>
            <w:webHidden/>
          </w:rPr>
          <w:tab/>
        </w:r>
        <w:r w:rsidR="001830FE">
          <w:rPr>
            <w:webHidden/>
          </w:rPr>
          <w:fldChar w:fldCharType="begin"/>
        </w:r>
        <w:r w:rsidR="001830FE">
          <w:rPr>
            <w:webHidden/>
          </w:rPr>
          <w:instrText xml:space="preserve"> PAGEREF _Toc120783009 \h </w:instrText>
        </w:r>
        <w:r w:rsidR="001830FE">
          <w:rPr>
            <w:webHidden/>
          </w:rPr>
        </w:r>
        <w:r w:rsidR="001830FE">
          <w:rPr>
            <w:webHidden/>
          </w:rPr>
          <w:fldChar w:fldCharType="separate"/>
        </w:r>
        <w:r w:rsidR="001830FE">
          <w:rPr>
            <w:webHidden/>
          </w:rPr>
          <w:t>1</w:t>
        </w:r>
        <w:r w:rsidR="001830FE">
          <w:rPr>
            <w:webHidden/>
          </w:rPr>
          <w:fldChar w:fldCharType="end"/>
        </w:r>
      </w:hyperlink>
    </w:p>
    <w:p w14:paraId="4B18DD96" w14:textId="6AE8DAC3" w:rsidR="001830FE" w:rsidRDefault="00F755D6">
      <w:pPr>
        <w:pStyle w:val="Innehll1"/>
        <w:rPr>
          <w:rFonts w:asciiTheme="minorHAnsi" w:eastAsiaTheme="minorEastAsia" w:hAnsiTheme="minorHAnsi" w:cstheme="minorBidi"/>
          <w:sz w:val="22"/>
          <w:szCs w:val="22"/>
          <w:lang w:val="sv-FI" w:eastAsia="sv-FI"/>
        </w:rPr>
      </w:pPr>
      <w:hyperlink w:anchor="_Toc120783010" w:history="1">
        <w:r w:rsidR="001830FE" w:rsidRPr="00B27B59">
          <w:rPr>
            <w:rStyle w:val="Hyperlnk"/>
          </w:rPr>
          <w:t>Allmän motivering</w:t>
        </w:r>
        <w:r w:rsidR="001830FE">
          <w:rPr>
            <w:webHidden/>
          </w:rPr>
          <w:tab/>
        </w:r>
        <w:r w:rsidR="001830FE">
          <w:rPr>
            <w:webHidden/>
          </w:rPr>
          <w:fldChar w:fldCharType="begin"/>
        </w:r>
        <w:r w:rsidR="001830FE">
          <w:rPr>
            <w:webHidden/>
          </w:rPr>
          <w:instrText xml:space="preserve"> PAGEREF _Toc120783010 \h </w:instrText>
        </w:r>
        <w:r w:rsidR="001830FE">
          <w:rPr>
            <w:webHidden/>
          </w:rPr>
        </w:r>
        <w:r w:rsidR="001830FE">
          <w:rPr>
            <w:webHidden/>
          </w:rPr>
          <w:fldChar w:fldCharType="separate"/>
        </w:r>
        <w:r w:rsidR="001830FE">
          <w:rPr>
            <w:webHidden/>
          </w:rPr>
          <w:t>3</w:t>
        </w:r>
        <w:r w:rsidR="001830FE">
          <w:rPr>
            <w:webHidden/>
          </w:rPr>
          <w:fldChar w:fldCharType="end"/>
        </w:r>
      </w:hyperlink>
    </w:p>
    <w:p w14:paraId="13F9A5A7" w14:textId="4659653F" w:rsidR="001830FE" w:rsidRDefault="00F755D6">
      <w:pPr>
        <w:pStyle w:val="Innehll2"/>
        <w:rPr>
          <w:rFonts w:asciiTheme="minorHAnsi" w:eastAsiaTheme="minorEastAsia" w:hAnsiTheme="minorHAnsi" w:cstheme="minorBidi"/>
          <w:sz w:val="22"/>
          <w:szCs w:val="22"/>
          <w:lang w:val="sv-FI" w:eastAsia="sv-FI"/>
        </w:rPr>
      </w:pPr>
      <w:hyperlink w:anchor="_Toc120783011" w:history="1">
        <w:r w:rsidR="001830FE" w:rsidRPr="00B27B59">
          <w:rPr>
            <w:rStyle w:val="Hyperlnk"/>
          </w:rPr>
          <w:t>1. Bakgrund</w:t>
        </w:r>
        <w:r w:rsidR="001830FE">
          <w:rPr>
            <w:webHidden/>
          </w:rPr>
          <w:tab/>
        </w:r>
        <w:r w:rsidR="001830FE">
          <w:rPr>
            <w:webHidden/>
          </w:rPr>
          <w:fldChar w:fldCharType="begin"/>
        </w:r>
        <w:r w:rsidR="001830FE">
          <w:rPr>
            <w:webHidden/>
          </w:rPr>
          <w:instrText xml:space="preserve"> PAGEREF _Toc120783011 \h </w:instrText>
        </w:r>
        <w:r w:rsidR="001830FE">
          <w:rPr>
            <w:webHidden/>
          </w:rPr>
        </w:r>
        <w:r w:rsidR="001830FE">
          <w:rPr>
            <w:webHidden/>
          </w:rPr>
          <w:fldChar w:fldCharType="separate"/>
        </w:r>
        <w:r w:rsidR="001830FE">
          <w:rPr>
            <w:webHidden/>
          </w:rPr>
          <w:t>3</w:t>
        </w:r>
        <w:r w:rsidR="001830FE">
          <w:rPr>
            <w:webHidden/>
          </w:rPr>
          <w:fldChar w:fldCharType="end"/>
        </w:r>
      </w:hyperlink>
    </w:p>
    <w:p w14:paraId="6B54A931" w14:textId="41911E65" w:rsidR="001830FE" w:rsidRDefault="00F755D6">
      <w:pPr>
        <w:pStyle w:val="Innehll2"/>
        <w:rPr>
          <w:rFonts w:asciiTheme="minorHAnsi" w:eastAsiaTheme="minorEastAsia" w:hAnsiTheme="minorHAnsi" w:cstheme="minorBidi"/>
          <w:sz w:val="22"/>
          <w:szCs w:val="22"/>
          <w:lang w:val="sv-FI" w:eastAsia="sv-FI"/>
        </w:rPr>
      </w:pPr>
      <w:hyperlink w:anchor="_Toc120783012" w:history="1">
        <w:r w:rsidR="001830FE" w:rsidRPr="00B27B59">
          <w:rPr>
            <w:rStyle w:val="Hyperlnk"/>
          </w:rPr>
          <w:t>2. Landskapsregeringens överväganden och förslag</w:t>
        </w:r>
        <w:r w:rsidR="001830FE">
          <w:rPr>
            <w:webHidden/>
          </w:rPr>
          <w:tab/>
        </w:r>
        <w:r w:rsidR="001830FE">
          <w:rPr>
            <w:webHidden/>
          </w:rPr>
          <w:fldChar w:fldCharType="begin"/>
        </w:r>
        <w:r w:rsidR="001830FE">
          <w:rPr>
            <w:webHidden/>
          </w:rPr>
          <w:instrText xml:space="preserve"> PAGEREF _Toc120783012 \h </w:instrText>
        </w:r>
        <w:r w:rsidR="001830FE">
          <w:rPr>
            <w:webHidden/>
          </w:rPr>
        </w:r>
        <w:r w:rsidR="001830FE">
          <w:rPr>
            <w:webHidden/>
          </w:rPr>
          <w:fldChar w:fldCharType="separate"/>
        </w:r>
        <w:r w:rsidR="001830FE">
          <w:rPr>
            <w:webHidden/>
          </w:rPr>
          <w:t>3</w:t>
        </w:r>
        <w:r w:rsidR="001830FE">
          <w:rPr>
            <w:webHidden/>
          </w:rPr>
          <w:fldChar w:fldCharType="end"/>
        </w:r>
      </w:hyperlink>
    </w:p>
    <w:p w14:paraId="29EBBF7A" w14:textId="07298605" w:rsidR="001830FE" w:rsidRDefault="00F755D6">
      <w:pPr>
        <w:pStyle w:val="Innehll2"/>
        <w:rPr>
          <w:rFonts w:asciiTheme="minorHAnsi" w:eastAsiaTheme="minorEastAsia" w:hAnsiTheme="minorHAnsi" w:cstheme="minorBidi"/>
          <w:sz w:val="22"/>
          <w:szCs w:val="22"/>
          <w:lang w:val="sv-FI" w:eastAsia="sv-FI"/>
        </w:rPr>
      </w:pPr>
      <w:hyperlink w:anchor="_Toc120783013" w:history="1">
        <w:r w:rsidR="001830FE" w:rsidRPr="00B27B59">
          <w:rPr>
            <w:rStyle w:val="Hyperlnk"/>
          </w:rPr>
          <w:t>3. Förslagets konsekvenser</w:t>
        </w:r>
        <w:r w:rsidR="001830FE">
          <w:rPr>
            <w:webHidden/>
          </w:rPr>
          <w:tab/>
        </w:r>
        <w:r w:rsidR="001830FE">
          <w:rPr>
            <w:webHidden/>
          </w:rPr>
          <w:fldChar w:fldCharType="begin"/>
        </w:r>
        <w:r w:rsidR="001830FE">
          <w:rPr>
            <w:webHidden/>
          </w:rPr>
          <w:instrText xml:space="preserve"> PAGEREF _Toc120783013 \h </w:instrText>
        </w:r>
        <w:r w:rsidR="001830FE">
          <w:rPr>
            <w:webHidden/>
          </w:rPr>
        </w:r>
        <w:r w:rsidR="001830FE">
          <w:rPr>
            <w:webHidden/>
          </w:rPr>
          <w:fldChar w:fldCharType="separate"/>
        </w:r>
        <w:r w:rsidR="001830FE">
          <w:rPr>
            <w:webHidden/>
          </w:rPr>
          <w:t>4</w:t>
        </w:r>
        <w:r w:rsidR="001830FE">
          <w:rPr>
            <w:webHidden/>
          </w:rPr>
          <w:fldChar w:fldCharType="end"/>
        </w:r>
      </w:hyperlink>
    </w:p>
    <w:p w14:paraId="541D7CC4" w14:textId="01FD6CB1" w:rsidR="001830FE" w:rsidRDefault="00F755D6">
      <w:pPr>
        <w:pStyle w:val="Innehll2"/>
        <w:rPr>
          <w:rFonts w:asciiTheme="minorHAnsi" w:eastAsiaTheme="minorEastAsia" w:hAnsiTheme="minorHAnsi" w:cstheme="minorBidi"/>
          <w:sz w:val="22"/>
          <w:szCs w:val="22"/>
          <w:lang w:val="sv-FI" w:eastAsia="sv-FI"/>
        </w:rPr>
      </w:pPr>
      <w:hyperlink w:anchor="_Toc120783014" w:history="1">
        <w:r w:rsidR="001830FE" w:rsidRPr="00B27B59">
          <w:rPr>
            <w:rStyle w:val="Hyperlnk"/>
          </w:rPr>
          <w:t>4. Beredning och ikraftträdande</w:t>
        </w:r>
        <w:r w:rsidR="001830FE">
          <w:rPr>
            <w:webHidden/>
          </w:rPr>
          <w:tab/>
        </w:r>
        <w:r w:rsidR="001830FE">
          <w:rPr>
            <w:webHidden/>
          </w:rPr>
          <w:fldChar w:fldCharType="begin"/>
        </w:r>
        <w:r w:rsidR="001830FE">
          <w:rPr>
            <w:webHidden/>
          </w:rPr>
          <w:instrText xml:space="preserve"> PAGEREF _Toc120783014 \h </w:instrText>
        </w:r>
        <w:r w:rsidR="001830FE">
          <w:rPr>
            <w:webHidden/>
          </w:rPr>
        </w:r>
        <w:r w:rsidR="001830FE">
          <w:rPr>
            <w:webHidden/>
          </w:rPr>
          <w:fldChar w:fldCharType="separate"/>
        </w:r>
        <w:r w:rsidR="001830FE">
          <w:rPr>
            <w:webHidden/>
          </w:rPr>
          <w:t>5</w:t>
        </w:r>
        <w:r w:rsidR="001830FE">
          <w:rPr>
            <w:webHidden/>
          </w:rPr>
          <w:fldChar w:fldCharType="end"/>
        </w:r>
      </w:hyperlink>
    </w:p>
    <w:p w14:paraId="0A48560E" w14:textId="69D5156C" w:rsidR="001830FE" w:rsidRDefault="00F755D6">
      <w:pPr>
        <w:pStyle w:val="Innehll1"/>
        <w:rPr>
          <w:rFonts w:asciiTheme="minorHAnsi" w:eastAsiaTheme="minorEastAsia" w:hAnsiTheme="minorHAnsi" w:cstheme="minorBidi"/>
          <w:sz w:val="22"/>
          <w:szCs w:val="22"/>
          <w:lang w:val="sv-FI" w:eastAsia="sv-FI"/>
        </w:rPr>
      </w:pPr>
      <w:hyperlink w:anchor="_Toc120783015" w:history="1">
        <w:r w:rsidR="001830FE" w:rsidRPr="00B27B59">
          <w:rPr>
            <w:rStyle w:val="Hyperlnk"/>
          </w:rPr>
          <w:t>Detaljmotivering</w:t>
        </w:r>
        <w:r w:rsidR="001830FE">
          <w:rPr>
            <w:webHidden/>
          </w:rPr>
          <w:tab/>
        </w:r>
        <w:r w:rsidR="001830FE">
          <w:rPr>
            <w:webHidden/>
          </w:rPr>
          <w:fldChar w:fldCharType="begin"/>
        </w:r>
        <w:r w:rsidR="001830FE">
          <w:rPr>
            <w:webHidden/>
          </w:rPr>
          <w:instrText xml:space="preserve"> PAGEREF _Toc120783015 \h </w:instrText>
        </w:r>
        <w:r w:rsidR="001830FE">
          <w:rPr>
            <w:webHidden/>
          </w:rPr>
        </w:r>
        <w:r w:rsidR="001830FE">
          <w:rPr>
            <w:webHidden/>
          </w:rPr>
          <w:fldChar w:fldCharType="separate"/>
        </w:r>
        <w:r w:rsidR="001830FE">
          <w:rPr>
            <w:webHidden/>
          </w:rPr>
          <w:t>5</w:t>
        </w:r>
        <w:r w:rsidR="001830FE">
          <w:rPr>
            <w:webHidden/>
          </w:rPr>
          <w:fldChar w:fldCharType="end"/>
        </w:r>
      </w:hyperlink>
    </w:p>
    <w:p w14:paraId="141A0B50" w14:textId="792DEA9C" w:rsidR="001830FE" w:rsidRDefault="00F755D6">
      <w:pPr>
        <w:pStyle w:val="Innehll2"/>
        <w:rPr>
          <w:rFonts w:asciiTheme="minorHAnsi" w:eastAsiaTheme="minorEastAsia" w:hAnsiTheme="minorHAnsi" w:cstheme="minorBidi"/>
          <w:sz w:val="22"/>
          <w:szCs w:val="22"/>
          <w:lang w:val="sv-FI" w:eastAsia="sv-FI"/>
        </w:rPr>
      </w:pPr>
      <w:hyperlink w:anchor="_Toc120783016" w:history="1">
        <w:r w:rsidR="001830FE" w:rsidRPr="00B27B59">
          <w:rPr>
            <w:rStyle w:val="Hyperlnk"/>
          </w:rPr>
          <w:t>Landskapslag om kompensation till kommunerna för förlust av skatteintäkter på grund av vissa avdrag</w:t>
        </w:r>
        <w:r w:rsidR="001830FE">
          <w:rPr>
            <w:webHidden/>
          </w:rPr>
          <w:tab/>
        </w:r>
        <w:r w:rsidR="001830FE">
          <w:rPr>
            <w:webHidden/>
          </w:rPr>
          <w:fldChar w:fldCharType="begin"/>
        </w:r>
        <w:r w:rsidR="001830FE">
          <w:rPr>
            <w:webHidden/>
          </w:rPr>
          <w:instrText xml:space="preserve"> PAGEREF _Toc120783016 \h </w:instrText>
        </w:r>
        <w:r w:rsidR="001830FE">
          <w:rPr>
            <w:webHidden/>
          </w:rPr>
        </w:r>
        <w:r w:rsidR="001830FE">
          <w:rPr>
            <w:webHidden/>
          </w:rPr>
          <w:fldChar w:fldCharType="separate"/>
        </w:r>
        <w:r w:rsidR="001830FE">
          <w:rPr>
            <w:webHidden/>
          </w:rPr>
          <w:t>5</w:t>
        </w:r>
        <w:r w:rsidR="001830FE">
          <w:rPr>
            <w:webHidden/>
          </w:rPr>
          <w:fldChar w:fldCharType="end"/>
        </w:r>
      </w:hyperlink>
    </w:p>
    <w:p w14:paraId="4630C6B1" w14:textId="7C04F264" w:rsidR="001830FE" w:rsidRDefault="00F755D6">
      <w:pPr>
        <w:pStyle w:val="Innehll1"/>
        <w:rPr>
          <w:rFonts w:asciiTheme="minorHAnsi" w:eastAsiaTheme="minorEastAsia" w:hAnsiTheme="minorHAnsi" w:cstheme="minorBidi"/>
          <w:sz w:val="22"/>
          <w:szCs w:val="22"/>
          <w:lang w:val="sv-FI" w:eastAsia="sv-FI"/>
        </w:rPr>
      </w:pPr>
      <w:hyperlink w:anchor="_Toc120783017" w:history="1">
        <w:r w:rsidR="001830FE" w:rsidRPr="00B27B59">
          <w:rPr>
            <w:rStyle w:val="Hyperlnk"/>
          </w:rPr>
          <w:t>Lagtext</w:t>
        </w:r>
        <w:r w:rsidR="001830FE">
          <w:rPr>
            <w:webHidden/>
          </w:rPr>
          <w:tab/>
        </w:r>
        <w:r w:rsidR="001830FE">
          <w:rPr>
            <w:webHidden/>
          </w:rPr>
          <w:fldChar w:fldCharType="begin"/>
        </w:r>
        <w:r w:rsidR="001830FE">
          <w:rPr>
            <w:webHidden/>
          </w:rPr>
          <w:instrText xml:space="preserve"> PAGEREF _Toc120783017 \h </w:instrText>
        </w:r>
        <w:r w:rsidR="001830FE">
          <w:rPr>
            <w:webHidden/>
          </w:rPr>
        </w:r>
        <w:r w:rsidR="001830FE">
          <w:rPr>
            <w:webHidden/>
          </w:rPr>
          <w:fldChar w:fldCharType="separate"/>
        </w:r>
        <w:r w:rsidR="001830FE">
          <w:rPr>
            <w:webHidden/>
          </w:rPr>
          <w:t>7</w:t>
        </w:r>
        <w:r w:rsidR="001830FE">
          <w:rPr>
            <w:webHidden/>
          </w:rPr>
          <w:fldChar w:fldCharType="end"/>
        </w:r>
      </w:hyperlink>
    </w:p>
    <w:p w14:paraId="58434AD8" w14:textId="31626A8A" w:rsidR="001830FE" w:rsidRDefault="00F755D6">
      <w:pPr>
        <w:pStyle w:val="Innehll2"/>
        <w:rPr>
          <w:rFonts w:asciiTheme="minorHAnsi" w:eastAsiaTheme="minorEastAsia" w:hAnsiTheme="minorHAnsi" w:cstheme="minorBidi"/>
          <w:sz w:val="22"/>
          <w:szCs w:val="22"/>
          <w:lang w:val="sv-FI" w:eastAsia="sv-FI"/>
        </w:rPr>
      </w:pPr>
      <w:hyperlink w:anchor="_Toc120783018" w:history="1">
        <w:r w:rsidR="001830FE" w:rsidRPr="00B27B59">
          <w:rPr>
            <w:rStyle w:val="Hyperlnk"/>
          </w:rPr>
          <w:t xml:space="preserve">L A N D S K A P S L A G om kompensation till </w:t>
        </w:r>
        <w:r w:rsidR="001830FE" w:rsidRPr="00B27B59">
          <w:rPr>
            <w:rStyle w:val="Hyperlnk"/>
            <w:lang w:val="sv-FI"/>
          </w:rPr>
          <w:t>kommunerna</w:t>
        </w:r>
        <w:r w:rsidR="001830FE" w:rsidRPr="00B27B59">
          <w:rPr>
            <w:rStyle w:val="Hyperlnk"/>
          </w:rPr>
          <w:t xml:space="preserve"> för förlust av skatteintäkter på grund av vissa avdrag</w:t>
        </w:r>
        <w:r w:rsidR="001830FE">
          <w:rPr>
            <w:webHidden/>
          </w:rPr>
          <w:tab/>
        </w:r>
        <w:r w:rsidR="001830FE">
          <w:rPr>
            <w:webHidden/>
          </w:rPr>
          <w:fldChar w:fldCharType="begin"/>
        </w:r>
        <w:r w:rsidR="001830FE">
          <w:rPr>
            <w:webHidden/>
          </w:rPr>
          <w:instrText xml:space="preserve"> PAGEREF _Toc120783018 \h </w:instrText>
        </w:r>
        <w:r w:rsidR="001830FE">
          <w:rPr>
            <w:webHidden/>
          </w:rPr>
        </w:r>
        <w:r w:rsidR="001830FE">
          <w:rPr>
            <w:webHidden/>
          </w:rPr>
          <w:fldChar w:fldCharType="separate"/>
        </w:r>
        <w:r w:rsidR="001830FE">
          <w:rPr>
            <w:webHidden/>
          </w:rPr>
          <w:t>7</w:t>
        </w:r>
        <w:r w:rsidR="001830FE">
          <w:rPr>
            <w:webHidden/>
          </w:rPr>
          <w:fldChar w:fldCharType="end"/>
        </w:r>
      </w:hyperlink>
    </w:p>
    <w:p w14:paraId="2D7C74B7" w14:textId="289B1271" w:rsidR="00AF3004" w:rsidRDefault="00AF3004">
      <w:pPr>
        <w:pStyle w:val="ANormal"/>
        <w:rPr>
          <w:noProof/>
        </w:rPr>
      </w:pPr>
      <w:r>
        <w:rPr>
          <w:rFonts w:ascii="Verdana" w:hAnsi="Verdana"/>
          <w:noProof/>
          <w:sz w:val="16"/>
          <w:szCs w:val="36"/>
        </w:rPr>
        <w:fldChar w:fldCharType="end"/>
      </w:r>
    </w:p>
    <w:p w14:paraId="1A965F15" w14:textId="77777777" w:rsidR="00AF3004" w:rsidRDefault="00AF3004">
      <w:pPr>
        <w:pStyle w:val="ANormal"/>
      </w:pPr>
      <w:r>
        <w:br w:type="page"/>
      </w:r>
    </w:p>
    <w:p w14:paraId="15CA70DD" w14:textId="77777777" w:rsidR="00AF3004" w:rsidRDefault="00AF3004">
      <w:pPr>
        <w:pStyle w:val="RubrikA"/>
      </w:pPr>
      <w:bookmarkStart w:id="2" w:name="_Toc120783010"/>
      <w:r>
        <w:lastRenderedPageBreak/>
        <w:t>Allmän motivering</w:t>
      </w:r>
      <w:bookmarkEnd w:id="2"/>
    </w:p>
    <w:p w14:paraId="125885A9" w14:textId="77777777" w:rsidR="00AF3004" w:rsidRDefault="00AF3004">
      <w:pPr>
        <w:pStyle w:val="Rubrikmellanrum"/>
      </w:pPr>
    </w:p>
    <w:p w14:paraId="690C60C9" w14:textId="7F7E3A93" w:rsidR="00AF3004" w:rsidRDefault="00AF3004">
      <w:pPr>
        <w:pStyle w:val="RubrikB"/>
      </w:pPr>
      <w:bookmarkStart w:id="3" w:name="_Toc120783011"/>
      <w:r>
        <w:t xml:space="preserve">1. </w:t>
      </w:r>
      <w:r w:rsidR="00D86AD1">
        <w:t>Bakgrund</w:t>
      </w:r>
      <w:bookmarkEnd w:id="3"/>
    </w:p>
    <w:p w14:paraId="1AE9E84C" w14:textId="0025373E" w:rsidR="00AF3004" w:rsidRDefault="00AF3004">
      <w:pPr>
        <w:pStyle w:val="Rubrikmellanrum"/>
      </w:pPr>
    </w:p>
    <w:p w14:paraId="1629B1F0" w14:textId="4B50BA1C" w:rsidR="0071079B" w:rsidRDefault="003F5206" w:rsidP="0071079B">
      <w:pPr>
        <w:pStyle w:val="ANormal"/>
      </w:pPr>
      <w:r>
        <w:t xml:space="preserve">De avdrag som görs vid kommunalbeskattningen </w:t>
      </w:r>
      <w:r w:rsidR="00D563C9">
        <w:t xml:space="preserve">har en direkt </w:t>
      </w:r>
      <w:r>
        <w:t>påverka</w:t>
      </w:r>
      <w:r w:rsidR="00D563C9">
        <w:t>n på</w:t>
      </w:r>
      <w:r>
        <w:t xml:space="preserve"> kommunernas intäkter från </w:t>
      </w:r>
      <w:r w:rsidR="00447C34">
        <w:t>förvärvs</w:t>
      </w:r>
      <w:r>
        <w:t>inkomstbesk</w:t>
      </w:r>
      <w:r w:rsidR="0071079B">
        <w:t>a</w:t>
      </w:r>
      <w:r>
        <w:t>ttningen</w:t>
      </w:r>
      <w:r w:rsidR="0071079B">
        <w:t xml:space="preserve">. </w:t>
      </w:r>
      <w:r w:rsidR="00F81E33">
        <w:t>För närvarande behandlas i</w:t>
      </w:r>
      <w:r w:rsidR="0071079B">
        <w:t xml:space="preserve"> </w:t>
      </w:r>
      <w:r w:rsidR="00F81E33">
        <w:t xml:space="preserve">lagtinget </w:t>
      </w:r>
      <w:r w:rsidR="0071079B">
        <w:t xml:space="preserve">ett lagförslag </w:t>
      </w:r>
      <w:r w:rsidR="00F81E33">
        <w:t xml:space="preserve">om </w:t>
      </w:r>
      <w:r w:rsidR="00D563C9">
        <w:t xml:space="preserve">ändringar i kommunalbeskattningen 2023 (LF </w:t>
      </w:r>
      <w:r w:rsidR="000E7207">
        <w:t>10</w:t>
      </w:r>
      <w:r w:rsidR="00D563C9">
        <w:t xml:space="preserve">/2022–2023), som bland annat omfattar en </w:t>
      </w:r>
      <w:r w:rsidR="00F81E33">
        <w:t>höjning av</w:t>
      </w:r>
      <w:r w:rsidR="0071079B">
        <w:t xml:space="preserve"> grundavdraget vid kommunalbeskattningen. Avdraget för kostnader för resor mellan bostaden och arbetsplatsen har höjts tillfälligt för skatteåret 2022 genom en tidigare lagändring, som nu förlängs till att gälla även skatteåret 2023.</w:t>
      </w:r>
      <w:r w:rsidR="003E3C1D">
        <w:t xml:space="preserve"> </w:t>
      </w:r>
      <w:r w:rsidR="00C76294">
        <w:t>Syftet med b</w:t>
      </w:r>
      <w:r w:rsidR="003E3C1D">
        <w:t xml:space="preserve">åda dessa åtgärder är att minska skattetrycket och </w:t>
      </w:r>
      <w:r w:rsidR="00C76294">
        <w:t>att</w:t>
      </w:r>
      <w:r w:rsidR="003E3C1D">
        <w:t xml:space="preserve"> öka</w:t>
      </w:r>
      <w:r w:rsidR="00C76294">
        <w:t xml:space="preserve"> den</w:t>
      </w:r>
      <w:r w:rsidR="003E3C1D">
        <w:t xml:space="preserve"> disponibl</w:t>
      </w:r>
      <w:r w:rsidR="00C76294">
        <w:t>a</w:t>
      </w:r>
      <w:r w:rsidR="003E3C1D">
        <w:t xml:space="preserve"> inkomst</w:t>
      </w:r>
      <w:r w:rsidR="00C76294">
        <w:t>en</w:t>
      </w:r>
      <w:r w:rsidR="003E3C1D">
        <w:t>.</w:t>
      </w:r>
      <w:r w:rsidR="00C901FB">
        <w:t xml:space="preserve"> Samtidigt leder de till att kommunernas skatteintäkter minskar.</w:t>
      </w:r>
    </w:p>
    <w:p w14:paraId="1A4DE05E" w14:textId="22905FDE" w:rsidR="00F81E33" w:rsidRDefault="00F81E33" w:rsidP="00F81E33">
      <w:pPr>
        <w:pStyle w:val="ANormal"/>
      </w:pPr>
      <w:r>
        <w:tab/>
        <w:t xml:space="preserve">Varken det nu aktuella lagförslaget eller det tidigare som gällde resekostnadsavdraget innehåller några bestämmelser om kompensation till kommunerna. </w:t>
      </w:r>
      <w:r w:rsidR="00DE201C">
        <w:t>När redan</w:t>
      </w:r>
      <w:r>
        <w:t xml:space="preserve"> befintlig</w:t>
      </w:r>
      <w:r w:rsidR="00447C34">
        <w:t>a</w:t>
      </w:r>
      <w:r>
        <w:t xml:space="preserve"> avdrag</w:t>
      </w:r>
      <w:r w:rsidR="00DE201C">
        <w:t xml:space="preserve"> höjs</w:t>
      </w:r>
      <w:r>
        <w:t xml:space="preserve"> </w:t>
      </w:r>
      <w:r w:rsidR="00447C34">
        <w:t>ha</w:t>
      </w:r>
      <w:r>
        <w:t>r</w:t>
      </w:r>
      <w:r w:rsidR="00DE201C">
        <w:t xml:space="preserve"> frågan om</w:t>
      </w:r>
      <w:r>
        <w:t xml:space="preserve"> kompensation </w:t>
      </w:r>
      <w:r w:rsidR="00447C34">
        <w:t xml:space="preserve">ofta varit </w:t>
      </w:r>
      <w:r>
        <w:t xml:space="preserve">problematisk. </w:t>
      </w:r>
      <w:r w:rsidR="00447C34">
        <w:t>I sådana fall är d</w:t>
      </w:r>
      <w:r>
        <w:t xml:space="preserve">et inte möjligt att utgående från beskattningsuppgifterna se exakt vilken effekt ändringen av ett visst avdrag har. </w:t>
      </w:r>
      <w:r w:rsidR="00447C34">
        <w:t>Av den anledningen</w:t>
      </w:r>
      <w:r>
        <w:t xml:space="preserve"> </w:t>
      </w:r>
      <w:r w:rsidR="00447C34">
        <w:t xml:space="preserve">har </w:t>
      </w:r>
      <w:r>
        <w:t xml:space="preserve">kommunerna </w:t>
      </w:r>
      <w:r w:rsidR="00DE201C">
        <w:t xml:space="preserve">tidigare </w:t>
      </w:r>
      <w:r>
        <w:t>kompenserats för höj</w:t>
      </w:r>
      <w:r w:rsidR="00FB64CE">
        <w:t>ning av</w:t>
      </w:r>
      <w:r>
        <w:t xml:space="preserve"> avdrag genom en kalkylerad kompensation, ofta på basen av tidigare beskattning och en </w:t>
      </w:r>
      <w:r w:rsidR="00447C34">
        <w:t>uppskattad</w:t>
      </w:r>
      <w:r>
        <w:t xml:space="preserve"> förändring. Den här typen av kompensation har varit av engångskaraktär och enbart avsett det skatteår som den aktuella höjningen genomfördes.</w:t>
      </w:r>
    </w:p>
    <w:p w14:paraId="5D692F04" w14:textId="1F41EFC8" w:rsidR="00DE201C" w:rsidRDefault="00512392" w:rsidP="00DE201C">
      <w:pPr>
        <w:pStyle w:val="ANormal"/>
      </w:pPr>
      <w:r>
        <w:tab/>
      </w:r>
      <w:r w:rsidR="00DE201C">
        <w:t xml:space="preserve">I de fall där </w:t>
      </w:r>
      <w:r>
        <w:t>helt nya</w:t>
      </w:r>
      <w:r w:rsidR="00DE201C">
        <w:t xml:space="preserve"> avdrag har införts</w:t>
      </w:r>
      <w:r w:rsidR="00447C34">
        <w:t xml:space="preserve"> vid kommunalbeskattningen</w:t>
      </w:r>
      <w:r w:rsidR="00DE201C">
        <w:t xml:space="preserve"> har </w:t>
      </w:r>
      <w:r>
        <w:t xml:space="preserve">dock </w:t>
      </w:r>
      <w:r w:rsidR="00DE201C">
        <w:t xml:space="preserve">lagtinget samtidigt antagit lagstiftning om kompensation till kommunerna. Det här gäller det allmänna avdraget som fanns under åren 2007–2009 samt arbets- och pensionsinkomstavdraget som fanns under åren 2018–2020. Kompensation för de </w:t>
      </w:r>
      <w:r>
        <w:t xml:space="preserve">här </w:t>
      </w:r>
      <w:r w:rsidR="00DE201C">
        <w:t xml:space="preserve">båda avdragen har </w:t>
      </w:r>
      <w:r>
        <w:t xml:space="preserve">skett </w:t>
      </w:r>
      <w:r w:rsidR="00DE201C">
        <w:t xml:space="preserve">enligt en modell </w:t>
      </w:r>
      <w:r w:rsidR="00C32993">
        <w:t>där</w:t>
      </w:r>
      <w:r w:rsidR="00DE201C">
        <w:t xml:space="preserve"> ett kalkylerat förskott</w:t>
      </w:r>
      <w:r w:rsidR="00C32993">
        <w:t xml:space="preserve"> har betalats ut</w:t>
      </w:r>
      <w:r w:rsidR="00DE201C">
        <w:t xml:space="preserve"> under skatteåret </w:t>
      </w:r>
      <w:r w:rsidR="00C32993">
        <w:t xml:space="preserve">och </w:t>
      </w:r>
      <w:r w:rsidR="00DE201C">
        <w:t xml:space="preserve">sedan har </w:t>
      </w:r>
      <w:r w:rsidR="00C32993">
        <w:t xml:space="preserve">det </w:t>
      </w:r>
      <w:r w:rsidR="00DE201C">
        <w:t>avräknats när beskattningen har slutförts.</w:t>
      </w:r>
      <w:r w:rsidR="00DE201C" w:rsidRPr="00FE5287">
        <w:t xml:space="preserve"> </w:t>
      </w:r>
      <w:r w:rsidR="00DE201C">
        <w:t xml:space="preserve">Denna modell fungerar bra när det gäller kompensation för enskilda avdrag eftersom det då enkelt går att utläsa det verkliga </w:t>
      </w:r>
      <w:r w:rsidR="00447C34">
        <w:t>skatte</w:t>
      </w:r>
      <w:r w:rsidR="00DE201C">
        <w:t xml:space="preserve">utfallet. </w:t>
      </w:r>
      <w:r>
        <w:t>Till skillnad från kompensationen för höjning av avdrag har den här k</w:t>
      </w:r>
      <w:r w:rsidR="00DE201C">
        <w:t xml:space="preserve">ompensationen har varit kontinuerlig, det vill säga att kommunerna har kompenserats </w:t>
      </w:r>
      <w:r w:rsidR="00447C34">
        <w:t>under</w:t>
      </w:r>
      <w:r w:rsidR="00DE201C">
        <w:t xml:space="preserve"> alla skatteår som avdragen har </w:t>
      </w:r>
      <w:r w:rsidR="00447C34">
        <w:t>tillämpats vid</w:t>
      </w:r>
      <w:r w:rsidR="00C32993">
        <w:t xml:space="preserve"> kommunalbeskattningen</w:t>
      </w:r>
      <w:r w:rsidR="00DE201C">
        <w:t>.</w:t>
      </w:r>
    </w:p>
    <w:p w14:paraId="45EF193B" w14:textId="3A6CB8FE" w:rsidR="008A2048" w:rsidRDefault="008A2048" w:rsidP="00DE201C">
      <w:pPr>
        <w:pStyle w:val="ANormal"/>
      </w:pPr>
    </w:p>
    <w:p w14:paraId="7801B7C5" w14:textId="0BAF2754" w:rsidR="008A2048" w:rsidRDefault="007C377F" w:rsidP="007C377F">
      <w:pPr>
        <w:pStyle w:val="RubrikB"/>
      </w:pPr>
      <w:bookmarkStart w:id="4" w:name="_Toc120783012"/>
      <w:r>
        <w:t>2. Landskapsregeringens överväganden och förslag</w:t>
      </w:r>
      <w:bookmarkEnd w:id="4"/>
    </w:p>
    <w:p w14:paraId="1CF1E6A0" w14:textId="0729383C" w:rsidR="00EE7673" w:rsidRDefault="00EE7673" w:rsidP="00EE7673">
      <w:pPr>
        <w:pStyle w:val="Rubrikmellanrum"/>
      </w:pPr>
    </w:p>
    <w:p w14:paraId="2C5016B1" w14:textId="4F25F23B" w:rsidR="000C1AA6" w:rsidRDefault="00D563C9" w:rsidP="00DE201C">
      <w:pPr>
        <w:pStyle w:val="ANormal"/>
      </w:pPr>
      <w:r>
        <w:t>Av de ändringar som ingår i det tidigare nämnda lagförslaget är höjningen av grundavdraget den som kommer att ha den största effekten på kommunerna intäkter från inkomstbeskattningen. Förslaget förväntas höja grundavdraget med cirka 18</w:t>
      </w:r>
      <w:r w:rsidR="001830FE">
        <w:t xml:space="preserve"> </w:t>
      </w:r>
      <w:r>
        <w:t>miljoner euro</w:t>
      </w:r>
      <w:r w:rsidR="00D101EC">
        <w:t>,</w:t>
      </w:r>
      <w:r w:rsidR="00D101EC" w:rsidRPr="00D101EC">
        <w:t xml:space="preserve"> </w:t>
      </w:r>
      <w:r w:rsidR="00D101EC">
        <w:t>vilket är mer än en fördubbling. Grundavdraget</w:t>
      </w:r>
      <w:r>
        <w:t xml:space="preserve"> </w:t>
      </w:r>
      <w:r w:rsidR="00D101EC">
        <w:t xml:space="preserve">är </w:t>
      </w:r>
      <w:r>
        <w:t xml:space="preserve">redan nu ett av </w:t>
      </w:r>
      <w:r w:rsidR="001D0CF0">
        <w:t xml:space="preserve">de </w:t>
      </w:r>
      <w:r w:rsidR="002A509B">
        <w:t xml:space="preserve">större </w:t>
      </w:r>
      <w:r>
        <w:t>avdrag</w:t>
      </w:r>
      <w:r w:rsidR="002A509B">
        <w:t>en</w:t>
      </w:r>
      <w:r>
        <w:t xml:space="preserve"> från förvärvsinkomsten</w:t>
      </w:r>
      <w:r w:rsidR="00D101EC">
        <w:t xml:space="preserve"> och har de senaste åren varit mellan 15,5 och 16</w:t>
      </w:r>
      <w:r w:rsidR="001830FE">
        <w:t xml:space="preserve"> </w:t>
      </w:r>
      <w:r w:rsidR="00D101EC">
        <w:t>miljoner euro totalt</w:t>
      </w:r>
      <w:r w:rsidR="002A509B">
        <w:t xml:space="preserve">. Effekten av höjningen beräknas bli en </w:t>
      </w:r>
      <w:r w:rsidR="00BA5335">
        <w:t>sänkning</w:t>
      </w:r>
      <w:r w:rsidR="002A509B">
        <w:t xml:space="preserve"> av kommunernas skatteintäkter med cirka 3 miljoner euro skatteåret 2023.</w:t>
      </w:r>
      <w:r w:rsidR="009355DD">
        <w:t xml:space="preserve"> Hur </w:t>
      </w:r>
      <w:r w:rsidR="00BA5335">
        <w:t>sänkningen</w:t>
      </w:r>
      <w:r w:rsidR="009355DD">
        <w:t xml:space="preserve"> fördelar sig mellan de enskilda kommunerna</w:t>
      </w:r>
      <w:r w:rsidR="00BA5335">
        <w:t xml:space="preserve"> är det svårt att ha en uppfattning om</w:t>
      </w:r>
      <w:r w:rsidR="009355DD">
        <w:t>.</w:t>
      </w:r>
    </w:p>
    <w:p w14:paraId="1457590C" w14:textId="7DCAAB87" w:rsidR="00810BD3" w:rsidRDefault="00D101EC" w:rsidP="00D101EC">
      <w:pPr>
        <w:pStyle w:val="ANormal"/>
      </w:pPr>
      <w:r>
        <w:tab/>
        <w:t xml:space="preserve">Landskapsregeringens avsikt har inte varit att kommunerna ska finansiera den relativt stora höjningen av grundavdraget. Som tidigare konstaterats är det dock svårt att utforma en kompensation som enbart täcker en förändring av ett redan befintligt avdrag. </w:t>
      </w:r>
      <w:r w:rsidR="0054362F">
        <w:t xml:space="preserve">Eftersom det i det här fallet är ett ganska stort belopp som ska fördelas </w:t>
      </w:r>
      <w:r w:rsidR="00BA5335">
        <w:t xml:space="preserve">skulle det </w:t>
      </w:r>
      <w:r w:rsidR="0054362F">
        <w:t>ställ</w:t>
      </w:r>
      <w:r w:rsidR="00BA5335">
        <w:t>a</w:t>
      </w:r>
      <w:r w:rsidR="0054362F">
        <w:t xml:space="preserve"> höga krav på att hitta en tillförlitlig grund för en kalkylerad kompensation. </w:t>
      </w:r>
      <w:r w:rsidR="001717CD">
        <w:t xml:space="preserve">Det finns en uppenbar risk för </w:t>
      </w:r>
      <w:r w:rsidR="0054362F">
        <w:t xml:space="preserve">att </w:t>
      </w:r>
      <w:r w:rsidR="001717CD">
        <w:t xml:space="preserve">det skulle uppstå osäkerhet när det gäller hur kompensationen </w:t>
      </w:r>
      <w:r w:rsidR="0054362F">
        <w:t>fördel</w:t>
      </w:r>
      <w:r w:rsidR="001717CD">
        <w:t xml:space="preserve">as </w:t>
      </w:r>
      <w:r w:rsidR="0054362F">
        <w:t>i förhållande till det verkliga utfallet</w:t>
      </w:r>
      <w:r w:rsidR="001717CD">
        <w:t>.</w:t>
      </w:r>
    </w:p>
    <w:p w14:paraId="2C29DA72" w14:textId="5F74E72F" w:rsidR="0054362F" w:rsidRDefault="00810BD3" w:rsidP="00D101EC">
      <w:pPr>
        <w:pStyle w:val="ANormal"/>
      </w:pPr>
      <w:r>
        <w:tab/>
        <w:t xml:space="preserve">Tidigare kompensationer för höjning av befintliga avdrag har varit av engångskaraktär. Effekten av en avdragshöjning på kommunernas </w:t>
      </w:r>
      <w:r>
        <w:lastRenderedPageBreak/>
        <w:t>skatteintäkter är dock bestående. Till skillnad från tidigare föreslår landskapsregeringen därför kompensationen inte bara ska gälla det år då grundavdraget höjs utan att den ska vara kontinuerlig.</w:t>
      </w:r>
      <w:r w:rsidRPr="00810BD3">
        <w:t xml:space="preserve"> </w:t>
      </w:r>
      <w:r>
        <w:t xml:space="preserve">Det gör också att kravet på tillförlitlighet när det gäller grunden för kompensationen ökar ytterligare. </w:t>
      </w:r>
      <w:r w:rsidR="00817F29">
        <w:t>Landskapsregeringen föreslår därför att kompensationen ska baseras på hela</w:t>
      </w:r>
      <w:r w:rsidR="00BA5335">
        <w:t xml:space="preserve"> effekten av</w:t>
      </w:r>
      <w:r w:rsidR="00817F29">
        <w:t xml:space="preserve"> grundavdraget och inte begränsas till höjningen av det.</w:t>
      </w:r>
      <w:r w:rsidR="004273C3">
        <w:t xml:space="preserve"> </w:t>
      </w:r>
      <w:r w:rsidR="006E472F">
        <w:t xml:space="preserve">På det sättet kan </w:t>
      </w:r>
      <w:r w:rsidR="00BA5335">
        <w:t xml:space="preserve">beräkningen av </w:t>
      </w:r>
      <w:r w:rsidR="006E472F">
        <w:t>de enskilda kommunerna</w:t>
      </w:r>
      <w:r w:rsidR="00BA5335">
        <w:t>s</w:t>
      </w:r>
      <w:r w:rsidR="006E472F">
        <w:t xml:space="preserve"> kompensation</w:t>
      </w:r>
      <w:r w:rsidR="00BA5335">
        <w:t>sbelopp utgå från</w:t>
      </w:r>
      <w:r w:rsidR="006E472F">
        <w:t xml:space="preserve"> det verkliga </w:t>
      </w:r>
      <w:r>
        <w:t>skatte</w:t>
      </w:r>
      <w:r w:rsidR="006E472F">
        <w:t>utfallet. Enligt förslaget ska kompensationen utgöra 70</w:t>
      </w:r>
      <w:r w:rsidR="001830FE">
        <w:t xml:space="preserve"> </w:t>
      </w:r>
      <w:r w:rsidR="006E472F">
        <w:t>procent av den sänkning av skattein</w:t>
      </w:r>
      <w:r w:rsidR="00BA5335">
        <w:t>täk</w:t>
      </w:r>
      <w:r w:rsidR="006E472F">
        <w:t xml:space="preserve">terna som beror på grundavdraget. Enligt beräkningar innebär det en kompensation som för skatteåret 2023 överstiger effekten av den nu aktuella höjningen av grundavdraget med </w:t>
      </w:r>
      <w:r w:rsidR="00CD36FD">
        <w:t>god marginal</w:t>
      </w:r>
      <w:r w:rsidR="006E472F">
        <w:t>.</w:t>
      </w:r>
    </w:p>
    <w:p w14:paraId="4D566FE1" w14:textId="5B168491" w:rsidR="00321C31" w:rsidRDefault="002A509B" w:rsidP="00DE201C">
      <w:pPr>
        <w:pStyle w:val="ANormal"/>
      </w:pPr>
      <w:r>
        <w:tab/>
        <w:t>Resekostnadsavdraget är jämfört med grundavdraget ett betydligt mindre avdrag</w:t>
      </w:r>
      <w:r w:rsidR="00321C31">
        <w:t>, även om man beaktar den tillfälliga höjningen</w:t>
      </w:r>
      <w:r w:rsidR="007D42F5">
        <w:t xml:space="preserve"> under skatteåren 2022 och 2023</w:t>
      </w:r>
      <w:r w:rsidR="00321C31">
        <w:t>.</w:t>
      </w:r>
      <w:r w:rsidR="009355DD">
        <w:t xml:space="preserve"> </w:t>
      </w:r>
      <w:r w:rsidR="007D42F5">
        <w:t>Å</w:t>
      </w:r>
      <w:r w:rsidR="003A057E">
        <w:t xml:space="preserve">ren </w:t>
      </w:r>
      <w:r w:rsidR="007D42F5">
        <w:t>före höjningen uppgick</w:t>
      </w:r>
      <w:r w:rsidR="003A057E">
        <w:t xml:space="preserve"> resekostnadsavdraget till cirka 6,5 miljoner euro per år totalt, höjningen bedöms kunna ö</w:t>
      </w:r>
      <w:r w:rsidR="00BA5335">
        <w:t>k</w:t>
      </w:r>
      <w:r w:rsidR="003A057E">
        <w:t xml:space="preserve">a avdraget med uppskattningsvis en dryg miljon. </w:t>
      </w:r>
      <w:r w:rsidR="00ED5BBE">
        <w:t>R</w:t>
      </w:r>
      <w:r w:rsidR="009E092B">
        <w:t xml:space="preserve">esekostnadsavdraget </w:t>
      </w:r>
      <w:r w:rsidR="00ED5BBE">
        <w:t xml:space="preserve">påverkar dock de </w:t>
      </w:r>
      <w:r w:rsidR="007D42F5">
        <w:t>enskilda</w:t>
      </w:r>
      <w:r w:rsidR="00ED5BBE">
        <w:t xml:space="preserve"> kommunernas skatteintäkter i olika grad</w:t>
      </w:r>
      <w:r w:rsidR="00DA3459">
        <w:t xml:space="preserve">. </w:t>
      </w:r>
      <w:r w:rsidR="007D42F5">
        <w:t>Avdraget ökar j</w:t>
      </w:r>
      <w:r w:rsidR="00ED5BBE">
        <w:t>u längre</w:t>
      </w:r>
      <w:r w:rsidR="00DA3459">
        <w:t xml:space="preserve"> avstånd</w:t>
      </w:r>
      <w:r w:rsidR="00ED5BBE">
        <w:t>et är</w:t>
      </w:r>
      <w:r w:rsidR="00DA3459">
        <w:t xml:space="preserve"> mellan bostad</w:t>
      </w:r>
      <w:r w:rsidR="00ED5BBE">
        <w:t>en</w:t>
      </w:r>
      <w:r w:rsidR="00DA3459">
        <w:t xml:space="preserve"> och arbetsplats</w:t>
      </w:r>
      <w:r w:rsidR="00ED5BBE">
        <w:t>en,</w:t>
      </w:r>
      <w:r w:rsidR="00DA3459">
        <w:t xml:space="preserve"> vilket innebär att </w:t>
      </w:r>
      <w:r w:rsidR="00ED5BBE">
        <w:t>det är högst</w:t>
      </w:r>
      <w:r w:rsidR="00DA3459">
        <w:t xml:space="preserve"> i de kommuner som ligger längst bort från de orter där de flesta arbetsplatserna finns. För </w:t>
      </w:r>
      <w:r w:rsidR="007D42F5">
        <w:t>de mer perifera</w:t>
      </w:r>
      <w:r w:rsidR="00DA3459">
        <w:t xml:space="preserve"> kommuner</w:t>
      </w:r>
      <w:r w:rsidR="007D42F5">
        <w:t>na</w:t>
      </w:r>
      <w:r w:rsidR="00DA3459">
        <w:t xml:space="preserve"> är avdraget </w:t>
      </w:r>
      <w:r w:rsidR="00321C31">
        <w:t xml:space="preserve">å ena sidan </w:t>
      </w:r>
      <w:r w:rsidR="007D42F5">
        <w:t>positivt</w:t>
      </w:r>
      <w:r w:rsidR="00DA3459">
        <w:t xml:space="preserve"> för att det gör dem mer attraktiva som bostadsorter, samtidigt som det </w:t>
      </w:r>
      <w:r w:rsidR="00321C31">
        <w:t xml:space="preserve">å andra sidan </w:t>
      </w:r>
      <w:r w:rsidR="00DA3459">
        <w:t>har förhållandevis stor negativ påverkan på skatteintäkterna.</w:t>
      </w:r>
      <w:r w:rsidR="00335061">
        <w:t xml:space="preserve"> Ur ett regionalpolitiskt perspektiv </w:t>
      </w:r>
      <w:r w:rsidR="009355DD">
        <w:t>är</w:t>
      </w:r>
      <w:r w:rsidR="00321C31">
        <w:t xml:space="preserve"> det därför befogat att dämpa den ekonomiska effekten av resekostnadsavdraget.</w:t>
      </w:r>
      <w:r w:rsidR="003D70BD">
        <w:t xml:space="preserve"> Landskapsregeringen föreslår därför att resekostnadsavdraget kompenseras </w:t>
      </w:r>
      <w:r w:rsidR="00ED5BBE">
        <w:t>på</w:t>
      </w:r>
      <w:r w:rsidR="003D70BD">
        <w:t xml:space="preserve"> </w:t>
      </w:r>
      <w:r w:rsidR="007D42F5">
        <w:t>samma</w:t>
      </w:r>
      <w:r w:rsidR="003D70BD">
        <w:t xml:space="preserve"> </w:t>
      </w:r>
      <w:r w:rsidR="00ED5BBE">
        <w:t>sätt</w:t>
      </w:r>
      <w:r w:rsidR="003D70BD">
        <w:t xml:space="preserve"> som grundavdraget.</w:t>
      </w:r>
    </w:p>
    <w:p w14:paraId="1608420B" w14:textId="420E4FD6" w:rsidR="00D86AD1" w:rsidRDefault="00D86AD1" w:rsidP="00DE201C">
      <w:pPr>
        <w:pStyle w:val="ANormal"/>
      </w:pPr>
      <w:r>
        <w:tab/>
      </w:r>
      <w:r w:rsidR="00EC26D5">
        <w:t xml:space="preserve">Enligt förslaget ska de skatteintäkter som </w:t>
      </w:r>
      <w:r w:rsidR="007D42F5">
        <w:t>kommunerna förlorar</w:t>
      </w:r>
      <w:r w:rsidR="00EC26D5">
        <w:t xml:space="preserve"> på</w:t>
      </w:r>
      <w:r w:rsidR="007D42F5">
        <w:t xml:space="preserve"> grund av</w:t>
      </w:r>
      <w:r w:rsidR="00EC26D5">
        <w:t xml:space="preserve"> resekostnadsavdraget och grundavdraget kompenseras till 70</w:t>
      </w:r>
      <w:r w:rsidR="001830FE">
        <w:t xml:space="preserve"> </w:t>
      </w:r>
      <w:r w:rsidR="00EC26D5">
        <w:t>procent</w:t>
      </w:r>
      <w:r w:rsidR="004B34F3">
        <w:t xml:space="preserve">. För övrigt föreslås kompensationen </w:t>
      </w:r>
      <w:r>
        <w:t xml:space="preserve">bli utformad på samma sätt som de tidigare kompensationerna för allmänna avdraget samt arbets- och pensionsinkomstavdraget. Det innebär att ett förskott fastställs på basen av </w:t>
      </w:r>
      <w:r w:rsidR="00C9046E">
        <w:t>de senaste beskattnings</w:t>
      </w:r>
      <w:r>
        <w:t xml:space="preserve">uppgifterna samt </w:t>
      </w:r>
      <w:r w:rsidR="00C9046E">
        <w:t xml:space="preserve">eventuella ändringar som genomförts senare och som bedöms </w:t>
      </w:r>
      <w:r w:rsidR="007D42F5">
        <w:t xml:space="preserve">kunna </w:t>
      </w:r>
      <w:r w:rsidR="00C9046E">
        <w:t xml:space="preserve">påverka utfallet. När beskattningen för det aktuella skatteåret har slutförts och uppgifter om det verkliga </w:t>
      </w:r>
      <w:r w:rsidR="007D42F5">
        <w:t>skatte</w:t>
      </w:r>
      <w:r w:rsidR="00C9046E">
        <w:t>utfallet finns tillgängliga avräknas förskottet mot kompensationens slutliga belopp. Kompensationen för resekostnads</w:t>
      </w:r>
      <w:r w:rsidR="004B34F3">
        <w:t>avdraget</w:t>
      </w:r>
      <w:r w:rsidR="00C9046E">
        <w:t xml:space="preserve"> och grundavdraget föreslås bli </w:t>
      </w:r>
      <w:r w:rsidR="007D42F5">
        <w:t>kontinuerlig</w:t>
      </w:r>
      <w:r w:rsidR="00C9046E">
        <w:t>.</w:t>
      </w:r>
    </w:p>
    <w:p w14:paraId="3032D814" w14:textId="77777777" w:rsidR="00243A1C" w:rsidRDefault="00243A1C" w:rsidP="00243A1C">
      <w:pPr>
        <w:pStyle w:val="ANormal"/>
      </w:pPr>
    </w:p>
    <w:p w14:paraId="29983D66" w14:textId="77777777" w:rsidR="00243A1C" w:rsidRDefault="00243A1C" w:rsidP="00243A1C">
      <w:pPr>
        <w:pStyle w:val="RubrikB"/>
      </w:pPr>
      <w:bookmarkStart w:id="5" w:name="_Toc120783013"/>
      <w:r>
        <w:t>3. Förslagets konsekvenser</w:t>
      </w:r>
      <w:bookmarkEnd w:id="5"/>
    </w:p>
    <w:p w14:paraId="50784C7E" w14:textId="77777777" w:rsidR="00243A1C" w:rsidRDefault="00243A1C" w:rsidP="00243A1C">
      <w:pPr>
        <w:pStyle w:val="Rubrikmellanrum"/>
      </w:pPr>
    </w:p>
    <w:p w14:paraId="321B60D4" w14:textId="3348935D" w:rsidR="00243A1C" w:rsidRPr="00EC798C" w:rsidRDefault="003F3060" w:rsidP="00243A1C">
      <w:pPr>
        <w:pStyle w:val="ANormal"/>
      </w:pPr>
      <w:r>
        <w:t>Förslaget har ekonomiska konsekvenser för landskapet och för kommunerna.</w:t>
      </w:r>
    </w:p>
    <w:p w14:paraId="5F5E83CC" w14:textId="29074016" w:rsidR="00243A1C" w:rsidRDefault="00243A1C" w:rsidP="00243A1C">
      <w:pPr>
        <w:pStyle w:val="ANormal"/>
      </w:pPr>
      <w:r>
        <w:t>Landskapsregeringen har i förslaget till budget för 2023 upptagit ett anslag på 5</w:t>
      </w:r>
      <w:r w:rsidR="001830FE">
        <w:t xml:space="preserve"> </w:t>
      </w:r>
      <w:r>
        <w:t>miljoner euro för kompensation till kommunerna för resekostnads</w:t>
      </w:r>
      <w:r w:rsidR="00D05EFF">
        <w:t>avdraget</w:t>
      </w:r>
      <w:r>
        <w:t xml:space="preserve"> och grundavdraget.</w:t>
      </w:r>
      <w:r w:rsidR="00F22790">
        <w:t xml:space="preserve"> Av det beloppet </w:t>
      </w:r>
      <w:r w:rsidR="00D05EFF">
        <w:t>är</w:t>
      </w:r>
      <w:r w:rsidR="00F22790">
        <w:t xml:space="preserve"> 4 miljoner euro </w:t>
      </w:r>
      <w:r w:rsidR="00D05EFF">
        <w:t xml:space="preserve">avsedda att </w:t>
      </w:r>
      <w:r w:rsidR="00F22790">
        <w:t>använd</w:t>
      </w:r>
      <w:r w:rsidR="00D05EFF">
        <w:t>a</w:t>
      </w:r>
      <w:r w:rsidR="00F22790">
        <w:t xml:space="preserve">s till </w:t>
      </w:r>
      <w:r w:rsidR="004E5AAF">
        <w:t xml:space="preserve">förskott på </w:t>
      </w:r>
      <w:r w:rsidR="00F22790">
        <w:t xml:space="preserve">kompensationen för grundavdraget och 1 miljon till </w:t>
      </w:r>
      <w:r w:rsidR="004E5AAF">
        <w:t>förskott på kompensationen</w:t>
      </w:r>
      <w:r w:rsidR="00F22790">
        <w:t xml:space="preserve"> för resekostnadsavdraget. </w:t>
      </w:r>
      <w:r w:rsidR="00565739">
        <w:t>Vid d</w:t>
      </w:r>
      <w:r w:rsidR="00DA3737">
        <w:t xml:space="preserve">imensioneringen har </w:t>
      </w:r>
      <w:r w:rsidR="00565739">
        <w:t>beaktats att grundavdraget beräknas öka med cirka 18</w:t>
      </w:r>
      <w:r w:rsidR="001830FE">
        <w:t xml:space="preserve"> </w:t>
      </w:r>
      <w:r w:rsidR="00565739">
        <w:t>miljoner euro och resekostnadsavdraget med cirka 1,3</w:t>
      </w:r>
      <w:r w:rsidR="001830FE">
        <w:t xml:space="preserve"> </w:t>
      </w:r>
      <w:r w:rsidR="00565739">
        <w:t>miljoner euro</w:t>
      </w:r>
      <w:r w:rsidR="00A157BE">
        <w:t>.</w:t>
      </w:r>
    </w:p>
    <w:p w14:paraId="1039517D" w14:textId="72572639" w:rsidR="004E5AAF" w:rsidRPr="00EE7673" w:rsidRDefault="004E5AAF" w:rsidP="00243A1C">
      <w:pPr>
        <w:pStyle w:val="ANormal"/>
      </w:pPr>
      <w:r>
        <w:tab/>
      </w:r>
      <w:r w:rsidR="004B34F3">
        <w:t>I tabellen n</w:t>
      </w:r>
      <w:r>
        <w:t xml:space="preserve">edan visas </w:t>
      </w:r>
      <w:r w:rsidR="004B34F3">
        <w:t>den kalkylerade</w:t>
      </w:r>
      <w:r>
        <w:t xml:space="preserve"> fördelningen av förskottet. Beräkningen är gjord </w:t>
      </w:r>
      <w:r w:rsidR="00FB659B">
        <w:t xml:space="preserve">på basen av </w:t>
      </w:r>
      <w:r>
        <w:t>uppgifterna</w:t>
      </w:r>
      <w:r w:rsidR="00FB659B">
        <w:t xml:space="preserve"> om resekostnadsavdraget </w:t>
      </w:r>
      <w:r w:rsidR="004B34F3">
        <w:t xml:space="preserve">och grundavdraget </w:t>
      </w:r>
      <w:r w:rsidR="00FB659B">
        <w:t xml:space="preserve">vid </w:t>
      </w:r>
      <w:r w:rsidR="00D05EFF">
        <w:t>kommunal</w:t>
      </w:r>
      <w:r w:rsidR="00FB659B">
        <w:t>beskattningen</w:t>
      </w:r>
      <w:r>
        <w:t xml:space="preserve"> 2020 och kommunernas skattesatser skatteåret 202</w:t>
      </w:r>
      <w:r w:rsidR="00D05EFF">
        <w:t>3</w:t>
      </w:r>
      <w:r>
        <w:t xml:space="preserve">. Avsikten är att förskottet sedan ska beräknas med de senaste uppgifterna som grund, vilket betyder att </w:t>
      </w:r>
      <w:r w:rsidR="00FB659B">
        <w:t xml:space="preserve">fördelningen av </w:t>
      </w:r>
      <w:r>
        <w:t>det förskott som betalas ut under 202</w:t>
      </w:r>
      <w:r w:rsidR="00696A0D">
        <w:t>3</w:t>
      </w:r>
      <w:r>
        <w:t xml:space="preserve"> baseras på uppgifterna </w:t>
      </w:r>
      <w:r w:rsidR="00696A0D">
        <w:t>om avdragen skatteåret</w:t>
      </w:r>
      <w:r>
        <w:t xml:space="preserve"> 2021</w:t>
      </w:r>
      <w:r w:rsidR="00696A0D">
        <w:t>.</w:t>
      </w:r>
    </w:p>
    <w:p w14:paraId="47F320B2" w14:textId="77777777" w:rsidR="00243A1C" w:rsidRDefault="00243A1C" w:rsidP="00243A1C">
      <w:pPr>
        <w:pStyle w:val="ANormal"/>
      </w:pPr>
    </w:p>
    <w:tbl>
      <w:tblPr>
        <w:tblStyle w:val="Tabellrutnt"/>
        <w:tblW w:w="0" w:type="auto"/>
        <w:tblLook w:val="04A0" w:firstRow="1" w:lastRow="0" w:firstColumn="1" w:lastColumn="0" w:noHBand="0" w:noVBand="1"/>
      </w:tblPr>
      <w:tblGrid>
        <w:gridCol w:w="1670"/>
        <w:gridCol w:w="1670"/>
        <w:gridCol w:w="1670"/>
        <w:gridCol w:w="1670"/>
      </w:tblGrid>
      <w:tr w:rsidR="00443177" w14:paraId="1E90E0CC" w14:textId="77777777" w:rsidTr="000D33A6">
        <w:trPr>
          <w:trHeight w:val="451"/>
        </w:trPr>
        <w:tc>
          <w:tcPr>
            <w:tcW w:w="1670" w:type="dxa"/>
          </w:tcPr>
          <w:p w14:paraId="162099E8" w14:textId="77777777" w:rsidR="00443177" w:rsidRPr="00F33FCC" w:rsidRDefault="00443177" w:rsidP="004B34F3">
            <w:pPr>
              <w:pStyle w:val="Tabelltext"/>
              <w:keepNext/>
              <w:rPr>
                <w:b/>
              </w:rPr>
            </w:pPr>
          </w:p>
        </w:tc>
        <w:tc>
          <w:tcPr>
            <w:tcW w:w="5010" w:type="dxa"/>
            <w:gridSpan w:val="3"/>
            <w:vAlign w:val="center"/>
          </w:tcPr>
          <w:p w14:paraId="7BBD0C61" w14:textId="76239EEB" w:rsidR="00443177" w:rsidRPr="00F33FCC" w:rsidRDefault="00443177" w:rsidP="004B34F3">
            <w:pPr>
              <w:pStyle w:val="Tabelltext"/>
              <w:keepNext/>
              <w:jc w:val="center"/>
              <w:rPr>
                <w:b/>
              </w:rPr>
            </w:pPr>
            <w:r w:rsidRPr="00F33FCC">
              <w:rPr>
                <w:b/>
              </w:rPr>
              <w:t>Kompensation</w:t>
            </w:r>
          </w:p>
        </w:tc>
      </w:tr>
      <w:tr w:rsidR="00443177" w14:paraId="33ACDDA9" w14:textId="77777777" w:rsidTr="00AC3F36">
        <w:trPr>
          <w:trHeight w:val="506"/>
        </w:trPr>
        <w:tc>
          <w:tcPr>
            <w:tcW w:w="1670" w:type="dxa"/>
            <w:vAlign w:val="center"/>
          </w:tcPr>
          <w:p w14:paraId="370CB9D1" w14:textId="77777777" w:rsidR="00443177" w:rsidRPr="00F33FCC" w:rsidRDefault="00443177" w:rsidP="004B34F3">
            <w:pPr>
              <w:pStyle w:val="Tabelltext"/>
              <w:keepNext/>
              <w:jc w:val="center"/>
              <w:rPr>
                <w:b/>
              </w:rPr>
            </w:pPr>
            <w:r w:rsidRPr="00F33FCC">
              <w:rPr>
                <w:b/>
              </w:rPr>
              <w:t>Kommun</w:t>
            </w:r>
          </w:p>
        </w:tc>
        <w:tc>
          <w:tcPr>
            <w:tcW w:w="1670" w:type="dxa"/>
            <w:tcBorders>
              <w:bottom w:val="single" w:sz="4" w:space="0" w:color="auto"/>
            </w:tcBorders>
            <w:vAlign w:val="center"/>
          </w:tcPr>
          <w:p w14:paraId="7E415A3E" w14:textId="2606939C" w:rsidR="00443177" w:rsidRPr="00F33FCC" w:rsidRDefault="00C828F4" w:rsidP="004B34F3">
            <w:pPr>
              <w:pStyle w:val="Tabelltext"/>
              <w:keepNext/>
              <w:jc w:val="center"/>
              <w:rPr>
                <w:b/>
              </w:rPr>
            </w:pPr>
            <w:r>
              <w:rPr>
                <w:b/>
              </w:rPr>
              <w:t>Grund</w:t>
            </w:r>
            <w:r w:rsidR="005843FE">
              <w:rPr>
                <w:b/>
              </w:rPr>
              <w:t>avdraget</w:t>
            </w:r>
          </w:p>
        </w:tc>
        <w:tc>
          <w:tcPr>
            <w:tcW w:w="1670" w:type="dxa"/>
            <w:tcBorders>
              <w:bottom w:val="single" w:sz="4" w:space="0" w:color="auto"/>
            </w:tcBorders>
            <w:vAlign w:val="center"/>
          </w:tcPr>
          <w:p w14:paraId="2C2FFC21" w14:textId="1948AA68" w:rsidR="00443177" w:rsidRPr="00F33FCC" w:rsidRDefault="00C828F4" w:rsidP="004B34F3">
            <w:pPr>
              <w:pStyle w:val="Tabelltext"/>
              <w:keepNext/>
              <w:jc w:val="center"/>
              <w:rPr>
                <w:b/>
              </w:rPr>
            </w:pPr>
            <w:r>
              <w:rPr>
                <w:b/>
              </w:rPr>
              <w:t>Resekostnads</w:t>
            </w:r>
            <w:r w:rsidR="005843FE">
              <w:rPr>
                <w:b/>
              </w:rPr>
              <w:t>avdraget</w:t>
            </w:r>
          </w:p>
        </w:tc>
        <w:tc>
          <w:tcPr>
            <w:tcW w:w="1670" w:type="dxa"/>
            <w:tcBorders>
              <w:bottom w:val="single" w:sz="4" w:space="0" w:color="auto"/>
            </w:tcBorders>
            <w:vAlign w:val="center"/>
          </w:tcPr>
          <w:p w14:paraId="47E83E5A" w14:textId="77777777" w:rsidR="00443177" w:rsidRPr="00F33FCC" w:rsidRDefault="00443177" w:rsidP="004B34F3">
            <w:pPr>
              <w:pStyle w:val="Tabelltext"/>
              <w:keepNext/>
              <w:jc w:val="center"/>
              <w:rPr>
                <w:b/>
              </w:rPr>
            </w:pPr>
            <w:r w:rsidRPr="00F33FCC">
              <w:rPr>
                <w:b/>
              </w:rPr>
              <w:t>Totalt</w:t>
            </w:r>
          </w:p>
        </w:tc>
      </w:tr>
      <w:tr w:rsidR="00AC3F36" w14:paraId="1274A770" w14:textId="77777777" w:rsidTr="00AC3F36">
        <w:trPr>
          <w:trHeight w:val="267"/>
        </w:trPr>
        <w:tc>
          <w:tcPr>
            <w:tcW w:w="1670" w:type="dxa"/>
            <w:vAlign w:val="bottom"/>
          </w:tcPr>
          <w:p w14:paraId="09C06381" w14:textId="77777777" w:rsidR="00AC3F36" w:rsidRDefault="00AC3F36" w:rsidP="00AC3F36">
            <w:pPr>
              <w:pStyle w:val="Tabelltext"/>
              <w:keepNext/>
            </w:pPr>
            <w:r>
              <w:t>Brändö</w:t>
            </w:r>
          </w:p>
        </w:tc>
        <w:tc>
          <w:tcPr>
            <w:tcW w:w="1670" w:type="dxa"/>
            <w:tcBorders>
              <w:top w:val="single" w:sz="4" w:space="0" w:color="auto"/>
              <w:left w:val="nil"/>
              <w:bottom w:val="single" w:sz="4" w:space="0" w:color="auto"/>
              <w:right w:val="single" w:sz="4" w:space="0" w:color="auto"/>
            </w:tcBorders>
            <w:shd w:val="clear" w:color="auto" w:fill="auto"/>
            <w:vAlign w:val="bottom"/>
          </w:tcPr>
          <w:p w14:paraId="34B60DCD" w14:textId="255CDADB" w:rsidR="00AC3F36" w:rsidRPr="006C3B98" w:rsidRDefault="00AC3F36" w:rsidP="00AC3F36">
            <w:pPr>
              <w:pStyle w:val="Tabelltext"/>
              <w:jc w:val="right"/>
              <w:rPr>
                <w:szCs w:val="18"/>
                <w:lang w:val="sv-FI" w:eastAsia="sv-FI"/>
              </w:rPr>
            </w:pPr>
            <w:r>
              <w:t>83</w:t>
            </w:r>
            <w:r w:rsidR="001830FE">
              <w:t> </w:t>
            </w:r>
            <w:r>
              <w:t>933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73C4551" w14:textId="48C39CB0" w:rsidR="00AC3F36" w:rsidRPr="006C3B98" w:rsidRDefault="00AC3F36" w:rsidP="00AC3F36">
            <w:pPr>
              <w:pStyle w:val="Tabelltext"/>
              <w:jc w:val="right"/>
              <w:rPr>
                <w:szCs w:val="18"/>
                <w:lang w:val="sv-FI" w:eastAsia="sv-FI"/>
              </w:rPr>
            </w:pPr>
            <w:r>
              <w:t>11</w:t>
            </w:r>
            <w:r w:rsidR="001830FE">
              <w:t> </w:t>
            </w:r>
            <w:r>
              <w:t>605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6E3C1814" w14:textId="3909A754" w:rsidR="00AC3F36" w:rsidRPr="006C3B98" w:rsidRDefault="00AC3F36" w:rsidP="00AC3F36">
            <w:pPr>
              <w:pStyle w:val="Tabelltext"/>
              <w:jc w:val="right"/>
              <w:rPr>
                <w:szCs w:val="18"/>
                <w:lang w:val="sv-FI" w:eastAsia="sv-FI"/>
              </w:rPr>
            </w:pPr>
            <w:r>
              <w:t>95</w:t>
            </w:r>
            <w:r w:rsidR="001830FE">
              <w:t> </w:t>
            </w:r>
            <w:r>
              <w:t>538</w:t>
            </w:r>
          </w:p>
        </w:tc>
      </w:tr>
      <w:tr w:rsidR="00AC3F36" w14:paraId="56DAD87D" w14:textId="77777777" w:rsidTr="00AC3F36">
        <w:trPr>
          <w:trHeight w:val="267"/>
        </w:trPr>
        <w:tc>
          <w:tcPr>
            <w:tcW w:w="1670" w:type="dxa"/>
            <w:vAlign w:val="bottom"/>
          </w:tcPr>
          <w:p w14:paraId="20482405" w14:textId="77777777" w:rsidR="00AC3F36" w:rsidRDefault="00AC3F36" w:rsidP="00AC3F36">
            <w:pPr>
              <w:pStyle w:val="Tabelltext"/>
              <w:keepNext/>
            </w:pPr>
            <w:r>
              <w:t>Eckerö</w:t>
            </w:r>
          </w:p>
        </w:tc>
        <w:tc>
          <w:tcPr>
            <w:tcW w:w="1670" w:type="dxa"/>
            <w:tcBorders>
              <w:top w:val="single" w:sz="4" w:space="0" w:color="auto"/>
              <w:left w:val="nil"/>
              <w:bottom w:val="single" w:sz="4" w:space="0" w:color="auto"/>
              <w:right w:val="single" w:sz="4" w:space="0" w:color="auto"/>
            </w:tcBorders>
            <w:shd w:val="clear" w:color="auto" w:fill="auto"/>
            <w:vAlign w:val="bottom"/>
          </w:tcPr>
          <w:p w14:paraId="0A9A8D5D" w14:textId="3D3BB3B2" w:rsidR="00AC3F36" w:rsidRPr="006C3B98" w:rsidRDefault="00AC3F36" w:rsidP="00AC3F36">
            <w:pPr>
              <w:pStyle w:val="Tabelltext"/>
              <w:jc w:val="right"/>
              <w:rPr>
                <w:szCs w:val="18"/>
              </w:rPr>
            </w:pPr>
            <w:r>
              <w:t>159</w:t>
            </w:r>
            <w:r w:rsidR="001830FE">
              <w:t> </w:t>
            </w:r>
            <w:r>
              <w:t>435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662DEF71" w14:textId="596F84A6" w:rsidR="00AC3F36" w:rsidRPr="006C3B98" w:rsidRDefault="00AC3F36" w:rsidP="00AC3F36">
            <w:pPr>
              <w:pStyle w:val="Tabelltext"/>
              <w:jc w:val="right"/>
              <w:rPr>
                <w:szCs w:val="18"/>
              </w:rPr>
            </w:pPr>
            <w:r>
              <w:t>82</w:t>
            </w:r>
            <w:r w:rsidR="001830FE">
              <w:t> </w:t>
            </w:r>
            <w:r>
              <w:t>752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0B47A6E8" w14:textId="1BC44357" w:rsidR="00AC3F36" w:rsidRPr="006C3B98" w:rsidRDefault="00AC3F36" w:rsidP="00AC3F36">
            <w:pPr>
              <w:pStyle w:val="Tabelltext"/>
              <w:jc w:val="right"/>
              <w:rPr>
                <w:szCs w:val="18"/>
              </w:rPr>
            </w:pPr>
            <w:r>
              <w:t>242</w:t>
            </w:r>
            <w:r w:rsidR="001830FE">
              <w:t> </w:t>
            </w:r>
            <w:r>
              <w:t>187</w:t>
            </w:r>
          </w:p>
        </w:tc>
      </w:tr>
      <w:tr w:rsidR="00AC3F36" w14:paraId="4ED8D837" w14:textId="77777777" w:rsidTr="00AC3F36">
        <w:trPr>
          <w:trHeight w:val="267"/>
        </w:trPr>
        <w:tc>
          <w:tcPr>
            <w:tcW w:w="1670" w:type="dxa"/>
            <w:vAlign w:val="bottom"/>
          </w:tcPr>
          <w:p w14:paraId="24B014D2" w14:textId="77777777" w:rsidR="00AC3F36" w:rsidRDefault="00AC3F36" w:rsidP="00AC3F36">
            <w:pPr>
              <w:pStyle w:val="Tabelltext"/>
              <w:keepNext/>
            </w:pPr>
            <w:r>
              <w:t>Finström</w:t>
            </w:r>
          </w:p>
        </w:tc>
        <w:tc>
          <w:tcPr>
            <w:tcW w:w="1670" w:type="dxa"/>
            <w:tcBorders>
              <w:top w:val="single" w:sz="4" w:space="0" w:color="auto"/>
              <w:left w:val="nil"/>
              <w:bottom w:val="single" w:sz="4" w:space="0" w:color="auto"/>
              <w:right w:val="single" w:sz="4" w:space="0" w:color="auto"/>
            </w:tcBorders>
            <w:shd w:val="clear" w:color="auto" w:fill="auto"/>
            <w:vAlign w:val="bottom"/>
          </w:tcPr>
          <w:p w14:paraId="121B74DD" w14:textId="745AC30F" w:rsidR="00AC3F36" w:rsidRPr="006C3B98" w:rsidRDefault="00AC3F36" w:rsidP="00AC3F36">
            <w:pPr>
              <w:pStyle w:val="Tabelltext"/>
              <w:jc w:val="right"/>
              <w:rPr>
                <w:szCs w:val="18"/>
              </w:rPr>
            </w:pPr>
            <w:r>
              <w:t>390</w:t>
            </w:r>
            <w:r w:rsidR="001830FE">
              <w:t> </w:t>
            </w:r>
            <w:r>
              <w:t>083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25EFB15" w14:textId="0A023BEC" w:rsidR="00AC3F36" w:rsidRPr="006C3B98" w:rsidRDefault="00AC3F36" w:rsidP="00AC3F36">
            <w:pPr>
              <w:pStyle w:val="Tabelltext"/>
              <w:jc w:val="right"/>
              <w:rPr>
                <w:szCs w:val="18"/>
              </w:rPr>
            </w:pPr>
            <w:r>
              <w:t>149</w:t>
            </w:r>
            <w:r w:rsidR="001830FE">
              <w:t> </w:t>
            </w:r>
            <w:r>
              <w:t>975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50D32254" w14:textId="263AB3F4" w:rsidR="00AC3F36" w:rsidRPr="006C3B98" w:rsidRDefault="00AC3F36" w:rsidP="00AC3F36">
            <w:pPr>
              <w:pStyle w:val="Tabelltext"/>
              <w:jc w:val="right"/>
              <w:rPr>
                <w:szCs w:val="18"/>
              </w:rPr>
            </w:pPr>
            <w:r>
              <w:t>540</w:t>
            </w:r>
            <w:r w:rsidR="001830FE">
              <w:t> </w:t>
            </w:r>
            <w:r>
              <w:t>058</w:t>
            </w:r>
          </w:p>
        </w:tc>
      </w:tr>
      <w:tr w:rsidR="00AC3F36" w14:paraId="63F74CB9" w14:textId="77777777" w:rsidTr="00AC3F36">
        <w:trPr>
          <w:trHeight w:val="267"/>
        </w:trPr>
        <w:tc>
          <w:tcPr>
            <w:tcW w:w="1670" w:type="dxa"/>
            <w:vAlign w:val="bottom"/>
          </w:tcPr>
          <w:p w14:paraId="6FEB9ECD" w14:textId="77777777" w:rsidR="00AC3F36" w:rsidRDefault="00AC3F36" w:rsidP="00AC3F36">
            <w:pPr>
              <w:pStyle w:val="Tabelltext"/>
              <w:keepNext/>
            </w:pPr>
            <w:r>
              <w:t>Föglö</w:t>
            </w:r>
          </w:p>
        </w:tc>
        <w:tc>
          <w:tcPr>
            <w:tcW w:w="1670" w:type="dxa"/>
            <w:tcBorders>
              <w:top w:val="single" w:sz="4" w:space="0" w:color="auto"/>
              <w:left w:val="nil"/>
              <w:bottom w:val="single" w:sz="4" w:space="0" w:color="auto"/>
              <w:right w:val="single" w:sz="4" w:space="0" w:color="auto"/>
            </w:tcBorders>
            <w:shd w:val="clear" w:color="auto" w:fill="auto"/>
            <w:vAlign w:val="bottom"/>
          </w:tcPr>
          <w:p w14:paraId="3D382319" w14:textId="34D09E1D" w:rsidR="00AC3F36" w:rsidRPr="006C3B98" w:rsidRDefault="00AC3F36" w:rsidP="00AC3F36">
            <w:pPr>
              <w:pStyle w:val="Tabelltext"/>
              <w:jc w:val="right"/>
              <w:rPr>
                <w:szCs w:val="18"/>
              </w:rPr>
            </w:pPr>
            <w:r>
              <w:t>84</w:t>
            </w:r>
            <w:r w:rsidR="001830FE">
              <w:t> </w:t>
            </w:r>
            <w:r>
              <w:t>725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2DA73D0A" w14:textId="59446E8F" w:rsidR="00AC3F36" w:rsidRPr="006C3B98" w:rsidRDefault="00AC3F36" w:rsidP="00AC3F36">
            <w:pPr>
              <w:pStyle w:val="Tabelltext"/>
              <w:jc w:val="right"/>
              <w:rPr>
                <w:szCs w:val="18"/>
              </w:rPr>
            </w:pPr>
            <w:r>
              <w:t>21</w:t>
            </w:r>
            <w:r w:rsidR="001830FE">
              <w:t> </w:t>
            </w:r>
            <w:r>
              <w:t>894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03DD8300" w14:textId="3C7AD026" w:rsidR="00AC3F36" w:rsidRPr="006C3B98" w:rsidRDefault="00AC3F36" w:rsidP="00AC3F36">
            <w:pPr>
              <w:pStyle w:val="Tabelltext"/>
              <w:jc w:val="right"/>
              <w:rPr>
                <w:szCs w:val="18"/>
              </w:rPr>
            </w:pPr>
            <w:r>
              <w:t>106</w:t>
            </w:r>
            <w:r w:rsidR="001830FE">
              <w:t> </w:t>
            </w:r>
            <w:r>
              <w:t>619</w:t>
            </w:r>
          </w:p>
        </w:tc>
      </w:tr>
      <w:tr w:rsidR="00AC3F36" w14:paraId="18E55739" w14:textId="77777777" w:rsidTr="00AC3F36">
        <w:trPr>
          <w:trHeight w:val="267"/>
        </w:trPr>
        <w:tc>
          <w:tcPr>
            <w:tcW w:w="1670" w:type="dxa"/>
            <w:vAlign w:val="bottom"/>
          </w:tcPr>
          <w:p w14:paraId="2147381D" w14:textId="77777777" w:rsidR="00AC3F36" w:rsidRDefault="00AC3F36" w:rsidP="00AC3F36">
            <w:pPr>
              <w:pStyle w:val="Tabelltext"/>
              <w:keepNext/>
            </w:pPr>
            <w:r>
              <w:t>Geta</w:t>
            </w:r>
          </w:p>
        </w:tc>
        <w:tc>
          <w:tcPr>
            <w:tcW w:w="1670" w:type="dxa"/>
            <w:tcBorders>
              <w:top w:val="single" w:sz="4" w:space="0" w:color="auto"/>
              <w:left w:val="nil"/>
              <w:bottom w:val="single" w:sz="4" w:space="0" w:color="auto"/>
              <w:right w:val="single" w:sz="4" w:space="0" w:color="auto"/>
            </w:tcBorders>
            <w:shd w:val="clear" w:color="auto" w:fill="auto"/>
            <w:vAlign w:val="bottom"/>
          </w:tcPr>
          <w:p w14:paraId="44408162" w14:textId="0836C97D" w:rsidR="00AC3F36" w:rsidRPr="006C3B98" w:rsidRDefault="00AC3F36" w:rsidP="00AC3F36">
            <w:pPr>
              <w:pStyle w:val="Tabelltext"/>
              <w:jc w:val="right"/>
              <w:rPr>
                <w:szCs w:val="18"/>
              </w:rPr>
            </w:pPr>
            <w:r>
              <w:t>92</w:t>
            </w:r>
            <w:r w:rsidR="001830FE">
              <w:t> </w:t>
            </w:r>
            <w:r>
              <w:t>739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79B06610" w14:textId="7E4DA680" w:rsidR="00AC3F36" w:rsidRPr="006C3B98" w:rsidRDefault="00AC3F36" w:rsidP="00AC3F36">
            <w:pPr>
              <w:pStyle w:val="Tabelltext"/>
              <w:jc w:val="right"/>
              <w:rPr>
                <w:szCs w:val="18"/>
              </w:rPr>
            </w:pPr>
            <w:r>
              <w:t>47</w:t>
            </w:r>
            <w:r w:rsidR="001830FE">
              <w:t> </w:t>
            </w:r>
            <w:r>
              <w:t>198</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7F486F5E" w14:textId="1648AA85" w:rsidR="00AC3F36" w:rsidRPr="006C3B98" w:rsidRDefault="00AC3F36" w:rsidP="00AC3F36">
            <w:pPr>
              <w:pStyle w:val="Tabelltext"/>
              <w:jc w:val="right"/>
              <w:rPr>
                <w:szCs w:val="18"/>
              </w:rPr>
            </w:pPr>
            <w:r>
              <w:t>139</w:t>
            </w:r>
            <w:r w:rsidR="001830FE">
              <w:t> </w:t>
            </w:r>
            <w:r>
              <w:t>937</w:t>
            </w:r>
          </w:p>
        </w:tc>
      </w:tr>
      <w:tr w:rsidR="00AC3F36" w14:paraId="6E3E2D55" w14:textId="77777777" w:rsidTr="00AC3F36">
        <w:trPr>
          <w:trHeight w:val="267"/>
        </w:trPr>
        <w:tc>
          <w:tcPr>
            <w:tcW w:w="1670" w:type="dxa"/>
            <w:vAlign w:val="bottom"/>
          </w:tcPr>
          <w:p w14:paraId="314FD2BD" w14:textId="77777777" w:rsidR="00AC3F36" w:rsidRDefault="00AC3F36" w:rsidP="00AC3F36">
            <w:pPr>
              <w:pStyle w:val="Tabelltext"/>
              <w:keepNext/>
            </w:pPr>
            <w:r>
              <w:t>Hammarland</w:t>
            </w:r>
          </w:p>
        </w:tc>
        <w:tc>
          <w:tcPr>
            <w:tcW w:w="1670" w:type="dxa"/>
            <w:tcBorders>
              <w:top w:val="single" w:sz="4" w:space="0" w:color="auto"/>
              <w:left w:val="nil"/>
              <w:bottom w:val="single" w:sz="4" w:space="0" w:color="auto"/>
              <w:right w:val="single" w:sz="4" w:space="0" w:color="auto"/>
            </w:tcBorders>
            <w:shd w:val="clear" w:color="auto" w:fill="auto"/>
            <w:vAlign w:val="bottom"/>
          </w:tcPr>
          <w:p w14:paraId="5E547CDE" w14:textId="4BBFAEC9" w:rsidR="00AC3F36" w:rsidRPr="006C3B98" w:rsidRDefault="00AC3F36" w:rsidP="00AC3F36">
            <w:pPr>
              <w:pStyle w:val="Tabelltext"/>
              <w:jc w:val="right"/>
              <w:rPr>
                <w:szCs w:val="18"/>
              </w:rPr>
            </w:pPr>
            <w:r>
              <w:t>239</w:t>
            </w:r>
            <w:r w:rsidR="001830FE">
              <w:t> </w:t>
            </w:r>
            <w:r>
              <w:t>903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6A47332D" w14:textId="2802D171" w:rsidR="00AC3F36" w:rsidRPr="006C3B98" w:rsidRDefault="00AC3F36" w:rsidP="00AC3F36">
            <w:pPr>
              <w:pStyle w:val="Tabelltext"/>
              <w:jc w:val="right"/>
              <w:rPr>
                <w:szCs w:val="18"/>
              </w:rPr>
            </w:pPr>
            <w:r>
              <w:t>103</w:t>
            </w:r>
            <w:r w:rsidR="001830FE">
              <w:t> </w:t>
            </w:r>
            <w:r>
              <w:t>630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8834014" w14:textId="4D1FC9EA" w:rsidR="00AC3F36" w:rsidRPr="006C3B98" w:rsidRDefault="00AC3F36" w:rsidP="00AC3F36">
            <w:pPr>
              <w:pStyle w:val="Tabelltext"/>
              <w:jc w:val="right"/>
              <w:rPr>
                <w:szCs w:val="18"/>
              </w:rPr>
            </w:pPr>
            <w:r>
              <w:t>343</w:t>
            </w:r>
            <w:r w:rsidR="001830FE">
              <w:t> </w:t>
            </w:r>
            <w:r>
              <w:t>532</w:t>
            </w:r>
          </w:p>
        </w:tc>
      </w:tr>
      <w:tr w:rsidR="00AC3F36" w14:paraId="4E7D97D0" w14:textId="77777777" w:rsidTr="00AC3F36">
        <w:trPr>
          <w:trHeight w:val="267"/>
        </w:trPr>
        <w:tc>
          <w:tcPr>
            <w:tcW w:w="1670" w:type="dxa"/>
            <w:vAlign w:val="bottom"/>
          </w:tcPr>
          <w:p w14:paraId="625E0F90" w14:textId="77777777" w:rsidR="00AC3F36" w:rsidRDefault="00AC3F36" w:rsidP="00AC3F36">
            <w:pPr>
              <w:pStyle w:val="Tabelltext"/>
              <w:keepNext/>
            </w:pPr>
            <w:r>
              <w:t>Jomala</w:t>
            </w:r>
          </w:p>
        </w:tc>
        <w:tc>
          <w:tcPr>
            <w:tcW w:w="1670" w:type="dxa"/>
            <w:tcBorders>
              <w:top w:val="single" w:sz="4" w:space="0" w:color="auto"/>
              <w:left w:val="nil"/>
              <w:bottom w:val="single" w:sz="4" w:space="0" w:color="auto"/>
              <w:right w:val="single" w:sz="4" w:space="0" w:color="auto"/>
            </w:tcBorders>
            <w:shd w:val="clear" w:color="auto" w:fill="auto"/>
            <w:vAlign w:val="bottom"/>
          </w:tcPr>
          <w:p w14:paraId="4D87E08D" w14:textId="1665D597" w:rsidR="00AC3F36" w:rsidRPr="006C3B98" w:rsidRDefault="00AC3F36" w:rsidP="00AC3F36">
            <w:pPr>
              <w:pStyle w:val="Tabelltext"/>
              <w:jc w:val="right"/>
              <w:rPr>
                <w:szCs w:val="18"/>
              </w:rPr>
            </w:pPr>
            <w:r>
              <w:t>485</w:t>
            </w:r>
            <w:r w:rsidR="001830FE">
              <w:t> </w:t>
            </w:r>
            <w:r>
              <w:t>397</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70BE67DF" w14:textId="672BB210" w:rsidR="00AC3F36" w:rsidRPr="006C3B98" w:rsidRDefault="00AC3F36" w:rsidP="00AC3F36">
            <w:pPr>
              <w:pStyle w:val="Tabelltext"/>
              <w:jc w:val="right"/>
              <w:rPr>
                <w:szCs w:val="18"/>
              </w:rPr>
            </w:pPr>
            <w:r>
              <w:t>82</w:t>
            </w:r>
            <w:r w:rsidR="001830FE">
              <w:t> </w:t>
            </w:r>
            <w:r>
              <w:t>679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53A3D05E" w14:textId="479C9C7E" w:rsidR="00AC3F36" w:rsidRPr="006C3B98" w:rsidRDefault="00AC3F36" w:rsidP="00AC3F36">
            <w:pPr>
              <w:pStyle w:val="Tabelltext"/>
              <w:jc w:val="right"/>
              <w:rPr>
                <w:szCs w:val="18"/>
              </w:rPr>
            </w:pPr>
            <w:r>
              <w:t>568</w:t>
            </w:r>
            <w:r w:rsidR="001830FE">
              <w:t> </w:t>
            </w:r>
            <w:r>
              <w:t>076</w:t>
            </w:r>
          </w:p>
        </w:tc>
      </w:tr>
      <w:tr w:rsidR="00AC3F36" w14:paraId="5B865A79" w14:textId="77777777" w:rsidTr="00AC3F36">
        <w:trPr>
          <w:trHeight w:val="267"/>
        </w:trPr>
        <w:tc>
          <w:tcPr>
            <w:tcW w:w="1670" w:type="dxa"/>
            <w:vAlign w:val="bottom"/>
          </w:tcPr>
          <w:p w14:paraId="4335F575" w14:textId="77777777" w:rsidR="00AC3F36" w:rsidRDefault="00AC3F36" w:rsidP="00AC3F36">
            <w:pPr>
              <w:pStyle w:val="Tabelltext"/>
              <w:keepNext/>
            </w:pPr>
            <w:r>
              <w:t>Kumlinge</w:t>
            </w:r>
          </w:p>
        </w:tc>
        <w:tc>
          <w:tcPr>
            <w:tcW w:w="1670" w:type="dxa"/>
            <w:tcBorders>
              <w:top w:val="single" w:sz="4" w:space="0" w:color="auto"/>
              <w:left w:val="nil"/>
              <w:bottom w:val="single" w:sz="4" w:space="0" w:color="auto"/>
              <w:right w:val="single" w:sz="4" w:space="0" w:color="auto"/>
            </w:tcBorders>
            <w:shd w:val="clear" w:color="auto" w:fill="auto"/>
            <w:vAlign w:val="bottom"/>
          </w:tcPr>
          <w:p w14:paraId="08165CC1" w14:textId="66DAD75D" w:rsidR="00AC3F36" w:rsidRPr="006C3B98" w:rsidRDefault="00AC3F36" w:rsidP="00AC3F36">
            <w:pPr>
              <w:pStyle w:val="Tabelltext"/>
              <w:jc w:val="right"/>
              <w:rPr>
                <w:szCs w:val="18"/>
              </w:rPr>
            </w:pPr>
            <w:r>
              <w:t>53</w:t>
            </w:r>
            <w:r w:rsidR="001830FE">
              <w:t> </w:t>
            </w:r>
            <w:r>
              <w:t>510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5CF10405" w14:textId="2B154AD9" w:rsidR="00AC3F36" w:rsidRPr="006C3B98" w:rsidRDefault="00AC3F36" w:rsidP="00AC3F36">
            <w:pPr>
              <w:pStyle w:val="Tabelltext"/>
              <w:jc w:val="right"/>
              <w:rPr>
                <w:szCs w:val="18"/>
              </w:rPr>
            </w:pPr>
            <w:r>
              <w:t>2</w:t>
            </w:r>
            <w:r w:rsidR="001830FE">
              <w:t> </w:t>
            </w:r>
            <w:r>
              <w:t>744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25341E97" w14:textId="758D7392" w:rsidR="00AC3F36" w:rsidRPr="006C3B98" w:rsidRDefault="00AC3F36" w:rsidP="00AC3F36">
            <w:pPr>
              <w:pStyle w:val="Tabelltext"/>
              <w:jc w:val="right"/>
              <w:rPr>
                <w:szCs w:val="18"/>
              </w:rPr>
            </w:pPr>
            <w:r>
              <w:t>56</w:t>
            </w:r>
            <w:r w:rsidR="001830FE">
              <w:t> </w:t>
            </w:r>
            <w:r>
              <w:t>254</w:t>
            </w:r>
          </w:p>
        </w:tc>
      </w:tr>
      <w:tr w:rsidR="00AC3F36" w14:paraId="399A808F" w14:textId="77777777" w:rsidTr="00AC3F36">
        <w:trPr>
          <w:trHeight w:val="267"/>
        </w:trPr>
        <w:tc>
          <w:tcPr>
            <w:tcW w:w="1670" w:type="dxa"/>
            <w:vAlign w:val="bottom"/>
          </w:tcPr>
          <w:p w14:paraId="4C49C912" w14:textId="77777777" w:rsidR="00AC3F36" w:rsidRDefault="00AC3F36" w:rsidP="00AC3F36">
            <w:pPr>
              <w:pStyle w:val="Tabelltext"/>
              <w:keepNext/>
            </w:pPr>
            <w:r>
              <w:t>Kökar</w:t>
            </w:r>
          </w:p>
        </w:tc>
        <w:tc>
          <w:tcPr>
            <w:tcW w:w="1670" w:type="dxa"/>
            <w:tcBorders>
              <w:top w:val="single" w:sz="4" w:space="0" w:color="auto"/>
              <w:left w:val="nil"/>
              <w:bottom w:val="single" w:sz="4" w:space="0" w:color="auto"/>
              <w:right w:val="single" w:sz="4" w:space="0" w:color="auto"/>
            </w:tcBorders>
            <w:shd w:val="clear" w:color="auto" w:fill="auto"/>
            <w:vAlign w:val="bottom"/>
          </w:tcPr>
          <w:p w14:paraId="45B38DB5" w14:textId="29C533CA" w:rsidR="00AC3F36" w:rsidRPr="006C3B98" w:rsidRDefault="00AC3F36" w:rsidP="00AC3F36">
            <w:pPr>
              <w:pStyle w:val="Tabelltext"/>
              <w:jc w:val="right"/>
              <w:rPr>
                <w:szCs w:val="18"/>
              </w:rPr>
            </w:pPr>
            <w:r>
              <w:t>49</w:t>
            </w:r>
            <w:r w:rsidR="001830FE">
              <w:t> </w:t>
            </w:r>
            <w:r>
              <w:t>721</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14502E40" w14:textId="502EC65E" w:rsidR="00AC3F36" w:rsidRPr="006C3B98" w:rsidRDefault="00AC3F36" w:rsidP="00AC3F36">
            <w:pPr>
              <w:pStyle w:val="Tabelltext"/>
              <w:jc w:val="right"/>
              <w:rPr>
                <w:szCs w:val="18"/>
              </w:rPr>
            </w:pPr>
            <w:r>
              <w:t>2</w:t>
            </w:r>
            <w:r w:rsidR="001830FE">
              <w:t> </w:t>
            </w:r>
            <w:r>
              <w:t>716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630B0A64" w14:textId="2E25B900" w:rsidR="00AC3F36" w:rsidRPr="006C3B98" w:rsidRDefault="00AC3F36" w:rsidP="00AC3F36">
            <w:pPr>
              <w:pStyle w:val="Tabelltext"/>
              <w:jc w:val="right"/>
              <w:rPr>
                <w:szCs w:val="18"/>
              </w:rPr>
            </w:pPr>
            <w:r>
              <w:t>52</w:t>
            </w:r>
            <w:r w:rsidR="001830FE">
              <w:t> </w:t>
            </w:r>
            <w:r>
              <w:t>437</w:t>
            </w:r>
          </w:p>
        </w:tc>
      </w:tr>
      <w:tr w:rsidR="00AC3F36" w14:paraId="54DA7839" w14:textId="77777777" w:rsidTr="00AC3F36">
        <w:trPr>
          <w:trHeight w:val="267"/>
        </w:trPr>
        <w:tc>
          <w:tcPr>
            <w:tcW w:w="1670" w:type="dxa"/>
            <w:vAlign w:val="bottom"/>
          </w:tcPr>
          <w:p w14:paraId="7742CCCE" w14:textId="77777777" w:rsidR="00AC3F36" w:rsidRDefault="00AC3F36" w:rsidP="00AC3F36">
            <w:pPr>
              <w:pStyle w:val="Tabelltext"/>
              <w:keepNext/>
            </w:pPr>
            <w:r>
              <w:t>Lemland</w:t>
            </w:r>
          </w:p>
        </w:tc>
        <w:tc>
          <w:tcPr>
            <w:tcW w:w="1670" w:type="dxa"/>
            <w:tcBorders>
              <w:top w:val="single" w:sz="4" w:space="0" w:color="auto"/>
              <w:left w:val="nil"/>
              <w:bottom w:val="single" w:sz="4" w:space="0" w:color="auto"/>
              <w:right w:val="single" w:sz="4" w:space="0" w:color="auto"/>
            </w:tcBorders>
            <w:shd w:val="clear" w:color="auto" w:fill="auto"/>
            <w:vAlign w:val="bottom"/>
          </w:tcPr>
          <w:p w14:paraId="58B7F963" w14:textId="7207CDDF" w:rsidR="00AC3F36" w:rsidRPr="006C3B98" w:rsidRDefault="00AC3F36" w:rsidP="00AC3F36">
            <w:pPr>
              <w:pStyle w:val="Tabelltext"/>
              <w:jc w:val="right"/>
              <w:rPr>
                <w:szCs w:val="18"/>
              </w:rPr>
            </w:pPr>
            <w:r>
              <w:t>244</w:t>
            </w:r>
            <w:r w:rsidR="001830FE">
              <w:t> </w:t>
            </w:r>
            <w:r>
              <w:t>880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24E7433A" w14:textId="1A9237A5" w:rsidR="00AC3F36" w:rsidRPr="006C3B98" w:rsidRDefault="00AC3F36" w:rsidP="00AC3F36">
            <w:pPr>
              <w:pStyle w:val="Tabelltext"/>
              <w:jc w:val="right"/>
              <w:rPr>
                <w:szCs w:val="18"/>
              </w:rPr>
            </w:pPr>
            <w:r>
              <w:t>109</w:t>
            </w:r>
            <w:r w:rsidR="001830FE">
              <w:t> </w:t>
            </w:r>
            <w:r>
              <w:t>318</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570AD000" w14:textId="6264D356" w:rsidR="00AC3F36" w:rsidRPr="006C3B98" w:rsidRDefault="00AC3F36" w:rsidP="00AC3F36">
            <w:pPr>
              <w:pStyle w:val="Tabelltext"/>
              <w:jc w:val="right"/>
              <w:rPr>
                <w:szCs w:val="18"/>
              </w:rPr>
            </w:pPr>
            <w:r>
              <w:t>354</w:t>
            </w:r>
            <w:r w:rsidR="001830FE">
              <w:t> </w:t>
            </w:r>
            <w:r>
              <w:t>198</w:t>
            </w:r>
          </w:p>
        </w:tc>
      </w:tr>
      <w:tr w:rsidR="00AC3F36" w14:paraId="251E0316" w14:textId="77777777" w:rsidTr="00AC3F36">
        <w:trPr>
          <w:trHeight w:val="267"/>
        </w:trPr>
        <w:tc>
          <w:tcPr>
            <w:tcW w:w="1670" w:type="dxa"/>
            <w:vAlign w:val="bottom"/>
          </w:tcPr>
          <w:p w14:paraId="5C4315F2" w14:textId="77777777" w:rsidR="00AC3F36" w:rsidRDefault="00AC3F36" w:rsidP="00AC3F36">
            <w:pPr>
              <w:pStyle w:val="Tabelltext"/>
              <w:keepNext/>
            </w:pPr>
            <w:r>
              <w:t>Lumparland</w:t>
            </w:r>
          </w:p>
        </w:tc>
        <w:tc>
          <w:tcPr>
            <w:tcW w:w="1670" w:type="dxa"/>
            <w:tcBorders>
              <w:top w:val="single" w:sz="4" w:space="0" w:color="auto"/>
              <w:left w:val="nil"/>
              <w:bottom w:val="single" w:sz="4" w:space="0" w:color="auto"/>
              <w:right w:val="single" w:sz="4" w:space="0" w:color="auto"/>
            </w:tcBorders>
            <w:shd w:val="clear" w:color="auto" w:fill="auto"/>
            <w:vAlign w:val="bottom"/>
          </w:tcPr>
          <w:p w14:paraId="14ADCCB1" w14:textId="67E61791" w:rsidR="00AC3F36" w:rsidRPr="006C3B98" w:rsidRDefault="00AC3F36" w:rsidP="00AC3F36">
            <w:pPr>
              <w:pStyle w:val="Tabelltext"/>
              <w:jc w:val="right"/>
              <w:rPr>
                <w:szCs w:val="18"/>
              </w:rPr>
            </w:pPr>
            <w:r>
              <w:t>66</w:t>
            </w:r>
            <w:r w:rsidR="001830FE">
              <w:t> </w:t>
            </w:r>
            <w:r>
              <w:t>333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6A926BBA" w14:textId="3A27E91E" w:rsidR="00AC3F36" w:rsidRPr="006C3B98" w:rsidRDefault="00AC3F36" w:rsidP="00AC3F36">
            <w:pPr>
              <w:pStyle w:val="Tabelltext"/>
              <w:jc w:val="right"/>
              <w:rPr>
                <w:szCs w:val="18"/>
              </w:rPr>
            </w:pPr>
            <w:r>
              <w:t>35</w:t>
            </w:r>
            <w:r w:rsidR="001830FE">
              <w:t> </w:t>
            </w:r>
            <w:r>
              <w:t>974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0E3BBF13" w14:textId="7A629E7C" w:rsidR="00AC3F36" w:rsidRPr="006C3B98" w:rsidRDefault="00AC3F36" w:rsidP="00AC3F36">
            <w:pPr>
              <w:pStyle w:val="Tabelltext"/>
              <w:jc w:val="right"/>
              <w:rPr>
                <w:szCs w:val="18"/>
              </w:rPr>
            </w:pPr>
            <w:r>
              <w:t>102</w:t>
            </w:r>
            <w:r w:rsidR="001830FE">
              <w:t> </w:t>
            </w:r>
            <w:r>
              <w:t>307</w:t>
            </w:r>
          </w:p>
        </w:tc>
      </w:tr>
      <w:tr w:rsidR="00AC3F36" w14:paraId="6BDA8A32" w14:textId="77777777" w:rsidTr="00AC3F36">
        <w:trPr>
          <w:trHeight w:val="267"/>
        </w:trPr>
        <w:tc>
          <w:tcPr>
            <w:tcW w:w="1670" w:type="dxa"/>
            <w:vAlign w:val="bottom"/>
          </w:tcPr>
          <w:p w14:paraId="0B692BE7" w14:textId="343DC757" w:rsidR="00AC3F36" w:rsidRDefault="00AC3F36" w:rsidP="00AC3F36">
            <w:pPr>
              <w:pStyle w:val="Tabelltext"/>
              <w:keepNext/>
            </w:pPr>
            <w:r>
              <w:t>Mariehamn</w:t>
            </w:r>
          </w:p>
        </w:tc>
        <w:tc>
          <w:tcPr>
            <w:tcW w:w="1670" w:type="dxa"/>
            <w:tcBorders>
              <w:top w:val="single" w:sz="4" w:space="0" w:color="auto"/>
              <w:left w:val="nil"/>
              <w:bottom w:val="single" w:sz="4" w:space="0" w:color="auto"/>
              <w:right w:val="single" w:sz="4" w:space="0" w:color="auto"/>
            </w:tcBorders>
            <w:shd w:val="clear" w:color="auto" w:fill="auto"/>
            <w:vAlign w:val="bottom"/>
          </w:tcPr>
          <w:p w14:paraId="5CC5E647" w14:textId="005BB47C" w:rsidR="00AC3F36" w:rsidRPr="006C3B98" w:rsidRDefault="00AC3F36" w:rsidP="00AC3F36">
            <w:pPr>
              <w:pStyle w:val="Tabelltext"/>
              <w:jc w:val="right"/>
              <w:rPr>
                <w:szCs w:val="18"/>
              </w:rPr>
            </w:pPr>
            <w:r>
              <w:t>1</w:t>
            </w:r>
            <w:r w:rsidR="001830FE">
              <w:t> </w:t>
            </w:r>
            <w:r>
              <w:t>536</w:t>
            </w:r>
            <w:r w:rsidR="001830FE">
              <w:t> </w:t>
            </w:r>
            <w:r>
              <w:t>567</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2F2015D3" w14:textId="6373F272" w:rsidR="00AC3F36" w:rsidRPr="006C3B98" w:rsidRDefault="00AC3F36" w:rsidP="00AC3F36">
            <w:pPr>
              <w:pStyle w:val="Tabelltext"/>
              <w:jc w:val="right"/>
              <w:rPr>
                <w:szCs w:val="18"/>
              </w:rPr>
            </w:pPr>
            <w:r>
              <w:t>95</w:t>
            </w:r>
            <w:r w:rsidR="001830FE">
              <w:t> </w:t>
            </w:r>
            <w:r>
              <w:t>292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7CF205EF" w14:textId="153E415B" w:rsidR="00AC3F36" w:rsidRPr="006C3B98" w:rsidRDefault="00AC3F36" w:rsidP="00AC3F36">
            <w:pPr>
              <w:pStyle w:val="Tabelltext"/>
              <w:jc w:val="right"/>
              <w:rPr>
                <w:szCs w:val="18"/>
              </w:rPr>
            </w:pPr>
            <w:r>
              <w:t>1</w:t>
            </w:r>
            <w:r w:rsidR="001830FE">
              <w:t> </w:t>
            </w:r>
            <w:r>
              <w:t>631</w:t>
            </w:r>
            <w:r w:rsidR="001830FE">
              <w:t> </w:t>
            </w:r>
            <w:r>
              <w:t>859</w:t>
            </w:r>
          </w:p>
        </w:tc>
      </w:tr>
      <w:tr w:rsidR="00AC3F36" w14:paraId="1519E740" w14:textId="77777777" w:rsidTr="00AC3F36">
        <w:trPr>
          <w:trHeight w:val="267"/>
        </w:trPr>
        <w:tc>
          <w:tcPr>
            <w:tcW w:w="1670" w:type="dxa"/>
            <w:vAlign w:val="bottom"/>
          </w:tcPr>
          <w:p w14:paraId="69C4C396" w14:textId="00E47502" w:rsidR="00AC3F36" w:rsidRDefault="00AC3F36" w:rsidP="00AC3F36">
            <w:pPr>
              <w:pStyle w:val="Tabelltext"/>
              <w:keepNext/>
            </w:pPr>
            <w:r>
              <w:t>Saltvik</w:t>
            </w:r>
          </w:p>
        </w:tc>
        <w:tc>
          <w:tcPr>
            <w:tcW w:w="1670" w:type="dxa"/>
            <w:tcBorders>
              <w:top w:val="single" w:sz="4" w:space="0" w:color="auto"/>
              <w:left w:val="nil"/>
              <w:bottom w:val="single" w:sz="4" w:space="0" w:color="auto"/>
              <w:right w:val="single" w:sz="4" w:space="0" w:color="auto"/>
            </w:tcBorders>
            <w:shd w:val="clear" w:color="auto" w:fill="auto"/>
            <w:vAlign w:val="bottom"/>
          </w:tcPr>
          <w:p w14:paraId="3C903B37" w14:textId="01F5422F" w:rsidR="00AC3F36" w:rsidRDefault="00AC3F36" w:rsidP="00AC3F36">
            <w:pPr>
              <w:pStyle w:val="Tabelltext"/>
              <w:jc w:val="right"/>
            </w:pPr>
            <w:r>
              <w:t>257</w:t>
            </w:r>
            <w:r w:rsidR="001830FE">
              <w:t> </w:t>
            </w:r>
            <w:r>
              <w:t>149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043C9223" w14:textId="37F254BA" w:rsidR="00AC3F36" w:rsidRDefault="00AC3F36" w:rsidP="00AC3F36">
            <w:pPr>
              <w:pStyle w:val="Tabelltext"/>
              <w:jc w:val="right"/>
            </w:pPr>
            <w:r>
              <w:t>127</w:t>
            </w:r>
            <w:r w:rsidR="001830FE">
              <w:t> </w:t>
            </w:r>
            <w:r>
              <w:t>803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22BF046F" w14:textId="0438A73F" w:rsidR="00AC3F36" w:rsidRDefault="00AC3F36" w:rsidP="00AC3F36">
            <w:pPr>
              <w:pStyle w:val="Tabelltext"/>
              <w:jc w:val="right"/>
            </w:pPr>
            <w:r>
              <w:t>384</w:t>
            </w:r>
            <w:r w:rsidR="001830FE">
              <w:t> </w:t>
            </w:r>
            <w:r>
              <w:t>952</w:t>
            </w:r>
          </w:p>
        </w:tc>
      </w:tr>
      <w:tr w:rsidR="00AC3F36" w14:paraId="486924E2" w14:textId="77777777" w:rsidTr="00AC3F36">
        <w:trPr>
          <w:trHeight w:val="267"/>
        </w:trPr>
        <w:tc>
          <w:tcPr>
            <w:tcW w:w="1670" w:type="dxa"/>
            <w:vAlign w:val="bottom"/>
          </w:tcPr>
          <w:p w14:paraId="39F4A16B" w14:textId="77777777" w:rsidR="00AC3F36" w:rsidRDefault="00AC3F36" w:rsidP="00AC3F36">
            <w:pPr>
              <w:pStyle w:val="Tabelltext"/>
              <w:keepNext/>
            </w:pPr>
            <w:r>
              <w:t>Sottunga</w:t>
            </w:r>
          </w:p>
        </w:tc>
        <w:tc>
          <w:tcPr>
            <w:tcW w:w="1670" w:type="dxa"/>
            <w:tcBorders>
              <w:top w:val="single" w:sz="4" w:space="0" w:color="auto"/>
              <w:left w:val="nil"/>
              <w:bottom w:val="single" w:sz="4" w:space="0" w:color="auto"/>
              <w:right w:val="single" w:sz="4" w:space="0" w:color="auto"/>
            </w:tcBorders>
            <w:shd w:val="clear" w:color="auto" w:fill="auto"/>
            <w:vAlign w:val="bottom"/>
          </w:tcPr>
          <w:p w14:paraId="78E14615" w14:textId="7624ACE6" w:rsidR="00AC3F36" w:rsidRPr="006C3B98" w:rsidRDefault="00AC3F36" w:rsidP="00AC3F36">
            <w:pPr>
              <w:pStyle w:val="Tabelltext"/>
              <w:jc w:val="right"/>
              <w:rPr>
                <w:szCs w:val="18"/>
              </w:rPr>
            </w:pPr>
            <w:r>
              <w:t>17</w:t>
            </w:r>
            <w:r w:rsidR="001830FE">
              <w:t> </w:t>
            </w:r>
            <w:r>
              <w:t>786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754A8704" w14:textId="1D9D6C5F" w:rsidR="00AC3F36" w:rsidRPr="006C3B98" w:rsidRDefault="00AC3F36" w:rsidP="00AC3F36">
            <w:pPr>
              <w:pStyle w:val="Tabelltext"/>
              <w:jc w:val="right"/>
              <w:rPr>
                <w:szCs w:val="18"/>
              </w:rPr>
            </w:pPr>
            <w:r>
              <w:t>997</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72A9A2A" w14:textId="2CC5BA18" w:rsidR="00AC3F36" w:rsidRPr="006C3B98" w:rsidRDefault="00AC3F36" w:rsidP="00AC3F36">
            <w:pPr>
              <w:pStyle w:val="Tabelltext"/>
              <w:jc w:val="right"/>
              <w:rPr>
                <w:szCs w:val="18"/>
              </w:rPr>
            </w:pPr>
            <w:r>
              <w:t>18</w:t>
            </w:r>
            <w:r w:rsidR="001830FE">
              <w:t> </w:t>
            </w:r>
            <w:r>
              <w:t>783</w:t>
            </w:r>
          </w:p>
        </w:tc>
      </w:tr>
      <w:tr w:rsidR="00AC3F36" w14:paraId="291ACA03" w14:textId="77777777" w:rsidTr="00AC3F36">
        <w:trPr>
          <w:trHeight w:val="267"/>
        </w:trPr>
        <w:tc>
          <w:tcPr>
            <w:tcW w:w="1670" w:type="dxa"/>
            <w:vAlign w:val="bottom"/>
          </w:tcPr>
          <w:p w14:paraId="04B8D3F6" w14:textId="77777777" w:rsidR="00AC3F36" w:rsidRDefault="00AC3F36" w:rsidP="00AC3F36">
            <w:pPr>
              <w:pStyle w:val="Tabelltext"/>
              <w:keepNext/>
            </w:pPr>
            <w:r>
              <w:t>Sund</w:t>
            </w:r>
          </w:p>
        </w:tc>
        <w:tc>
          <w:tcPr>
            <w:tcW w:w="1670" w:type="dxa"/>
            <w:tcBorders>
              <w:top w:val="single" w:sz="4" w:space="0" w:color="auto"/>
              <w:left w:val="nil"/>
              <w:bottom w:val="single" w:sz="4" w:space="0" w:color="auto"/>
              <w:right w:val="single" w:sz="4" w:space="0" w:color="auto"/>
            </w:tcBorders>
            <w:shd w:val="clear" w:color="auto" w:fill="auto"/>
            <w:vAlign w:val="bottom"/>
          </w:tcPr>
          <w:p w14:paraId="41A84063" w14:textId="4881B4A8" w:rsidR="00AC3F36" w:rsidRPr="006C3B98" w:rsidRDefault="00AC3F36" w:rsidP="00AC3F36">
            <w:pPr>
              <w:pStyle w:val="Tabelltext"/>
              <w:jc w:val="right"/>
              <w:rPr>
                <w:szCs w:val="18"/>
              </w:rPr>
            </w:pPr>
            <w:r>
              <w:t>154</w:t>
            </w:r>
            <w:r w:rsidR="001830FE">
              <w:t> </w:t>
            </w:r>
            <w:r>
              <w:t>996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6EBADC65" w14:textId="17BC88C6" w:rsidR="00AC3F36" w:rsidRPr="006C3B98" w:rsidRDefault="00AC3F36" w:rsidP="00AC3F36">
            <w:pPr>
              <w:pStyle w:val="Tabelltext"/>
              <w:jc w:val="right"/>
              <w:rPr>
                <w:szCs w:val="18"/>
              </w:rPr>
            </w:pPr>
            <w:r>
              <w:t>89</w:t>
            </w:r>
            <w:r w:rsidR="001830FE">
              <w:t> </w:t>
            </w:r>
            <w:r>
              <w:t>368</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11A60502" w14:textId="11261A25" w:rsidR="00AC3F36" w:rsidRPr="006C3B98" w:rsidRDefault="00AC3F36" w:rsidP="00AC3F36">
            <w:pPr>
              <w:pStyle w:val="Tabelltext"/>
              <w:jc w:val="right"/>
              <w:rPr>
                <w:szCs w:val="18"/>
              </w:rPr>
            </w:pPr>
            <w:r>
              <w:t>244</w:t>
            </w:r>
            <w:r w:rsidR="001830FE">
              <w:t> </w:t>
            </w:r>
            <w:r>
              <w:t>364</w:t>
            </w:r>
          </w:p>
        </w:tc>
      </w:tr>
      <w:tr w:rsidR="00AC3F36" w14:paraId="5BD0BB20" w14:textId="77777777" w:rsidTr="00AC3F36">
        <w:trPr>
          <w:trHeight w:val="267"/>
        </w:trPr>
        <w:tc>
          <w:tcPr>
            <w:tcW w:w="1670" w:type="dxa"/>
            <w:vAlign w:val="bottom"/>
          </w:tcPr>
          <w:p w14:paraId="03C495FB" w14:textId="77777777" w:rsidR="00AC3F36" w:rsidRDefault="00AC3F36" w:rsidP="00AC3F36">
            <w:pPr>
              <w:pStyle w:val="Tabelltext"/>
              <w:keepNext/>
            </w:pPr>
            <w:r>
              <w:t>Vårdö</w:t>
            </w:r>
          </w:p>
        </w:tc>
        <w:tc>
          <w:tcPr>
            <w:tcW w:w="1670" w:type="dxa"/>
            <w:tcBorders>
              <w:top w:val="single" w:sz="4" w:space="0" w:color="auto"/>
              <w:left w:val="nil"/>
              <w:bottom w:val="single" w:sz="4" w:space="0" w:color="auto"/>
              <w:right w:val="single" w:sz="4" w:space="0" w:color="auto"/>
            </w:tcBorders>
            <w:shd w:val="clear" w:color="auto" w:fill="auto"/>
            <w:vAlign w:val="bottom"/>
          </w:tcPr>
          <w:p w14:paraId="27BA7D33" w14:textId="22F046C1" w:rsidR="00AC3F36" w:rsidRPr="006C3B98" w:rsidRDefault="00AC3F36" w:rsidP="00AC3F36">
            <w:pPr>
              <w:pStyle w:val="Tabelltext"/>
              <w:jc w:val="right"/>
              <w:rPr>
                <w:szCs w:val="18"/>
              </w:rPr>
            </w:pPr>
            <w:r>
              <w:t>82</w:t>
            </w:r>
            <w:r w:rsidR="001830FE">
              <w:t> </w:t>
            </w:r>
            <w:r>
              <w:t>842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3861DE27" w14:textId="355912B3" w:rsidR="00AC3F36" w:rsidRPr="006C3B98" w:rsidRDefault="00AC3F36" w:rsidP="00AC3F36">
            <w:pPr>
              <w:pStyle w:val="Tabelltext"/>
              <w:jc w:val="right"/>
              <w:rPr>
                <w:szCs w:val="18"/>
              </w:rPr>
            </w:pPr>
            <w:r>
              <w:t>36</w:t>
            </w:r>
            <w:r w:rsidR="001830FE">
              <w:t> </w:t>
            </w:r>
            <w:r>
              <w:t>056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1D9442BB" w14:textId="6BB55E38" w:rsidR="00AC3F36" w:rsidRPr="006C3B98" w:rsidRDefault="00AC3F36" w:rsidP="00AC3F36">
            <w:pPr>
              <w:pStyle w:val="Tabelltext"/>
              <w:jc w:val="right"/>
              <w:rPr>
                <w:szCs w:val="18"/>
              </w:rPr>
            </w:pPr>
            <w:r>
              <w:t>118</w:t>
            </w:r>
            <w:r w:rsidR="001830FE">
              <w:t> </w:t>
            </w:r>
            <w:r>
              <w:t>898</w:t>
            </w:r>
          </w:p>
        </w:tc>
      </w:tr>
      <w:tr w:rsidR="00443177" w14:paraId="5CD61493" w14:textId="77777777" w:rsidTr="00AC3F36">
        <w:trPr>
          <w:trHeight w:val="267"/>
        </w:trPr>
        <w:tc>
          <w:tcPr>
            <w:tcW w:w="1670" w:type="dxa"/>
            <w:vAlign w:val="bottom"/>
          </w:tcPr>
          <w:p w14:paraId="71A7A77E" w14:textId="77777777" w:rsidR="00443177" w:rsidRDefault="00443177" w:rsidP="004B34F3">
            <w:pPr>
              <w:pStyle w:val="Tabelltext"/>
              <w:keepNext/>
            </w:pPr>
          </w:p>
        </w:tc>
        <w:tc>
          <w:tcPr>
            <w:tcW w:w="1670" w:type="dxa"/>
            <w:tcBorders>
              <w:top w:val="single" w:sz="4" w:space="0" w:color="auto"/>
              <w:left w:val="nil"/>
              <w:bottom w:val="single" w:sz="4" w:space="0" w:color="auto"/>
              <w:right w:val="single" w:sz="4" w:space="0" w:color="auto"/>
            </w:tcBorders>
            <w:shd w:val="clear" w:color="auto" w:fill="auto"/>
            <w:vAlign w:val="bottom"/>
          </w:tcPr>
          <w:p w14:paraId="47D18A0E" w14:textId="77777777" w:rsidR="00443177" w:rsidRPr="006C3B98" w:rsidRDefault="00443177" w:rsidP="004B34F3">
            <w:pPr>
              <w:keepNext/>
              <w:jc w:val="right"/>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CAA0989" w14:textId="77777777" w:rsidR="00443177" w:rsidRPr="006C3B98" w:rsidRDefault="00443177" w:rsidP="004B34F3">
            <w:pPr>
              <w:keepNext/>
              <w:jc w:val="right"/>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323CAD6E" w14:textId="77777777" w:rsidR="00443177" w:rsidRPr="006C3B98" w:rsidRDefault="00443177" w:rsidP="004B34F3">
            <w:pPr>
              <w:keepNext/>
              <w:jc w:val="right"/>
              <w:rPr>
                <w:rFonts w:ascii="Arial" w:hAnsi="Arial" w:cs="Arial"/>
                <w:sz w:val="18"/>
                <w:szCs w:val="18"/>
              </w:rPr>
            </w:pPr>
          </w:p>
        </w:tc>
      </w:tr>
      <w:tr w:rsidR="00443177" w14:paraId="474BC6FA" w14:textId="77777777" w:rsidTr="00443177">
        <w:trPr>
          <w:trHeight w:val="267"/>
        </w:trPr>
        <w:tc>
          <w:tcPr>
            <w:tcW w:w="1670" w:type="dxa"/>
            <w:vAlign w:val="bottom"/>
          </w:tcPr>
          <w:p w14:paraId="2C58EC81" w14:textId="77777777" w:rsidR="00443177" w:rsidRPr="00F33FCC" w:rsidRDefault="00443177" w:rsidP="004B34F3">
            <w:pPr>
              <w:pStyle w:val="Tabelltext"/>
              <w:keepNext/>
              <w:rPr>
                <w:b/>
              </w:rPr>
            </w:pPr>
            <w:r w:rsidRPr="00F33FCC">
              <w:rPr>
                <w:b/>
              </w:rPr>
              <w:t>TOTALT</w:t>
            </w:r>
          </w:p>
        </w:tc>
        <w:tc>
          <w:tcPr>
            <w:tcW w:w="1670" w:type="dxa"/>
            <w:tcBorders>
              <w:top w:val="single" w:sz="4" w:space="0" w:color="auto"/>
              <w:left w:val="nil"/>
              <w:bottom w:val="single" w:sz="4" w:space="0" w:color="auto"/>
              <w:right w:val="single" w:sz="4" w:space="0" w:color="auto"/>
            </w:tcBorders>
            <w:shd w:val="clear" w:color="auto" w:fill="auto"/>
            <w:vAlign w:val="bottom"/>
          </w:tcPr>
          <w:p w14:paraId="6A75E6F4" w14:textId="3C1A84BC" w:rsidR="00443177" w:rsidRPr="006C3B98" w:rsidRDefault="00C828F4" w:rsidP="004B34F3">
            <w:pPr>
              <w:keepNext/>
              <w:jc w:val="right"/>
              <w:rPr>
                <w:rFonts w:ascii="Arial" w:hAnsi="Arial" w:cs="Arial"/>
                <w:b/>
                <w:bCs/>
                <w:sz w:val="18"/>
                <w:szCs w:val="18"/>
              </w:rPr>
            </w:pPr>
            <w:r>
              <w:rPr>
                <w:rFonts w:ascii="Arial" w:hAnsi="Arial" w:cs="Arial"/>
                <w:b/>
                <w:bCs/>
                <w:sz w:val="18"/>
                <w:szCs w:val="18"/>
              </w:rPr>
              <w:t>4</w:t>
            </w:r>
            <w:r w:rsidR="001830FE">
              <w:rPr>
                <w:rFonts w:ascii="Arial" w:hAnsi="Arial" w:cs="Arial"/>
                <w:b/>
                <w:bCs/>
                <w:sz w:val="18"/>
                <w:szCs w:val="18"/>
              </w:rPr>
              <w:t> </w:t>
            </w:r>
            <w:r>
              <w:rPr>
                <w:rFonts w:ascii="Arial" w:hAnsi="Arial" w:cs="Arial"/>
                <w:b/>
                <w:bCs/>
                <w:sz w:val="18"/>
                <w:szCs w:val="18"/>
              </w:rPr>
              <w:t>0</w:t>
            </w:r>
            <w:r w:rsidR="00443177" w:rsidRPr="006C3B98">
              <w:rPr>
                <w:rFonts w:ascii="Arial" w:hAnsi="Arial" w:cs="Arial"/>
                <w:b/>
                <w:bCs/>
                <w:sz w:val="18"/>
                <w:szCs w:val="18"/>
              </w:rPr>
              <w:t>00</w:t>
            </w:r>
            <w:r w:rsidR="001830FE">
              <w:rPr>
                <w:rFonts w:ascii="Arial" w:hAnsi="Arial" w:cs="Arial"/>
                <w:b/>
                <w:bCs/>
                <w:sz w:val="18"/>
                <w:szCs w:val="18"/>
              </w:rPr>
              <w:t> </w:t>
            </w:r>
            <w:r w:rsidR="00443177" w:rsidRPr="006C3B98">
              <w:rPr>
                <w:rFonts w:ascii="Arial" w:hAnsi="Arial" w:cs="Arial"/>
                <w:b/>
                <w:bCs/>
                <w:sz w:val="18"/>
                <w:szCs w:val="18"/>
              </w:rPr>
              <w:t>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82A1387" w14:textId="37AFE532" w:rsidR="00443177" w:rsidRPr="006C3B98" w:rsidRDefault="00443177" w:rsidP="004B34F3">
            <w:pPr>
              <w:keepNext/>
              <w:jc w:val="right"/>
              <w:rPr>
                <w:rFonts w:ascii="Arial" w:hAnsi="Arial" w:cs="Arial"/>
                <w:b/>
                <w:bCs/>
                <w:color w:val="000000"/>
                <w:sz w:val="18"/>
                <w:szCs w:val="18"/>
              </w:rPr>
            </w:pPr>
            <w:r w:rsidRPr="006C3B98">
              <w:rPr>
                <w:rFonts w:ascii="Arial" w:hAnsi="Arial" w:cs="Arial"/>
                <w:b/>
                <w:bCs/>
                <w:color w:val="000000"/>
                <w:sz w:val="18"/>
                <w:szCs w:val="18"/>
              </w:rPr>
              <w:t>1</w:t>
            </w:r>
            <w:r w:rsidR="001830FE">
              <w:rPr>
                <w:rFonts w:ascii="Arial" w:hAnsi="Arial" w:cs="Arial"/>
                <w:b/>
                <w:bCs/>
                <w:color w:val="000000"/>
                <w:sz w:val="18"/>
                <w:szCs w:val="18"/>
              </w:rPr>
              <w:t> </w:t>
            </w:r>
            <w:r w:rsidR="00C828F4">
              <w:rPr>
                <w:rFonts w:ascii="Arial" w:hAnsi="Arial" w:cs="Arial"/>
                <w:b/>
                <w:bCs/>
                <w:color w:val="000000"/>
                <w:sz w:val="18"/>
                <w:szCs w:val="18"/>
              </w:rPr>
              <w:t>0</w:t>
            </w:r>
            <w:r w:rsidRPr="006C3B98">
              <w:rPr>
                <w:rFonts w:ascii="Arial" w:hAnsi="Arial" w:cs="Arial"/>
                <w:b/>
                <w:bCs/>
                <w:color w:val="000000"/>
                <w:sz w:val="18"/>
                <w:szCs w:val="18"/>
              </w:rPr>
              <w:t>00</w:t>
            </w:r>
            <w:r w:rsidR="001830FE">
              <w:rPr>
                <w:rFonts w:ascii="Arial" w:hAnsi="Arial" w:cs="Arial"/>
                <w:b/>
                <w:bCs/>
                <w:color w:val="000000"/>
                <w:sz w:val="18"/>
                <w:szCs w:val="18"/>
              </w:rPr>
              <w:t> </w:t>
            </w:r>
            <w:r w:rsidRPr="006C3B98">
              <w:rPr>
                <w:rFonts w:ascii="Arial" w:hAnsi="Arial" w:cs="Arial"/>
                <w:b/>
                <w:bCs/>
                <w:color w:val="000000"/>
                <w:sz w:val="18"/>
                <w:szCs w:val="18"/>
              </w:rPr>
              <w:t>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113C09AC" w14:textId="5B1A8AD5" w:rsidR="00443177" w:rsidRPr="006C3B98" w:rsidRDefault="00443177" w:rsidP="004B34F3">
            <w:pPr>
              <w:keepNext/>
              <w:jc w:val="right"/>
              <w:rPr>
                <w:rFonts w:ascii="Arial" w:hAnsi="Arial" w:cs="Arial"/>
                <w:b/>
                <w:bCs/>
                <w:sz w:val="18"/>
                <w:szCs w:val="18"/>
              </w:rPr>
            </w:pPr>
            <w:r w:rsidRPr="006C3B98">
              <w:rPr>
                <w:rFonts w:ascii="Arial" w:hAnsi="Arial" w:cs="Arial"/>
                <w:b/>
                <w:bCs/>
                <w:sz w:val="18"/>
                <w:szCs w:val="18"/>
              </w:rPr>
              <w:t>5</w:t>
            </w:r>
            <w:r w:rsidR="001830FE">
              <w:rPr>
                <w:rFonts w:ascii="Arial" w:hAnsi="Arial" w:cs="Arial"/>
                <w:b/>
                <w:bCs/>
                <w:sz w:val="18"/>
                <w:szCs w:val="18"/>
              </w:rPr>
              <w:t> </w:t>
            </w:r>
            <w:r w:rsidR="00C828F4">
              <w:rPr>
                <w:rFonts w:ascii="Arial" w:hAnsi="Arial" w:cs="Arial"/>
                <w:b/>
                <w:bCs/>
                <w:sz w:val="18"/>
                <w:szCs w:val="18"/>
              </w:rPr>
              <w:t>0</w:t>
            </w:r>
            <w:r w:rsidRPr="006C3B98">
              <w:rPr>
                <w:rFonts w:ascii="Arial" w:hAnsi="Arial" w:cs="Arial"/>
                <w:b/>
                <w:bCs/>
                <w:sz w:val="18"/>
                <w:szCs w:val="18"/>
              </w:rPr>
              <w:t>00</w:t>
            </w:r>
            <w:r w:rsidR="001830FE">
              <w:rPr>
                <w:rFonts w:ascii="Arial" w:hAnsi="Arial" w:cs="Arial"/>
                <w:b/>
                <w:bCs/>
                <w:sz w:val="18"/>
                <w:szCs w:val="18"/>
              </w:rPr>
              <w:t> </w:t>
            </w:r>
            <w:r w:rsidRPr="006C3B98">
              <w:rPr>
                <w:rFonts w:ascii="Arial" w:hAnsi="Arial" w:cs="Arial"/>
                <w:b/>
                <w:bCs/>
                <w:sz w:val="18"/>
                <w:szCs w:val="18"/>
              </w:rPr>
              <w:t>000</w:t>
            </w:r>
          </w:p>
        </w:tc>
      </w:tr>
    </w:tbl>
    <w:p w14:paraId="3B5B3D35" w14:textId="77777777" w:rsidR="00443177" w:rsidRDefault="00443177" w:rsidP="00243A1C">
      <w:pPr>
        <w:pStyle w:val="ANormal"/>
      </w:pPr>
    </w:p>
    <w:p w14:paraId="1871D25A" w14:textId="253CCCCD" w:rsidR="004A0500" w:rsidRDefault="004A0500" w:rsidP="004A0500">
      <w:pPr>
        <w:pStyle w:val="RubrikB"/>
      </w:pPr>
      <w:bookmarkStart w:id="6" w:name="_Toc120783014"/>
      <w:r>
        <w:t>4. Beredning och ikraftträdande</w:t>
      </w:r>
      <w:bookmarkEnd w:id="6"/>
    </w:p>
    <w:p w14:paraId="28898A46" w14:textId="3F8A62F1" w:rsidR="004A0500" w:rsidRDefault="004A0500" w:rsidP="004A0500">
      <w:pPr>
        <w:pStyle w:val="Rubrikmellanrum"/>
      </w:pPr>
    </w:p>
    <w:p w14:paraId="29BD005A" w14:textId="1C52D9C3" w:rsidR="00CF77A0" w:rsidRDefault="00CF77A0" w:rsidP="00CF77A0">
      <w:pPr>
        <w:pStyle w:val="ANormal"/>
      </w:pPr>
      <w:r>
        <w:t xml:space="preserve">Lagförslaget har beretts vid lagberedningen och </w:t>
      </w:r>
      <w:r w:rsidR="00D05EFF">
        <w:t xml:space="preserve">underlaget för beräkning av </w:t>
      </w:r>
      <w:r>
        <w:t xml:space="preserve">fördelningen av förskottet har </w:t>
      </w:r>
      <w:r w:rsidR="00D05EFF">
        <w:t>tagits fram</w:t>
      </w:r>
      <w:r>
        <w:t xml:space="preserve"> vid finansavdelningen. Beredningen har skett i brådskande ordning och med hänvisning till det har det inte skickats på någon remiss. </w:t>
      </w:r>
      <w:r w:rsidR="0042735C">
        <w:t>Kompensationen</w:t>
      </w:r>
      <w:r w:rsidR="00D05EFF">
        <w:t>,</w:t>
      </w:r>
      <w:r w:rsidR="0042735C">
        <w:t xml:space="preserve"> dess utformning</w:t>
      </w:r>
      <w:r w:rsidR="00D05EFF">
        <w:t xml:space="preserve"> och dimensionering</w:t>
      </w:r>
      <w:r w:rsidR="0042735C">
        <w:t xml:space="preserve"> har dock behandlats vid samråd mellan landskapsregeringen, Ålands kommunförbund och Mariehamns stad</w:t>
      </w:r>
      <w:r w:rsidR="00D05EFF">
        <w:t xml:space="preserve"> under hösten</w:t>
      </w:r>
      <w:r w:rsidR="0042735C">
        <w:t>.</w:t>
      </w:r>
    </w:p>
    <w:p w14:paraId="52C33CD5" w14:textId="7349D551" w:rsidR="00CF77A0" w:rsidRDefault="00CF77A0" w:rsidP="00CF77A0">
      <w:pPr>
        <w:pStyle w:val="ANormal"/>
      </w:pPr>
      <w:r>
        <w:tab/>
        <w:t>Den föreslagna lagen bör träda i kraft så snart som möjligt så att kompensationen för 2023 kan betalas ut till kommunerna. Landskapsregeringen föreslår därför att tidpunkten för ikraftträdande lämnas öppen.</w:t>
      </w:r>
    </w:p>
    <w:p w14:paraId="2E6C2C79" w14:textId="77777777" w:rsidR="00AF3004" w:rsidRDefault="00AF3004">
      <w:pPr>
        <w:pStyle w:val="ANormal"/>
      </w:pPr>
    </w:p>
    <w:p w14:paraId="06F2DF26" w14:textId="77777777" w:rsidR="00AF3004" w:rsidRDefault="00AF3004">
      <w:pPr>
        <w:pStyle w:val="RubrikA"/>
      </w:pPr>
      <w:bookmarkStart w:id="7" w:name="_Toc120783015"/>
      <w:r>
        <w:t>Detaljmotivering</w:t>
      </w:r>
      <w:bookmarkEnd w:id="7"/>
    </w:p>
    <w:p w14:paraId="2E676955" w14:textId="77777777" w:rsidR="00AF3004" w:rsidRDefault="00AF3004">
      <w:pPr>
        <w:pStyle w:val="Rubrikmellanrum"/>
      </w:pPr>
    </w:p>
    <w:p w14:paraId="3500C742" w14:textId="2EB2FCC9" w:rsidR="00FA2A3E" w:rsidRPr="00FA2A3E" w:rsidRDefault="00FA2A3E" w:rsidP="00A80E47">
      <w:pPr>
        <w:pStyle w:val="RubrikB"/>
      </w:pPr>
      <w:bookmarkStart w:id="8" w:name="_Toc497989372"/>
      <w:bookmarkStart w:id="9" w:name="_Toc120783016"/>
      <w:r w:rsidRPr="00FA2A3E">
        <w:t xml:space="preserve">Landskapslag om kompensation till kommunerna för </w:t>
      </w:r>
      <w:bookmarkEnd w:id="8"/>
      <w:r w:rsidR="00A80E47">
        <w:t xml:space="preserve">förlust av skatteintäkter på grund av </w:t>
      </w:r>
      <w:r w:rsidR="00720207">
        <w:t>vissa avdrag</w:t>
      </w:r>
      <w:bookmarkEnd w:id="9"/>
    </w:p>
    <w:p w14:paraId="79E8F7F4" w14:textId="77777777" w:rsidR="00FA2A3E" w:rsidRPr="00FA2A3E" w:rsidRDefault="00FA2A3E" w:rsidP="00FA2A3E">
      <w:pPr>
        <w:keepNext/>
        <w:tabs>
          <w:tab w:val="left" w:pos="283"/>
        </w:tabs>
        <w:jc w:val="both"/>
        <w:rPr>
          <w:sz w:val="10"/>
          <w:szCs w:val="20"/>
        </w:rPr>
      </w:pPr>
    </w:p>
    <w:p w14:paraId="0424F81B" w14:textId="681A85F4" w:rsidR="002B03D1" w:rsidRDefault="00FA2A3E" w:rsidP="00FA2A3E">
      <w:pPr>
        <w:tabs>
          <w:tab w:val="left" w:pos="283"/>
        </w:tabs>
        <w:jc w:val="both"/>
        <w:rPr>
          <w:sz w:val="22"/>
          <w:szCs w:val="20"/>
        </w:rPr>
      </w:pPr>
      <w:r w:rsidRPr="00FA2A3E">
        <w:rPr>
          <w:sz w:val="22"/>
          <w:szCs w:val="20"/>
        </w:rPr>
        <w:t>1</w:t>
      </w:r>
      <w:r w:rsidR="001830FE">
        <w:rPr>
          <w:sz w:val="22"/>
          <w:szCs w:val="20"/>
        </w:rPr>
        <w:t> §</w:t>
      </w:r>
      <w:r w:rsidRPr="00FA2A3E">
        <w:rPr>
          <w:sz w:val="22"/>
          <w:szCs w:val="20"/>
        </w:rPr>
        <w:t xml:space="preserve"> </w:t>
      </w:r>
      <w:r w:rsidRPr="00FA2A3E">
        <w:rPr>
          <w:i/>
          <w:iCs/>
          <w:sz w:val="22"/>
          <w:szCs w:val="20"/>
        </w:rPr>
        <w:t>Kompensation för förlust av skatteintäkter.</w:t>
      </w:r>
      <w:r w:rsidRPr="00FA2A3E">
        <w:rPr>
          <w:sz w:val="22"/>
          <w:szCs w:val="20"/>
        </w:rPr>
        <w:t xml:space="preserve"> </w:t>
      </w:r>
      <w:r w:rsidR="002B03D1">
        <w:rPr>
          <w:sz w:val="22"/>
          <w:szCs w:val="20"/>
        </w:rPr>
        <w:t xml:space="preserve">I paragrafen anges att kommunerna ska kompenseras för </w:t>
      </w:r>
      <w:r w:rsidR="002B03D1" w:rsidRPr="00FA2A3E">
        <w:rPr>
          <w:sz w:val="22"/>
          <w:szCs w:val="20"/>
        </w:rPr>
        <w:t xml:space="preserve">den förlust av skatteintäkter som orsakas av </w:t>
      </w:r>
      <w:r w:rsidR="002B03D1">
        <w:rPr>
          <w:sz w:val="22"/>
          <w:szCs w:val="20"/>
        </w:rPr>
        <w:t>resekostnadsavdraget och grundavdraget i kommunalskattelagen (2011:119) för landskapet Åland.</w:t>
      </w:r>
    </w:p>
    <w:p w14:paraId="565AB4A5" w14:textId="77777777" w:rsidR="00FA2A3E" w:rsidRPr="00FA2A3E" w:rsidRDefault="00FA2A3E" w:rsidP="00FA2A3E">
      <w:pPr>
        <w:tabs>
          <w:tab w:val="left" w:pos="283"/>
        </w:tabs>
        <w:jc w:val="both"/>
        <w:rPr>
          <w:sz w:val="22"/>
          <w:szCs w:val="20"/>
        </w:rPr>
      </w:pPr>
    </w:p>
    <w:p w14:paraId="039CFEDB" w14:textId="60926FAB" w:rsidR="00692716" w:rsidRDefault="00FA2A3E" w:rsidP="00FA2A3E">
      <w:pPr>
        <w:tabs>
          <w:tab w:val="left" w:pos="283"/>
        </w:tabs>
        <w:jc w:val="both"/>
        <w:rPr>
          <w:sz w:val="22"/>
          <w:szCs w:val="20"/>
        </w:rPr>
      </w:pPr>
      <w:r w:rsidRPr="00FA2A3E">
        <w:rPr>
          <w:sz w:val="22"/>
          <w:szCs w:val="20"/>
        </w:rPr>
        <w:t>2</w:t>
      </w:r>
      <w:r w:rsidR="001830FE">
        <w:rPr>
          <w:sz w:val="22"/>
          <w:szCs w:val="20"/>
        </w:rPr>
        <w:t> §</w:t>
      </w:r>
      <w:r w:rsidRPr="00FA2A3E">
        <w:rPr>
          <w:sz w:val="22"/>
          <w:szCs w:val="20"/>
        </w:rPr>
        <w:t xml:space="preserve"> </w:t>
      </w:r>
      <w:r w:rsidRPr="00FA2A3E">
        <w:rPr>
          <w:i/>
          <w:iCs/>
          <w:sz w:val="22"/>
          <w:szCs w:val="20"/>
        </w:rPr>
        <w:t>Kompensationsbelopp.</w:t>
      </w:r>
      <w:r w:rsidRPr="00FA2A3E">
        <w:rPr>
          <w:sz w:val="22"/>
          <w:szCs w:val="20"/>
        </w:rPr>
        <w:t xml:space="preserve"> </w:t>
      </w:r>
      <w:r w:rsidR="00C27132">
        <w:rPr>
          <w:sz w:val="22"/>
          <w:szCs w:val="20"/>
        </w:rPr>
        <w:t xml:space="preserve">I paragrafens </w:t>
      </w:r>
      <w:r w:rsidR="00D50C6C">
        <w:rPr>
          <w:sz w:val="22"/>
          <w:szCs w:val="20"/>
        </w:rPr>
        <w:t>1</w:t>
      </w:r>
      <w:r w:rsidR="001830FE">
        <w:rPr>
          <w:sz w:val="22"/>
          <w:szCs w:val="20"/>
        </w:rPr>
        <w:t> mom.</w:t>
      </w:r>
      <w:r w:rsidR="00C27132">
        <w:rPr>
          <w:sz w:val="22"/>
          <w:szCs w:val="20"/>
        </w:rPr>
        <w:t xml:space="preserve"> anges kompensations</w:t>
      </w:r>
      <w:r w:rsidR="00D50C6C">
        <w:rPr>
          <w:sz w:val="22"/>
          <w:szCs w:val="20"/>
        </w:rPr>
        <w:t>beloppets</w:t>
      </w:r>
      <w:r w:rsidR="00C27132">
        <w:rPr>
          <w:sz w:val="22"/>
          <w:szCs w:val="20"/>
        </w:rPr>
        <w:t xml:space="preserve"> storlek, enligt förslaget ska 70</w:t>
      </w:r>
      <w:r w:rsidR="001830FE">
        <w:rPr>
          <w:sz w:val="22"/>
          <w:szCs w:val="20"/>
        </w:rPr>
        <w:t xml:space="preserve"> </w:t>
      </w:r>
      <w:r w:rsidR="00C27132">
        <w:rPr>
          <w:sz w:val="22"/>
          <w:szCs w:val="20"/>
        </w:rPr>
        <w:t xml:space="preserve">procent av </w:t>
      </w:r>
      <w:r w:rsidR="00D50C6C">
        <w:rPr>
          <w:sz w:val="22"/>
          <w:szCs w:val="20"/>
        </w:rPr>
        <w:t>de skatteintäkter kommunen förlorar på grund av resekostnadsavdraget och grundavdraget kompenseras.</w:t>
      </w:r>
    </w:p>
    <w:p w14:paraId="70D11201" w14:textId="5826EB37" w:rsidR="00FA2A3E" w:rsidRPr="00FA2A3E" w:rsidRDefault="00D50C6C" w:rsidP="00FA2A3E">
      <w:pPr>
        <w:tabs>
          <w:tab w:val="left" w:pos="283"/>
        </w:tabs>
        <w:jc w:val="both"/>
        <w:rPr>
          <w:sz w:val="22"/>
          <w:szCs w:val="20"/>
        </w:rPr>
      </w:pPr>
      <w:r>
        <w:rPr>
          <w:sz w:val="22"/>
          <w:szCs w:val="20"/>
        </w:rPr>
        <w:tab/>
        <w:t>Enligt paragrafens 2</w:t>
      </w:r>
      <w:r w:rsidR="001830FE">
        <w:rPr>
          <w:sz w:val="22"/>
          <w:szCs w:val="20"/>
        </w:rPr>
        <w:t> mom.</w:t>
      </w:r>
      <w:r>
        <w:rPr>
          <w:sz w:val="22"/>
          <w:szCs w:val="20"/>
        </w:rPr>
        <w:t xml:space="preserve"> ska k</w:t>
      </w:r>
      <w:r w:rsidR="00FA2A3E" w:rsidRPr="00FA2A3E">
        <w:rPr>
          <w:sz w:val="22"/>
          <w:szCs w:val="20"/>
        </w:rPr>
        <w:t>ompensation</w:t>
      </w:r>
      <w:r>
        <w:rPr>
          <w:sz w:val="22"/>
          <w:szCs w:val="20"/>
        </w:rPr>
        <w:t>en</w:t>
      </w:r>
      <w:r w:rsidR="00FA2A3E" w:rsidRPr="00FA2A3E">
        <w:rPr>
          <w:sz w:val="22"/>
          <w:szCs w:val="20"/>
        </w:rPr>
        <w:t xml:space="preserve"> betalas ut skatteårsvis och </w:t>
      </w:r>
      <w:r>
        <w:rPr>
          <w:sz w:val="22"/>
          <w:szCs w:val="20"/>
        </w:rPr>
        <w:t xml:space="preserve">för att den ska baseras på det verkliga </w:t>
      </w:r>
      <w:r w:rsidR="00EC6DDC">
        <w:rPr>
          <w:sz w:val="22"/>
          <w:szCs w:val="20"/>
        </w:rPr>
        <w:t>skatte</w:t>
      </w:r>
      <w:r>
        <w:rPr>
          <w:sz w:val="22"/>
          <w:szCs w:val="20"/>
        </w:rPr>
        <w:t>utfallet föreslås att den beräknas</w:t>
      </w:r>
      <w:r w:rsidR="00FA2A3E" w:rsidRPr="00FA2A3E">
        <w:rPr>
          <w:sz w:val="22"/>
          <w:szCs w:val="20"/>
        </w:rPr>
        <w:t xml:space="preserve"> med uppgifterna om den debiterade skatten som grund. Det betyder alltså att kompensationen för 20</w:t>
      </w:r>
      <w:r w:rsidR="006247D5">
        <w:rPr>
          <w:sz w:val="22"/>
          <w:szCs w:val="20"/>
        </w:rPr>
        <w:t>23</w:t>
      </w:r>
      <w:r w:rsidR="00FA2A3E" w:rsidRPr="00FA2A3E">
        <w:rPr>
          <w:sz w:val="22"/>
          <w:szCs w:val="20"/>
        </w:rPr>
        <w:t xml:space="preserve"> beräknas på basen av beskattningsuppgifterna för det skatteåret. Det innebär i sin tur att den slutliga beräkningen av beloppet inte kan ske förrän beskattningen har slutförts, vilket som regel sker i slutet av oktober året efter skatteåret. Således finns uppgifterna för </w:t>
      </w:r>
      <w:r w:rsidR="00FA2A3E" w:rsidRPr="00FA2A3E">
        <w:rPr>
          <w:sz w:val="22"/>
          <w:szCs w:val="20"/>
        </w:rPr>
        <w:lastRenderedPageBreak/>
        <w:t>skatteåret 20</w:t>
      </w:r>
      <w:r w:rsidR="006247D5">
        <w:rPr>
          <w:sz w:val="22"/>
          <w:szCs w:val="20"/>
        </w:rPr>
        <w:t>23</w:t>
      </w:r>
      <w:r w:rsidR="00FA2A3E" w:rsidRPr="00FA2A3E">
        <w:rPr>
          <w:sz w:val="22"/>
          <w:szCs w:val="20"/>
        </w:rPr>
        <w:t xml:space="preserve"> först i slutet av 20</w:t>
      </w:r>
      <w:r w:rsidR="006247D5">
        <w:rPr>
          <w:sz w:val="22"/>
          <w:szCs w:val="20"/>
        </w:rPr>
        <w:t>24</w:t>
      </w:r>
      <w:r w:rsidR="00FA2A3E" w:rsidRPr="00FA2A3E">
        <w:rPr>
          <w:sz w:val="22"/>
          <w:szCs w:val="20"/>
        </w:rPr>
        <w:t xml:space="preserve"> och kompensationen kan beräknas </w:t>
      </w:r>
      <w:r w:rsidR="00EA01EF">
        <w:rPr>
          <w:sz w:val="22"/>
          <w:szCs w:val="20"/>
        </w:rPr>
        <w:t>och</w:t>
      </w:r>
      <w:r w:rsidR="00FA2A3E" w:rsidRPr="00FA2A3E">
        <w:rPr>
          <w:sz w:val="22"/>
          <w:szCs w:val="20"/>
        </w:rPr>
        <w:t xml:space="preserve"> betalas ut </w:t>
      </w:r>
      <w:r w:rsidR="00EA01EF">
        <w:rPr>
          <w:sz w:val="22"/>
          <w:szCs w:val="20"/>
        </w:rPr>
        <w:t>då eller senast i</w:t>
      </w:r>
      <w:r w:rsidR="00FA2A3E" w:rsidRPr="00FA2A3E">
        <w:rPr>
          <w:sz w:val="22"/>
          <w:szCs w:val="20"/>
        </w:rPr>
        <w:t xml:space="preserve"> början av 202</w:t>
      </w:r>
      <w:r w:rsidR="006247D5">
        <w:rPr>
          <w:sz w:val="22"/>
          <w:szCs w:val="20"/>
        </w:rPr>
        <w:t>5</w:t>
      </w:r>
      <w:r w:rsidR="00FA2A3E" w:rsidRPr="00FA2A3E">
        <w:rPr>
          <w:sz w:val="22"/>
          <w:szCs w:val="20"/>
        </w:rPr>
        <w:t>.</w:t>
      </w:r>
    </w:p>
    <w:p w14:paraId="1FAC9811" w14:textId="77777777" w:rsidR="00FA2A3E" w:rsidRPr="00FA2A3E" w:rsidRDefault="00FA2A3E" w:rsidP="00FA2A3E">
      <w:pPr>
        <w:tabs>
          <w:tab w:val="left" w:pos="283"/>
        </w:tabs>
        <w:jc w:val="both"/>
        <w:rPr>
          <w:sz w:val="22"/>
          <w:szCs w:val="20"/>
        </w:rPr>
      </w:pPr>
      <w:r w:rsidRPr="00FA2A3E">
        <w:rPr>
          <w:sz w:val="22"/>
          <w:szCs w:val="20"/>
        </w:rPr>
        <w:tab/>
        <w:t>Det är svårt att ange en exakt tidpunkt när beskattningsuppgifterna finns tillgängliga. Därför föreslås att kompensationsbeloppet ska beräknas så snart som möjligt efter att uppgifterna har blivit tillgängliga.</w:t>
      </w:r>
    </w:p>
    <w:p w14:paraId="3B5286A3" w14:textId="77777777" w:rsidR="00FA2A3E" w:rsidRPr="00FA2A3E" w:rsidRDefault="00FA2A3E" w:rsidP="00FA2A3E">
      <w:pPr>
        <w:tabs>
          <w:tab w:val="left" w:pos="283"/>
        </w:tabs>
        <w:jc w:val="both"/>
        <w:rPr>
          <w:sz w:val="22"/>
          <w:szCs w:val="20"/>
        </w:rPr>
      </w:pPr>
    </w:p>
    <w:p w14:paraId="6803F979" w14:textId="6CD2E6A8" w:rsidR="00FA2A3E" w:rsidRPr="00FA2A3E" w:rsidRDefault="00FA2A3E" w:rsidP="00FA2A3E">
      <w:pPr>
        <w:tabs>
          <w:tab w:val="left" w:pos="283"/>
        </w:tabs>
        <w:jc w:val="both"/>
        <w:rPr>
          <w:sz w:val="22"/>
          <w:szCs w:val="20"/>
        </w:rPr>
      </w:pPr>
      <w:r w:rsidRPr="00FA2A3E">
        <w:rPr>
          <w:sz w:val="22"/>
          <w:szCs w:val="20"/>
        </w:rPr>
        <w:t>3</w:t>
      </w:r>
      <w:r w:rsidR="001830FE">
        <w:rPr>
          <w:sz w:val="22"/>
          <w:szCs w:val="20"/>
        </w:rPr>
        <w:t> §</w:t>
      </w:r>
      <w:r w:rsidRPr="00FA2A3E">
        <w:rPr>
          <w:sz w:val="22"/>
          <w:szCs w:val="20"/>
        </w:rPr>
        <w:t xml:space="preserve"> </w:t>
      </w:r>
      <w:r w:rsidRPr="00FA2A3E">
        <w:rPr>
          <w:i/>
          <w:iCs/>
          <w:sz w:val="22"/>
          <w:szCs w:val="20"/>
        </w:rPr>
        <w:t>Förskott.</w:t>
      </w:r>
      <w:r w:rsidRPr="00FA2A3E">
        <w:rPr>
          <w:sz w:val="22"/>
          <w:szCs w:val="20"/>
        </w:rPr>
        <w:t xml:space="preserve"> För att hantera den eftersläpning som är följden av att kompensationen </w:t>
      </w:r>
      <w:r w:rsidR="00EC6DDC">
        <w:rPr>
          <w:sz w:val="22"/>
          <w:szCs w:val="20"/>
        </w:rPr>
        <w:t>baseras på</w:t>
      </w:r>
      <w:r w:rsidRPr="00FA2A3E">
        <w:rPr>
          <w:sz w:val="22"/>
          <w:szCs w:val="20"/>
        </w:rPr>
        <w:t xml:space="preserve"> det verkliga skatteutfallet, föreslås ett system där kompensationen betalas ut i förskott under det aktuella skatteåret för att sedan justeras slutligt när de faktiska uppgifterna finns tillgängliga.</w:t>
      </w:r>
    </w:p>
    <w:p w14:paraId="0D3CC9C1" w14:textId="30CBD801" w:rsidR="00F739CF" w:rsidRDefault="00FA2A3E" w:rsidP="00FA2A3E">
      <w:pPr>
        <w:tabs>
          <w:tab w:val="left" w:pos="283"/>
        </w:tabs>
        <w:jc w:val="both"/>
        <w:rPr>
          <w:sz w:val="22"/>
          <w:szCs w:val="20"/>
        </w:rPr>
      </w:pPr>
      <w:r w:rsidRPr="00FA2A3E">
        <w:rPr>
          <w:sz w:val="22"/>
          <w:szCs w:val="20"/>
        </w:rPr>
        <w:tab/>
        <w:t xml:space="preserve">Det föreslagna förfarandet utgår från det som tidigare </w:t>
      </w:r>
      <w:r w:rsidR="00EA01EF" w:rsidRPr="00FA2A3E">
        <w:rPr>
          <w:sz w:val="22"/>
          <w:szCs w:val="20"/>
        </w:rPr>
        <w:t xml:space="preserve">tillämpades </w:t>
      </w:r>
      <w:r w:rsidRPr="00FA2A3E">
        <w:rPr>
          <w:sz w:val="22"/>
          <w:szCs w:val="20"/>
        </w:rPr>
        <w:t>när det gällde kompensation</w:t>
      </w:r>
      <w:r w:rsidR="0005772E">
        <w:rPr>
          <w:sz w:val="22"/>
          <w:szCs w:val="20"/>
        </w:rPr>
        <w:t>erna</w:t>
      </w:r>
      <w:r w:rsidRPr="00FA2A3E">
        <w:rPr>
          <w:sz w:val="22"/>
          <w:szCs w:val="20"/>
        </w:rPr>
        <w:t xml:space="preserve"> för det allmänna avdraget </w:t>
      </w:r>
      <w:r w:rsidR="00AF4DA5">
        <w:rPr>
          <w:sz w:val="22"/>
          <w:szCs w:val="20"/>
        </w:rPr>
        <w:t>samt</w:t>
      </w:r>
      <w:r w:rsidR="0005772E">
        <w:rPr>
          <w:sz w:val="22"/>
          <w:szCs w:val="20"/>
        </w:rPr>
        <w:t xml:space="preserve"> för arbets- och pensionsinkomstavdraget</w:t>
      </w:r>
      <w:r w:rsidRPr="00FA2A3E">
        <w:rPr>
          <w:sz w:val="22"/>
          <w:szCs w:val="20"/>
        </w:rPr>
        <w:t>. Beräkningen av förskottsbeloppet baserade sig då på utfallet av tidigare beskattning, vilket även föreslås för den nu aktuella kompensationen. Eftersom det verkliga utfallet blir känt först när beskattningen är slutförd är det naturliga att man utgår från den senast slutförda beskattningen. Det skulle betyda att det förskott som betalas ut under 20</w:t>
      </w:r>
      <w:r w:rsidR="0005772E">
        <w:rPr>
          <w:sz w:val="22"/>
          <w:szCs w:val="20"/>
        </w:rPr>
        <w:t>23</w:t>
      </w:r>
      <w:r w:rsidRPr="00FA2A3E">
        <w:rPr>
          <w:sz w:val="22"/>
          <w:szCs w:val="20"/>
        </w:rPr>
        <w:t xml:space="preserve"> beräknas på basen av uppgifterna i beskattningen för skatteåret 20</w:t>
      </w:r>
      <w:r w:rsidR="0005772E">
        <w:rPr>
          <w:sz w:val="22"/>
          <w:szCs w:val="20"/>
        </w:rPr>
        <w:t>21</w:t>
      </w:r>
      <w:r w:rsidRPr="00FA2A3E">
        <w:rPr>
          <w:sz w:val="22"/>
          <w:szCs w:val="20"/>
        </w:rPr>
        <w:t>. När förskottsbeloppen för 20</w:t>
      </w:r>
      <w:r w:rsidR="0005772E">
        <w:rPr>
          <w:sz w:val="22"/>
          <w:szCs w:val="20"/>
        </w:rPr>
        <w:t>23</w:t>
      </w:r>
      <w:r w:rsidRPr="00FA2A3E">
        <w:rPr>
          <w:sz w:val="22"/>
          <w:szCs w:val="20"/>
        </w:rPr>
        <w:t xml:space="preserve"> och 20</w:t>
      </w:r>
      <w:r w:rsidR="0005772E">
        <w:rPr>
          <w:sz w:val="22"/>
          <w:szCs w:val="20"/>
        </w:rPr>
        <w:t>24</w:t>
      </w:r>
      <w:r w:rsidRPr="00FA2A3E">
        <w:rPr>
          <w:sz w:val="22"/>
          <w:szCs w:val="20"/>
        </w:rPr>
        <w:t xml:space="preserve"> ska beräknas ingår inte </w:t>
      </w:r>
      <w:r w:rsidR="0005772E">
        <w:rPr>
          <w:sz w:val="22"/>
          <w:szCs w:val="20"/>
        </w:rPr>
        <w:t xml:space="preserve">de </w:t>
      </w:r>
      <w:r w:rsidR="00D67F86">
        <w:rPr>
          <w:sz w:val="22"/>
          <w:szCs w:val="20"/>
        </w:rPr>
        <w:t xml:space="preserve">nu aktuella </w:t>
      </w:r>
      <w:r w:rsidR="0005772E">
        <w:rPr>
          <w:sz w:val="22"/>
          <w:szCs w:val="20"/>
        </w:rPr>
        <w:t>höjning</w:t>
      </w:r>
      <w:r w:rsidR="00D67F86">
        <w:rPr>
          <w:sz w:val="22"/>
          <w:szCs w:val="20"/>
        </w:rPr>
        <w:t xml:space="preserve">arna av resekostnadsavdraget och grundavdraget </w:t>
      </w:r>
      <w:r w:rsidRPr="00FA2A3E">
        <w:rPr>
          <w:sz w:val="22"/>
          <w:szCs w:val="20"/>
        </w:rPr>
        <w:t xml:space="preserve">i den senast slutförda beskattningen. Därför </w:t>
      </w:r>
      <w:r w:rsidR="00F739CF">
        <w:rPr>
          <w:sz w:val="22"/>
          <w:szCs w:val="20"/>
        </w:rPr>
        <w:t xml:space="preserve">måste </w:t>
      </w:r>
      <w:r w:rsidR="00F739CF" w:rsidRPr="00FA2A3E">
        <w:rPr>
          <w:sz w:val="22"/>
          <w:szCs w:val="20"/>
        </w:rPr>
        <w:t>landskapsregeringen kunna beakta förändringar som skett efter att den senast slutförda beskattningen verkställdes</w:t>
      </w:r>
      <w:r w:rsidR="00F739CF">
        <w:rPr>
          <w:sz w:val="22"/>
          <w:szCs w:val="20"/>
        </w:rPr>
        <w:t xml:space="preserve">. </w:t>
      </w:r>
      <w:r w:rsidR="00F739CF" w:rsidRPr="00FA2A3E">
        <w:rPr>
          <w:sz w:val="22"/>
          <w:szCs w:val="20"/>
        </w:rPr>
        <w:t>Dessutom</w:t>
      </w:r>
      <w:r w:rsidR="00F739CF" w:rsidRPr="00F739CF">
        <w:rPr>
          <w:sz w:val="22"/>
          <w:szCs w:val="20"/>
        </w:rPr>
        <w:t xml:space="preserve"> </w:t>
      </w:r>
      <w:r w:rsidR="00F739CF">
        <w:rPr>
          <w:sz w:val="22"/>
          <w:szCs w:val="20"/>
        </w:rPr>
        <w:t>behöver</w:t>
      </w:r>
      <w:r w:rsidR="00F739CF" w:rsidRPr="00FA2A3E">
        <w:rPr>
          <w:sz w:val="22"/>
          <w:szCs w:val="20"/>
        </w:rPr>
        <w:t xml:space="preserve"> även tidigare beskattning kunna beaktas, vilket även gäller beräkningen av förskott senare när det kan vara ändamålsenligt att kunna ta hänsyn till </w:t>
      </w:r>
      <w:r w:rsidR="00F739CF">
        <w:rPr>
          <w:sz w:val="22"/>
          <w:szCs w:val="20"/>
        </w:rPr>
        <w:t>hur avdragen har förändrats över tid</w:t>
      </w:r>
      <w:r w:rsidR="00F739CF" w:rsidRPr="00FA2A3E">
        <w:rPr>
          <w:sz w:val="22"/>
          <w:szCs w:val="20"/>
        </w:rPr>
        <w:t>.</w:t>
      </w:r>
      <w:r w:rsidR="00F739CF" w:rsidRPr="00F739CF">
        <w:rPr>
          <w:sz w:val="22"/>
          <w:szCs w:val="20"/>
        </w:rPr>
        <w:t xml:space="preserve"> </w:t>
      </w:r>
      <w:r w:rsidR="00F739CF" w:rsidRPr="00FA2A3E">
        <w:rPr>
          <w:sz w:val="22"/>
          <w:szCs w:val="20"/>
        </w:rPr>
        <w:t>Det kan till exempel röra sig om ändringar av andra avdrag eller övriga förändringar i skattesystemet som bedöms kunna påverka den slutliga kompensationens storlek.</w:t>
      </w:r>
    </w:p>
    <w:p w14:paraId="7287B26A" w14:textId="77777777" w:rsidR="00FA2A3E" w:rsidRPr="00FA2A3E" w:rsidRDefault="00FA2A3E" w:rsidP="00FA2A3E">
      <w:pPr>
        <w:tabs>
          <w:tab w:val="left" w:pos="283"/>
        </w:tabs>
        <w:jc w:val="both"/>
        <w:rPr>
          <w:sz w:val="22"/>
          <w:szCs w:val="20"/>
        </w:rPr>
      </w:pPr>
    </w:p>
    <w:p w14:paraId="5AD470D6" w14:textId="71E7BEAD" w:rsidR="00FA2A3E" w:rsidRPr="00FA2A3E" w:rsidRDefault="00FA2A3E" w:rsidP="00FA2A3E">
      <w:pPr>
        <w:tabs>
          <w:tab w:val="left" w:pos="283"/>
        </w:tabs>
        <w:jc w:val="both"/>
        <w:rPr>
          <w:sz w:val="22"/>
          <w:szCs w:val="20"/>
        </w:rPr>
      </w:pPr>
      <w:r w:rsidRPr="00FA2A3E">
        <w:rPr>
          <w:sz w:val="22"/>
          <w:szCs w:val="20"/>
        </w:rPr>
        <w:t>4</w:t>
      </w:r>
      <w:r w:rsidR="001830FE">
        <w:rPr>
          <w:sz w:val="22"/>
          <w:szCs w:val="20"/>
        </w:rPr>
        <w:t> §</w:t>
      </w:r>
      <w:r w:rsidRPr="00FA2A3E">
        <w:rPr>
          <w:sz w:val="22"/>
          <w:szCs w:val="20"/>
        </w:rPr>
        <w:t xml:space="preserve"> A</w:t>
      </w:r>
      <w:r w:rsidRPr="00FA2A3E">
        <w:rPr>
          <w:i/>
          <w:iCs/>
          <w:sz w:val="22"/>
          <w:szCs w:val="20"/>
        </w:rPr>
        <w:t>vräkning.</w:t>
      </w:r>
      <w:r w:rsidRPr="00FA2A3E">
        <w:rPr>
          <w:sz w:val="22"/>
          <w:szCs w:val="20"/>
        </w:rPr>
        <w:t xml:space="preserve"> Som tidigare nämnts innebär det sannolikt att den slutliga kompensationen för skatteåret 20</w:t>
      </w:r>
      <w:r w:rsidR="00F739CF">
        <w:rPr>
          <w:sz w:val="22"/>
          <w:szCs w:val="20"/>
        </w:rPr>
        <w:t>23</w:t>
      </w:r>
      <w:r w:rsidRPr="00FA2A3E">
        <w:rPr>
          <w:sz w:val="22"/>
          <w:szCs w:val="20"/>
        </w:rPr>
        <w:t xml:space="preserve"> kan fastställas i slutet av 20</w:t>
      </w:r>
      <w:r w:rsidR="00F739CF">
        <w:rPr>
          <w:sz w:val="22"/>
          <w:szCs w:val="20"/>
        </w:rPr>
        <w:t>24</w:t>
      </w:r>
      <w:r w:rsidRPr="00FA2A3E">
        <w:rPr>
          <w:sz w:val="22"/>
          <w:szCs w:val="20"/>
        </w:rPr>
        <w:t xml:space="preserve"> eller i början av 202</w:t>
      </w:r>
      <w:r w:rsidR="00F739CF">
        <w:rPr>
          <w:sz w:val="22"/>
          <w:szCs w:val="20"/>
        </w:rPr>
        <w:t>5</w:t>
      </w:r>
      <w:r w:rsidRPr="00FA2A3E">
        <w:rPr>
          <w:sz w:val="22"/>
          <w:szCs w:val="20"/>
        </w:rPr>
        <w:t>. En avräkning sker då mellan förskottsbeloppet och det verkliga kompensationsbeloppet. Skillnaden justeras sedan i samband med utbetalningen av nästa förskottsbelopp. Avräkningen för skatteåret 20</w:t>
      </w:r>
      <w:r w:rsidR="00F739CF">
        <w:rPr>
          <w:sz w:val="22"/>
          <w:szCs w:val="20"/>
        </w:rPr>
        <w:t>23</w:t>
      </w:r>
      <w:r w:rsidRPr="00FA2A3E">
        <w:rPr>
          <w:sz w:val="22"/>
          <w:szCs w:val="20"/>
        </w:rPr>
        <w:t xml:space="preserve"> skulle således ske i samband med utbetalningen av förskott för skatteåret 202</w:t>
      </w:r>
      <w:r w:rsidR="00F739CF">
        <w:rPr>
          <w:sz w:val="22"/>
          <w:szCs w:val="20"/>
        </w:rPr>
        <w:t>5</w:t>
      </w:r>
      <w:r w:rsidRPr="00FA2A3E">
        <w:rPr>
          <w:sz w:val="22"/>
          <w:szCs w:val="20"/>
        </w:rPr>
        <w:t>.</w:t>
      </w:r>
    </w:p>
    <w:p w14:paraId="22F9A3FA" w14:textId="77777777" w:rsidR="00FA2A3E" w:rsidRPr="00FA2A3E" w:rsidRDefault="00FA2A3E" w:rsidP="00FA2A3E">
      <w:pPr>
        <w:tabs>
          <w:tab w:val="left" w:pos="283"/>
        </w:tabs>
        <w:jc w:val="both"/>
        <w:rPr>
          <w:sz w:val="22"/>
          <w:szCs w:val="20"/>
        </w:rPr>
      </w:pPr>
    </w:p>
    <w:p w14:paraId="4FA6099E" w14:textId="628AF898" w:rsidR="00FA2A3E" w:rsidRPr="00FA2A3E" w:rsidRDefault="00FA2A3E" w:rsidP="00FA2A3E">
      <w:pPr>
        <w:tabs>
          <w:tab w:val="left" w:pos="283"/>
        </w:tabs>
        <w:jc w:val="both"/>
        <w:rPr>
          <w:sz w:val="22"/>
          <w:szCs w:val="20"/>
        </w:rPr>
      </w:pPr>
      <w:r w:rsidRPr="00FA2A3E">
        <w:rPr>
          <w:sz w:val="22"/>
          <w:szCs w:val="20"/>
        </w:rPr>
        <w:t>5</w:t>
      </w:r>
      <w:r w:rsidR="001830FE">
        <w:rPr>
          <w:sz w:val="22"/>
          <w:szCs w:val="20"/>
        </w:rPr>
        <w:t> §</w:t>
      </w:r>
      <w:r w:rsidRPr="00FA2A3E">
        <w:rPr>
          <w:sz w:val="22"/>
          <w:szCs w:val="20"/>
        </w:rPr>
        <w:t xml:space="preserve"> </w:t>
      </w:r>
      <w:r w:rsidRPr="00FA2A3E">
        <w:rPr>
          <w:i/>
          <w:iCs/>
          <w:sz w:val="22"/>
          <w:szCs w:val="20"/>
        </w:rPr>
        <w:t>Ikraftträdande.</w:t>
      </w:r>
      <w:r w:rsidRPr="00FA2A3E">
        <w:rPr>
          <w:sz w:val="22"/>
          <w:szCs w:val="20"/>
        </w:rPr>
        <w:t xml:space="preserve"> </w:t>
      </w:r>
      <w:r w:rsidR="001C7134">
        <w:rPr>
          <w:sz w:val="22"/>
          <w:szCs w:val="20"/>
        </w:rPr>
        <w:t>Enligt förslaget ska kompensationen för förlust av skatteintäkter som orsakas av resekostnadsavdraget och grundavdraget betalas till kommunerna från och med skatteåret 2023. Lagen kommer inte att hinna träda i kraft till ingången av 2023</w:t>
      </w:r>
      <w:r w:rsidR="00AF4DA5">
        <w:rPr>
          <w:sz w:val="22"/>
          <w:szCs w:val="20"/>
        </w:rPr>
        <w:t>,</w:t>
      </w:r>
      <w:r w:rsidR="001C7134">
        <w:rPr>
          <w:sz w:val="22"/>
          <w:szCs w:val="20"/>
        </w:rPr>
        <w:t xml:space="preserve"> </w:t>
      </w:r>
      <w:r w:rsidR="00AF4DA5">
        <w:rPr>
          <w:sz w:val="22"/>
          <w:szCs w:val="20"/>
        </w:rPr>
        <w:t>d</w:t>
      </w:r>
      <w:r w:rsidR="001C7134">
        <w:rPr>
          <w:sz w:val="22"/>
          <w:szCs w:val="20"/>
        </w:rPr>
        <w:t>atum för ikraftträdande lämnas</w:t>
      </w:r>
      <w:r w:rsidR="00AF4DA5">
        <w:rPr>
          <w:sz w:val="22"/>
          <w:szCs w:val="20"/>
        </w:rPr>
        <w:t xml:space="preserve"> därför</w:t>
      </w:r>
      <w:r w:rsidR="001C7134">
        <w:rPr>
          <w:sz w:val="22"/>
          <w:szCs w:val="20"/>
        </w:rPr>
        <w:t xml:space="preserve"> öppet så att lagen kan sättas i kraft så snart som möjligt efter att den genomgått lagstiftningskontroll. Efter ikraftträdandet ska förskottet på kompensationen för skatteåret 2023 betala ut så fort som möjligt.</w:t>
      </w:r>
    </w:p>
    <w:p w14:paraId="678130A5" w14:textId="77777777" w:rsidR="00AF3004" w:rsidRDefault="00AF3004">
      <w:pPr>
        <w:pStyle w:val="ANormal"/>
      </w:pPr>
    </w:p>
    <w:p w14:paraId="62340859" w14:textId="77777777" w:rsidR="00AF3004" w:rsidRDefault="00AF3004">
      <w:pPr>
        <w:pStyle w:val="RubrikA"/>
      </w:pPr>
      <w:r>
        <w:br w:type="page"/>
      </w:r>
      <w:bookmarkStart w:id="10" w:name="_Toc120783017"/>
      <w:r>
        <w:lastRenderedPageBreak/>
        <w:t>Lagtext</w:t>
      </w:r>
      <w:bookmarkEnd w:id="10"/>
    </w:p>
    <w:p w14:paraId="01313972" w14:textId="77777777" w:rsidR="00AF3004" w:rsidRDefault="00AF3004">
      <w:pPr>
        <w:pStyle w:val="Rubrikmellanrum"/>
      </w:pPr>
    </w:p>
    <w:p w14:paraId="5875683C" w14:textId="77777777" w:rsidR="00AF3004" w:rsidRDefault="00AF3004">
      <w:pPr>
        <w:pStyle w:val="ANormal"/>
      </w:pPr>
      <w:r>
        <w:t>Landskapsregeringen föreslår att följande lag antas.</w:t>
      </w:r>
    </w:p>
    <w:p w14:paraId="2B2CAAE1" w14:textId="77777777" w:rsidR="00AF3004" w:rsidRDefault="00AF3004">
      <w:pPr>
        <w:pStyle w:val="ANormal"/>
      </w:pPr>
    </w:p>
    <w:p w14:paraId="017F12D2" w14:textId="251F421F" w:rsidR="00720207" w:rsidRPr="00720207" w:rsidRDefault="00720207" w:rsidP="00A54CA1">
      <w:pPr>
        <w:pStyle w:val="LagHuvRubr"/>
        <w:rPr>
          <w:b w:val="0"/>
          <w:bCs w:val="0"/>
        </w:rPr>
      </w:pPr>
      <w:bookmarkStart w:id="11" w:name="_Toc497989375"/>
      <w:bookmarkStart w:id="12" w:name="_Toc120783018"/>
      <w:r w:rsidRPr="00720207">
        <w:t>L A N D S K A P S L A G</w:t>
      </w:r>
      <w:r w:rsidRPr="00720207">
        <w:br/>
        <w:t xml:space="preserve">om kompensation till </w:t>
      </w:r>
      <w:r w:rsidRPr="00A54CA1">
        <w:rPr>
          <w:lang w:val="sv-FI"/>
        </w:rPr>
        <w:t>kommunerna</w:t>
      </w:r>
      <w:r w:rsidRPr="00720207">
        <w:t xml:space="preserve"> för </w:t>
      </w:r>
      <w:r w:rsidR="00EC6DDC">
        <w:t xml:space="preserve">förlust av skatteintäkter på grund av </w:t>
      </w:r>
      <w:r>
        <w:t xml:space="preserve">vissa </w:t>
      </w:r>
      <w:r w:rsidRPr="00720207">
        <w:t>avdrag</w:t>
      </w:r>
      <w:bookmarkEnd w:id="11"/>
      <w:bookmarkEnd w:id="12"/>
    </w:p>
    <w:p w14:paraId="0301A1B0" w14:textId="77777777" w:rsidR="00720207" w:rsidRPr="00720207" w:rsidRDefault="00720207" w:rsidP="00720207">
      <w:pPr>
        <w:tabs>
          <w:tab w:val="left" w:pos="283"/>
        </w:tabs>
        <w:jc w:val="both"/>
        <w:rPr>
          <w:sz w:val="22"/>
          <w:szCs w:val="20"/>
        </w:rPr>
      </w:pPr>
    </w:p>
    <w:p w14:paraId="70A49488" w14:textId="77777777" w:rsidR="00720207" w:rsidRPr="00720207" w:rsidRDefault="00720207" w:rsidP="00720207">
      <w:pPr>
        <w:tabs>
          <w:tab w:val="left" w:pos="283"/>
        </w:tabs>
        <w:jc w:val="both"/>
        <w:rPr>
          <w:sz w:val="22"/>
          <w:szCs w:val="20"/>
        </w:rPr>
      </w:pPr>
      <w:r w:rsidRPr="00720207">
        <w:rPr>
          <w:sz w:val="22"/>
          <w:szCs w:val="20"/>
        </w:rPr>
        <w:tab/>
        <w:t>I enlighet med lagtingets beslut föreskrivs:</w:t>
      </w:r>
    </w:p>
    <w:p w14:paraId="74E32890" w14:textId="77777777" w:rsidR="00720207" w:rsidRPr="00720207" w:rsidRDefault="00720207" w:rsidP="00720207">
      <w:pPr>
        <w:tabs>
          <w:tab w:val="left" w:pos="283"/>
        </w:tabs>
        <w:jc w:val="both"/>
        <w:rPr>
          <w:sz w:val="22"/>
          <w:szCs w:val="20"/>
        </w:rPr>
      </w:pPr>
    </w:p>
    <w:p w14:paraId="49981745" w14:textId="35007D10" w:rsidR="00720207" w:rsidRPr="00720207" w:rsidRDefault="00720207" w:rsidP="00720207">
      <w:pPr>
        <w:keepNext/>
        <w:keepLines/>
        <w:tabs>
          <w:tab w:val="left" w:pos="283"/>
        </w:tabs>
        <w:suppressAutoHyphens/>
        <w:jc w:val="center"/>
        <w:rPr>
          <w:sz w:val="22"/>
          <w:szCs w:val="20"/>
        </w:rPr>
      </w:pPr>
      <w:r w:rsidRPr="00720207">
        <w:rPr>
          <w:sz w:val="22"/>
          <w:szCs w:val="20"/>
        </w:rPr>
        <w:t>1</w:t>
      </w:r>
      <w:r w:rsidR="001830FE">
        <w:rPr>
          <w:sz w:val="22"/>
          <w:szCs w:val="20"/>
        </w:rPr>
        <w:t> §</w:t>
      </w:r>
    </w:p>
    <w:p w14:paraId="6AC18EC0" w14:textId="77777777" w:rsidR="00720207" w:rsidRPr="00720207" w:rsidRDefault="00720207" w:rsidP="00720207">
      <w:pPr>
        <w:keepNext/>
        <w:keepLines/>
        <w:tabs>
          <w:tab w:val="left" w:pos="283"/>
        </w:tabs>
        <w:suppressAutoHyphens/>
        <w:jc w:val="center"/>
        <w:rPr>
          <w:i/>
          <w:iCs/>
          <w:sz w:val="22"/>
          <w:szCs w:val="20"/>
        </w:rPr>
      </w:pPr>
      <w:r w:rsidRPr="00720207">
        <w:rPr>
          <w:i/>
          <w:iCs/>
          <w:sz w:val="22"/>
          <w:szCs w:val="20"/>
        </w:rPr>
        <w:t>Kompensation för förlust av skatteintäkter</w:t>
      </w:r>
    </w:p>
    <w:p w14:paraId="2FC381AC" w14:textId="318E4226" w:rsidR="00DC6BB9" w:rsidRDefault="00720207" w:rsidP="00720207">
      <w:pPr>
        <w:tabs>
          <w:tab w:val="left" w:pos="283"/>
        </w:tabs>
        <w:jc w:val="both"/>
        <w:rPr>
          <w:sz w:val="22"/>
          <w:szCs w:val="20"/>
        </w:rPr>
      </w:pPr>
      <w:r w:rsidRPr="00720207">
        <w:rPr>
          <w:sz w:val="22"/>
          <w:szCs w:val="20"/>
        </w:rPr>
        <w:tab/>
        <w:t>Landskapsregeringen betalar kompensation till kommun</w:t>
      </w:r>
      <w:r>
        <w:rPr>
          <w:sz w:val="22"/>
          <w:szCs w:val="20"/>
        </w:rPr>
        <w:t>erna</w:t>
      </w:r>
      <w:r w:rsidRPr="00720207">
        <w:rPr>
          <w:sz w:val="22"/>
          <w:szCs w:val="20"/>
        </w:rPr>
        <w:t xml:space="preserve"> för </w:t>
      </w:r>
      <w:r w:rsidR="00AA5224">
        <w:rPr>
          <w:sz w:val="22"/>
          <w:szCs w:val="20"/>
        </w:rPr>
        <w:t xml:space="preserve">den </w:t>
      </w:r>
      <w:r w:rsidRPr="00720207">
        <w:rPr>
          <w:sz w:val="22"/>
          <w:szCs w:val="20"/>
        </w:rPr>
        <w:t>förlust av skatteintäkter som orsaka</w:t>
      </w:r>
      <w:r w:rsidR="00694827">
        <w:rPr>
          <w:sz w:val="22"/>
          <w:szCs w:val="20"/>
        </w:rPr>
        <w:t>s</w:t>
      </w:r>
      <w:r w:rsidRPr="00720207">
        <w:rPr>
          <w:sz w:val="22"/>
          <w:szCs w:val="20"/>
        </w:rPr>
        <w:t xml:space="preserve"> av </w:t>
      </w:r>
      <w:r w:rsidR="00DC6BB9">
        <w:rPr>
          <w:sz w:val="22"/>
          <w:szCs w:val="20"/>
        </w:rPr>
        <w:t xml:space="preserve">följande avdrag i </w:t>
      </w:r>
      <w:r w:rsidR="00DC6BB9" w:rsidRPr="00720207">
        <w:rPr>
          <w:sz w:val="22"/>
          <w:szCs w:val="20"/>
        </w:rPr>
        <w:t>kommunalskattelagen (2011:119) för landskapet Åland</w:t>
      </w:r>
      <w:r w:rsidR="00DC6BB9">
        <w:rPr>
          <w:sz w:val="22"/>
          <w:szCs w:val="20"/>
        </w:rPr>
        <w:t>:</w:t>
      </w:r>
    </w:p>
    <w:p w14:paraId="2347B484" w14:textId="70615894" w:rsidR="00A25FBB" w:rsidRDefault="00DC6BB9" w:rsidP="00720207">
      <w:pPr>
        <w:tabs>
          <w:tab w:val="left" w:pos="283"/>
        </w:tabs>
        <w:jc w:val="both"/>
        <w:rPr>
          <w:sz w:val="22"/>
          <w:szCs w:val="20"/>
        </w:rPr>
      </w:pPr>
      <w:r>
        <w:rPr>
          <w:sz w:val="22"/>
          <w:szCs w:val="20"/>
        </w:rPr>
        <w:tab/>
        <w:t xml:space="preserve">1) </w:t>
      </w:r>
      <w:r w:rsidR="00720207">
        <w:rPr>
          <w:sz w:val="22"/>
          <w:szCs w:val="20"/>
        </w:rPr>
        <w:t xml:space="preserve">resekostnadsavdraget från förvärvsinkomsten </w:t>
      </w:r>
      <w:r w:rsidR="00500E3A">
        <w:rPr>
          <w:sz w:val="22"/>
          <w:szCs w:val="20"/>
        </w:rPr>
        <w:t>enligt</w:t>
      </w:r>
      <w:r w:rsidR="00A25FBB" w:rsidRPr="00720207">
        <w:rPr>
          <w:sz w:val="22"/>
          <w:szCs w:val="20"/>
        </w:rPr>
        <w:t xml:space="preserve"> </w:t>
      </w:r>
      <w:r w:rsidR="00A25FBB">
        <w:rPr>
          <w:sz w:val="22"/>
          <w:szCs w:val="20"/>
        </w:rPr>
        <w:t>10</w:t>
      </w:r>
      <w:r w:rsidR="001830FE">
        <w:rPr>
          <w:sz w:val="22"/>
          <w:szCs w:val="20"/>
        </w:rPr>
        <w:t> §</w:t>
      </w:r>
    </w:p>
    <w:p w14:paraId="1E8E500B" w14:textId="086FC1E7" w:rsidR="00720207" w:rsidRPr="00720207" w:rsidRDefault="00A25FBB" w:rsidP="00720207">
      <w:pPr>
        <w:tabs>
          <w:tab w:val="left" w:pos="283"/>
        </w:tabs>
        <w:jc w:val="both"/>
        <w:rPr>
          <w:sz w:val="22"/>
          <w:szCs w:val="20"/>
        </w:rPr>
      </w:pPr>
      <w:r>
        <w:rPr>
          <w:sz w:val="22"/>
          <w:szCs w:val="20"/>
        </w:rPr>
        <w:tab/>
        <w:t xml:space="preserve">2) </w:t>
      </w:r>
      <w:r w:rsidR="00720207">
        <w:rPr>
          <w:sz w:val="22"/>
          <w:szCs w:val="20"/>
        </w:rPr>
        <w:t>grundavdraget</w:t>
      </w:r>
      <w:r w:rsidR="00720207" w:rsidRPr="00720207">
        <w:rPr>
          <w:sz w:val="22"/>
          <w:szCs w:val="20"/>
        </w:rPr>
        <w:t xml:space="preserve"> </w:t>
      </w:r>
      <w:r w:rsidR="00500E3A">
        <w:rPr>
          <w:sz w:val="22"/>
          <w:szCs w:val="20"/>
        </w:rPr>
        <w:t>enligt</w:t>
      </w:r>
      <w:r w:rsidR="00720207" w:rsidRPr="00720207">
        <w:rPr>
          <w:sz w:val="22"/>
          <w:szCs w:val="20"/>
        </w:rPr>
        <w:t xml:space="preserve"> 2</w:t>
      </w:r>
      <w:r w:rsidR="00720207">
        <w:rPr>
          <w:sz w:val="22"/>
          <w:szCs w:val="20"/>
        </w:rPr>
        <w:t>3</w:t>
      </w:r>
      <w:r w:rsidR="001830FE">
        <w:rPr>
          <w:sz w:val="22"/>
          <w:szCs w:val="20"/>
        </w:rPr>
        <w:t> §</w:t>
      </w:r>
      <w:r w:rsidR="00720207" w:rsidRPr="00720207">
        <w:rPr>
          <w:sz w:val="22"/>
          <w:szCs w:val="20"/>
        </w:rPr>
        <w:t>.</w:t>
      </w:r>
    </w:p>
    <w:p w14:paraId="54A165E0" w14:textId="77777777" w:rsidR="00720207" w:rsidRPr="00720207" w:rsidRDefault="00720207" w:rsidP="00720207">
      <w:pPr>
        <w:tabs>
          <w:tab w:val="left" w:pos="283"/>
        </w:tabs>
        <w:jc w:val="both"/>
        <w:rPr>
          <w:sz w:val="22"/>
          <w:szCs w:val="20"/>
        </w:rPr>
      </w:pPr>
    </w:p>
    <w:p w14:paraId="4ECE1ED6" w14:textId="382D7472" w:rsidR="00720207" w:rsidRPr="00720207" w:rsidRDefault="00720207" w:rsidP="00720207">
      <w:pPr>
        <w:keepNext/>
        <w:keepLines/>
        <w:tabs>
          <w:tab w:val="left" w:pos="283"/>
        </w:tabs>
        <w:suppressAutoHyphens/>
        <w:jc w:val="center"/>
        <w:rPr>
          <w:sz w:val="22"/>
          <w:szCs w:val="20"/>
        </w:rPr>
      </w:pPr>
      <w:r w:rsidRPr="00720207">
        <w:rPr>
          <w:sz w:val="22"/>
          <w:szCs w:val="20"/>
        </w:rPr>
        <w:t>2</w:t>
      </w:r>
      <w:r w:rsidR="001830FE">
        <w:rPr>
          <w:sz w:val="22"/>
          <w:szCs w:val="20"/>
        </w:rPr>
        <w:t> §</w:t>
      </w:r>
    </w:p>
    <w:p w14:paraId="5481D720" w14:textId="77777777" w:rsidR="00720207" w:rsidRPr="00720207" w:rsidRDefault="00720207" w:rsidP="00720207">
      <w:pPr>
        <w:keepNext/>
        <w:keepLines/>
        <w:tabs>
          <w:tab w:val="left" w:pos="283"/>
        </w:tabs>
        <w:suppressAutoHyphens/>
        <w:jc w:val="center"/>
        <w:rPr>
          <w:i/>
          <w:iCs/>
          <w:sz w:val="22"/>
          <w:szCs w:val="20"/>
        </w:rPr>
      </w:pPr>
      <w:r w:rsidRPr="00720207">
        <w:rPr>
          <w:i/>
          <w:iCs/>
          <w:sz w:val="22"/>
          <w:szCs w:val="20"/>
        </w:rPr>
        <w:t>Kompensationsbelopp</w:t>
      </w:r>
    </w:p>
    <w:p w14:paraId="0C94D5AD" w14:textId="097988D3" w:rsidR="00692716" w:rsidRDefault="00720207" w:rsidP="00720207">
      <w:pPr>
        <w:tabs>
          <w:tab w:val="left" w:pos="283"/>
        </w:tabs>
        <w:jc w:val="both"/>
        <w:rPr>
          <w:sz w:val="22"/>
          <w:szCs w:val="20"/>
        </w:rPr>
      </w:pPr>
      <w:r w:rsidRPr="00720207">
        <w:rPr>
          <w:sz w:val="22"/>
          <w:szCs w:val="20"/>
        </w:rPr>
        <w:tab/>
      </w:r>
      <w:r w:rsidR="0041593A" w:rsidRPr="00720207">
        <w:rPr>
          <w:sz w:val="22"/>
          <w:szCs w:val="20"/>
        </w:rPr>
        <w:t xml:space="preserve">Kompensationsbeloppet </w:t>
      </w:r>
      <w:r w:rsidR="0041593A">
        <w:rPr>
          <w:sz w:val="22"/>
          <w:szCs w:val="20"/>
        </w:rPr>
        <w:t>utgör 70</w:t>
      </w:r>
      <w:r w:rsidR="001830FE">
        <w:rPr>
          <w:sz w:val="22"/>
          <w:szCs w:val="20"/>
        </w:rPr>
        <w:t xml:space="preserve"> </w:t>
      </w:r>
      <w:r w:rsidR="0041593A">
        <w:rPr>
          <w:sz w:val="22"/>
          <w:szCs w:val="20"/>
        </w:rPr>
        <w:t xml:space="preserve">procent av </w:t>
      </w:r>
      <w:r w:rsidR="00694827">
        <w:rPr>
          <w:sz w:val="22"/>
          <w:szCs w:val="20"/>
        </w:rPr>
        <w:t>kommunens förlust av</w:t>
      </w:r>
      <w:r w:rsidR="0041593A">
        <w:rPr>
          <w:sz w:val="22"/>
          <w:szCs w:val="20"/>
        </w:rPr>
        <w:t xml:space="preserve"> skatteintäkter</w:t>
      </w:r>
      <w:r w:rsidR="000351A6">
        <w:rPr>
          <w:sz w:val="22"/>
          <w:szCs w:val="20"/>
        </w:rPr>
        <w:t xml:space="preserve"> </w:t>
      </w:r>
      <w:r w:rsidR="002E5D30">
        <w:rPr>
          <w:sz w:val="22"/>
          <w:szCs w:val="20"/>
        </w:rPr>
        <w:t>enligt</w:t>
      </w:r>
      <w:r w:rsidR="000351A6">
        <w:rPr>
          <w:sz w:val="22"/>
          <w:szCs w:val="20"/>
        </w:rPr>
        <w:t xml:space="preserve"> 1</w:t>
      </w:r>
      <w:r w:rsidR="001830FE">
        <w:rPr>
          <w:sz w:val="22"/>
          <w:szCs w:val="20"/>
        </w:rPr>
        <w:t> §</w:t>
      </w:r>
      <w:r w:rsidR="0041593A">
        <w:rPr>
          <w:sz w:val="22"/>
          <w:szCs w:val="20"/>
        </w:rPr>
        <w:t>.</w:t>
      </w:r>
    </w:p>
    <w:p w14:paraId="1426C93C" w14:textId="44D60658" w:rsidR="00720207" w:rsidRPr="00720207" w:rsidRDefault="00692716" w:rsidP="00720207">
      <w:pPr>
        <w:tabs>
          <w:tab w:val="left" w:pos="283"/>
        </w:tabs>
        <w:jc w:val="both"/>
        <w:rPr>
          <w:sz w:val="22"/>
          <w:szCs w:val="20"/>
        </w:rPr>
      </w:pPr>
      <w:r>
        <w:rPr>
          <w:sz w:val="22"/>
          <w:szCs w:val="20"/>
        </w:rPr>
        <w:tab/>
      </w:r>
      <w:r w:rsidR="00720207" w:rsidRPr="00720207">
        <w:rPr>
          <w:sz w:val="22"/>
          <w:szCs w:val="20"/>
        </w:rPr>
        <w:t>Kompensationen betalas skatteårsvis och beloppet bestäms med uppgifterna om debiterad skatt som grund. Kompensationsbeloppet fastställs så snart som möjligt efter att beskattningen har slutförts.</w:t>
      </w:r>
    </w:p>
    <w:p w14:paraId="2F02B7C6" w14:textId="77777777" w:rsidR="00720207" w:rsidRPr="00720207" w:rsidRDefault="00720207" w:rsidP="00720207">
      <w:pPr>
        <w:tabs>
          <w:tab w:val="left" w:pos="283"/>
        </w:tabs>
        <w:jc w:val="both"/>
        <w:rPr>
          <w:sz w:val="22"/>
          <w:szCs w:val="20"/>
        </w:rPr>
      </w:pPr>
    </w:p>
    <w:p w14:paraId="1650EA85" w14:textId="0C9C8B7C" w:rsidR="00720207" w:rsidRPr="00720207" w:rsidRDefault="00720207" w:rsidP="00720207">
      <w:pPr>
        <w:keepNext/>
        <w:keepLines/>
        <w:tabs>
          <w:tab w:val="left" w:pos="283"/>
        </w:tabs>
        <w:suppressAutoHyphens/>
        <w:jc w:val="center"/>
        <w:rPr>
          <w:sz w:val="22"/>
          <w:szCs w:val="20"/>
        </w:rPr>
      </w:pPr>
      <w:r w:rsidRPr="00720207">
        <w:rPr>
          <w:sz w:val="22"/>
          <w:szCs w:val="20"/>
        </w:rPr>
        <w:t>3</w:t>
      </w:r>
      <w:r w:rsidR="001830FE">
        <w:rPr>
          <w:sz w:val="22"/>
          <w:szCs w:val="20"/>
        </w:rPr>
        <w:t> §</w:t>
      </w:r>
    </w:p>
    <w:p w14:paraId="39419DA6" w14:textId="77777777" w:rsidR="00720207" w:rsidRPr="00720207" w:rsidRDefault="00720207" w:rsidP="00720207">
      <w:pPr>
        <w:keepNext/>
        <w:keepLines/>
        <w:tabs>
          <w:tab w:val="left" w:pos="283"/>
        </w:tabs>
        <w:suppressAutoHyphens/>
        <w:jc w:val="center"/>
        <w:rPr>
          <w:i/>
          <w:iCs/>
          <w:sz w:val="22"/>
          <w:szCs w:val="20"/>
        </w:rPr>
      </w:pPr>
      <w:r w:rsidRPr="00720207">
        <w:rPr>
          <w:i/>
          <w:iCs/>
          <w:sz w:val="22"/>
          <w:szCs w:val="20"/>
        </w:rPr>
        <w:t>Förskott</w:t>
      </w:r>
    </w:p>
    <w:p w14:paraId="2549BF06" w14:textId="77777777" w:rsidR="00720207" w:rsidRPr="00720207" w:rsidRDefault="00720207" w:rsidP="00720207">
      <w:pPr>
        <w:tabs>
          <w:tab w:val="left" w:pos="283"/>
        </w:tabs>
        <w:jc w:val="both"/>
        <w:rPr>
          <w:sz w:val="22"/>
          <w:szCs w:val="20"/>
        </w:rPr>
      </w:pPr>
      <w:r w:rsidRPr="00720207">
        <w:rPr>
          <w:sz w:val="22"/>
          <w:szCs w:val="20"/>
        </w:rPr>
        <w:tab/>
        <w:t>Under skatteåret betalas kompensationen för förlust av skatteintäkter i förskott. Kommunens förskottsbelopp beräknas med utfallet av tidigare beskattning som grund, samt med beaktande av förändringar som skett därefter och som kan anses ha betydelse för den slutliga kompensationens storlek.</w:t>
      </w:r>
    </w:p>
    <w:p w14:paraId="19321B3B" w14:textId="77777777" w:rsidR="00720207" w:rsidRPr="00720207" w:rsidRDefault="00720207" w:rsidP="00720207">
      <w:pPr>
        <w:tabs>
          <w:tab w:val="left" w:pos="283"/>
        </w:tabs>
        <w:jc w:val="both"/>
        <w:rPr>
          <w:sz w:val="22"/>
          <w:szCs w:val="20"/>
        </w:rPr>
      </w:pPr>
    </w:p>
    <w:p w14:paraId="324B55F0" w14:textId="4B0C1674" w:rsidR="00720207" w:rsidRPr="00720207" w:rsidRDefault="00720207" w:rsidP="00720207">
      <w:pPr>
        <w:keepNext/>
        <w:keepLines/>
        <w:tabs>
          <w:tab w:val="left" w:pos="283"/>
        </w:tabs>
        <w:suppressAutoHyphens/>
        <w:jc w:val="center"/>
        <w:rPr>
          <w:sz w:val="22"/>
          <w:szCs w:val="20"/>
        </w:rPr>
      </w:pPr>
      <w:r w:rsidRPr="00720207">
        <w:rPr>
          <w:sz w:val="22"/>
          <w:szCs w:val="20"/>
        </w:rPr>
        <w:t>4</w:t>
      </w:r>
      <w:r w:rsidR="001830FE">
        <w:rPr>
          <w:sz w:val="22"/>
          <w:szCs w:val="20"/>
        </w:rPr>
        <w:t> §</w:t>
      </w:r>
    </w:p>
    <w:p w14:paraId="0F2CB82D" w14:textId="77777777" w:rsidR="00720207" w:rsidRPr="00720207" w:rsidRDefault="00720207" w:rsidP="00720207">
      <w:pPr>
        <w:keepNext/>
        <w:keepLines/>
        <w:tabs>
          <w:tab w:val="left" w:pos="283"/>
        </w:tabs>
        <w:suppressAutoHyphens/>
        <w:jc w:val="center"/>
        <w:rPr>
          <w:i/>
          <w:iCs/>
          <w:sz w:val="22"/>
          <w:szCs w:val="20"/>
        </w:rPr>
      </w:pPr>
      <w:r w:rsidRPr="00720207">
        <w:rPr>
          <w:i/>
          <w:iCs/>
          <w:sz w:val="22"/>
          <w:szCs w:val="20"/>
        </w:rPr>
        <w:t>Avräkning</w:t>
      </w:r>
    </w:p>
    <w:p w14:paraId="41A23D9C" w14:textId="01D54F60" w:rsidR="00720207" w:rsidRPr="00720207" w:rsidRDefault="00720207" w:rsidP="00720207">
      <w:pPr>
        <w:tabs>
          <w:tab w:val="left" w:pos="283"/>
        </w:tabs>
        <w:jc w:val="both"/>
        <w:rPr>
          <w:sz w:val="22"/>
          <w:szCs w:val="20"/>
        </w:rPr>
      </w:pPr>
      <w:r w:rsidRPr="00720207">
        <w:rPr>
          <w:sz w:val="22"/>
          <w:szCs w:val="20"/>
        </w:rPr>
        <w:tab/>
        <w:t>Skillnaden mellan förskottsbelopp och kompensationsbelopp avräknas i samband med nästa förskottsbetalning efter att kompensationsbeloppet har fastställts.</w:t>
      </w:r>
      <w:r w:rsidR="002178B9">
        <w:rPr>
          <w:sz w:val="22"/>
          <w:szCs w:val="20"/>
        </w:rPr>
        <w:t xml:space="preserve"> </w:t>
      </w:r>
    </w:p>
    <w:p w14:paraId="08226A68" w14:textId="77777777" w:rsidR="00720207" w:rsidRPr="00720207" w:rsidRDefault="00720207" w:rsidP="00720207">
      <w:pPr>
        <w:tabs>
          <w:tab w:val="left" w:pos="283"/>
        </w:tabs>
        <w:jc w:val="both"/>
        <w:rPr>
          <w:sz w:val="22"/>
          <w:szCs w:val="20"/>
        </w:rPr>
      </w:pPr>
    </w:p>
    <w:p w14:paraId="2B58DE5E" w14:textId="32A5BB23" w:rsidR="00720207" w:rsidRPr="00720207" w:rsidRDefault="00720207" w:rsidP="00720207">
      <w:pPr>
        <w:keepNext/>
        <w:keepLines/>
        <w:tabs>
          <w:tab w:val="left" w:pos="283"/>
        </w:tabs>
        <w:suppressAutoHyphens/>
        <w:jc w:val="center"/>
        <w:rPr>
          <w:sz w:val="22"/>
          <w:szCs w:val="20"/>
        </w:rPr>
      </w:pPr>
      <w:r w:rsidRPr="00720207">
        <w:rPr>
          <w:sz w:val="22"/>
          <w:szCs w:val="20"/>
        </w:rPr>
        <w:t>5</w:t>
      </w:r>
      <w:r w:rsidR="001830FE">
        <w:rPr>
          <w:sz w:val="22"/>
          <w:szCs w:val="20"/>
        </w:rPr>
        <w:t> §</w:t>
      </w:r>
    </w:p>
    <w:p w14:paraId="0B5773AD" w14:textId="77777777" w:rsidR="00720207" w:rsidRPr="00720207" w:rsidRDefault="00720207" w:rsidP="00720207">
      <w:pPr>
        <w:keepNext/>
        <w:keepLines/>
        <w:tabs>
          <w:tab w:val="left" w:pos="283"/>
        </w:tabs>
        <w:suppressAutoHyphens/>
        <w:jc w:val="center"/>
        <w:rPr>
          <w:i/>
          <w:iCs/>
          <w:sz w:val="22"/>
          <w:szCs w:val="20"/>
        </w:rPr>
      </w:pPr>
      <w:r w:rsidRPr="00720207">
        <w:rPr>
          <w:i/>
          <w:iCs/>
          <w:sz w:val="22"/>
          <w:szCs w:val="20"/>
        </w:rPr>
        <w:t>Ikraftträdande</w:t>
      </w:r>
    </w:p>
    <w:p w14:paraId="34FD57D0" w14:textId="50618327" w:rsidR="00720207" w:rsidRPr="00720207" w:rsidRDefault="00720207" w:rsidP="00720207">
      <w:pPr>
        <w:tabs>
          <w:tab w:val="left" w:pos="283"/>
        </w:tabs>
        <w:jc w:val="both"/>
        <w:rPr>
          <w:sz w:val="22"/>
          <w:szCs w:val="20"/>
        </w:rPr>
      </w:pPr>
      <w:r w:rsidRPr="00720207">
        <w:rPr>
          <w:sz w:val="22"/>
          <w:szCs w:val="20"/>
        </w:rPr>
        <w:tab/>
        <w:t>Denna lag träder i kraft den ... och tillämpas från och med skatteåret 20</w:t>
      </w:r>
      <w:r w:rsidR="00405B3B">
        <w:rPr>
          <w:sz w:val="22"/>
          <w:szCs w:val="20"/>
        </w:rPr>
        <w:t>23</w:t>
      </w:r>
      <w:r w:rsidRPr="00720207">
        <w:rPr>
          <w:sz w:val="22"/>
          <w:szCs w:val="20"/>
        </w:rPr>
        <w:t>.</w:t>
      </w:r>
      <w:r w:rsidR="00F739CF">
        <w:rPr>
          <w:sz w:val="22"/>
          <w:szCs w:val="20"/>
        </w:rPr>
        <w:t xml:space="preserve"> Förskottet för skatteåret 2023 betalas ut så snart som möjligt efter att lagen har trätt i kraft.</w:t>
      </w:r>
    </w:p>
    <w:p w14:paraId="5BD8A304" w14:textId="77777777" w:rsidR="00AF3004" w:rsidRDefault="00F755D6">
      <w:pPr>
        <w:pStyle w:val="ANormal"/>
        <w:jc w:val="center"/>
      </w:pPr>
      <w:hyperlink w:anchor="_top" w:tooltip="Klicka för att gå till toppen av dokumentet" w:history="1">
        <w:r w:rsidR="00AF3004">
          <w:rPr>
            <w:rStyle w:val="Hyperlnk"/>
          </w:rPr>
          <w:t>__________________</w:t>
        </w:r>
      </w:hyperlink>
    </w:p>
    <w:p w14:paraId="20F2BCE0" w14:textId="77777777" w:rsidR="00AF3004" w:rsidRDefault="00AF3004">
      <w:pPr>
        <w:pStyle w:val="ANormal"/>
      </w:pPr>
    </w:p>
    <w:p w14:paraId="1B44B0D9"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1B3D95A" w14:textId="77777777">
        <w:trPr>
          <w:cantSplit/>
        </w:trPr>
        <w:tc>
          <w:tcPr>
            <w:tcW w:w="7931" w:type="dxa"/>
            <w:gridSpan w:val="2"/>
          </w:tcPr>
          <w:p w14:paraId="354135A5" w14:textId="0CEFB191" w:rsidR="00AF3004" w:rsidRDefault="00AF3004">
            <w:pPr>
              <w:pStyle w:val="ANormal"/>
              <w:keepNext/>
            </w:pPr>
            <w:r>
              <w:t xml:space="preserve">Mariehamn </w:t>
            </w:r>
            <w:r w:rsidR="001830FE">
              <w:t>den 1 december 2022</w:t>
            </w:r>
          </w:p>
        </w:tc>
      </w:tr>
      <w:tr w:rsidR="00AF3004" w14:paraId="121C17F2" w14:textId="77777777">
        <w:tc>
          <w:tcPr>
            <w:tcW w:w="4454" w:type="dxa"/>
            <w:vAlign w:val="bottom"/>
          </w:tcPr>
          <w:p w14:paraId="0BA62671" w14:textId="77777777" w:rsidR="00AF3004" w:rsidRDefault="00AF3004">
            <w:pPr>
              <w:pStyle w:val="ANormal"/>
              <w:keepNext/>
            </w:pPr>
          </w:p>
          <w:p w14:paraId="001D813D" w14:textId="77777777" w:rsidR="00AF3004" w:rsidRDefault="00AF3004">
            <w:pPr>
              <w:pStyle w:val="ANormal"/>
              <w:keepNext/>
            </w:pPr>
          </w:p>
          <w:p w14:paraId="06F3BFE1" w14:textId="77777777" w:rsidR="00AF3004" w:rsidRDefault="00AF3004">
            <w:pPr>
              <w:pStyle w:val="ANormal"/>
              <w:keepNext/>
            </w:pPr>
            <w:r>
              <w:t>L a n t r å d</w:t>
            </w:r>
          </w:p>
        </w:tc>
        <w:tc>
          <w:tcPr>
            <w:tcW w:w="3477" w:type="dxa"/>
            <w:vAlign w:val="bottom"/>
          </w:tcPr>
          <w:p w14:paraId="5014CF7D" w14:textId="77777777" w:rsidR="00AF3004" w:rsidRDefault="00AF3004">
            <w:pPr>
              <w:pStyle w:val="ANormal"/>
              <w:keepNext/>
            </w:pPr>
          </w:p>
          <w:p w14:paraId="4968D1D5" w14:textId="77777777" w:rsidR="00AF3004" w:rsidRDefault="00AF3004">
            <w:pPr>
              <w:pStyle w:val="ANormal"/>
              <w:keepNext/>
            </w:pPr>
          </w:p>
          <w:p w14:paraId="5546A45B" w14:textId="2FF4EC32" w:rsidR="00AF3004" w:rsidRDefault="00405B3B">
            <w:pPr>
              <w:pStyle w:val="ANormal"/>
              <w:keepNext/>
            </w:pPr>
            <w:r>
              <w:t>Veronica Thörnroos</w:t>
            </w:r>
          </w:p>
        </w:tc>
      </w:tr>
      <w:tr w:rsidR="00AF3004" w14:paraId="5836090B" w14:textId="77777777">
        <w:tc>
          <w:tcPr>
            <w:tcW w:w="4454" w:type="dxa"/>
            <w:vAlign w:val="bottom"/>
          </w:tcPr>
          <w:p w14:paraId="5ACF4D12" w14:textId="77777777" w:rsidR="00AF3004" w:rsidRDefault="00AF3004">
            <w:pPr>
              <w:pStyle w:val="ANormal"/>
              <w:keepNext/>
            </w:pPr>
          </w:p>
          <w:p w14:paraId="5DCC812E" w14:textId="77777777" w:rsidR="00AF3004" w:rsidRDefault="00AF3004">
            <w:pPr>
              <w:pStyle w:val="ANormal"/>
              <w:keepNext/>
            </w:pPr>
          </w:p>
          <w:p w14:paraId="0984B328" w14:textId="1211E224" w:rsidR="00AF3004" w:rsidRDefault="00AF3004">
            <w:pPr>
              <w:pStyle w:val="ANormal"/>
              <w:keepNext/>
            </w:pPr>
            <w:r>
              <w:t xml:space="preserve">Föredragande </w:t>
            </w:r>
            <w:r w:rsidR="00DF7570">
              <w:t>minister</w:t>
            </w:r>
          </w:p>
        </w:tc>
        <w:tc>
          <w:tcPr>
            <w:tcW w:w="3477" w:type="dxa"/>
            <w:vAlign w:val="bottom"/>
          </w:tcPr>
          <w:p w14:paraId="42D9B928" w14:textId="77777777" w:rsidR="00AF3004" w:rsidRDefault="00AF3004">
            <w:pPr>
              <w:pStyle w:val="ANormal"/>
              <w:keepNext/>
            </w:pPr>
          </w:p>
          <w:p w14:paraId="35A11324" w14:textId="77777777" w:rsidR="00AF3004" w:rsidRDefault="00AF3004">
            <w:pPr>
              <w:pStyle w:val="ANormal"/>
              <w:keepNext/>
            </w:pPr>
          </w:p>
          <w:p w14:paraId="7F681D39" w14:textId="3775DF4C" w:rsidR="00AF3004" w:rsidRDefault="00405B3B">
            <w:pPr>
              <w:pStyle w:val="ANormal"/>
              <w:keepNext/>
            </w:pPr>
            <w:r>
              <w:t>Roger Höglund</w:t>
            </w:r>
          </w:p>
        </w:tc>
      </w:tr>
    </w:tbl>
    <w:p w14:paraId="2C05D638" w14:textId="77777777" w:rsidR="00AF3004" w:rsidRDefault="00AF3004">
      <w:pPr>
        <w:pStyle w:val="ANormal"/>
      </w:pPr>
    </w:p>
    <w:sectPr w:rsidR="00AF300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CA5B" w14:textId="77777777" w:rsidR="00573ACD" w:rsidRDefault="00573ACD">
      <w:r>
        <w:separator/>
      </w:r>
    </w:p>
  </w:endnote>
  <w:endnote w:type="continuationSeparator" w:id="0">
    <w:p w14:paraId="5312EB6F" w14:textId="77777777" w:rsidR="00573ACD" w:rsidRDefault="0057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BFA4"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16AF" w14:textId="1EA35229" w:rsidR="00AF3004" w:rsidRDefault="001830FE">
    <w:pPr>
      <w:pStyle w:val="Sidfot"/>
      <w:rPr>
        <w:lang w:val="fi-FI"/>
      </w:rPr>
    </w:pPr>
    <w:r>
      <w:t>LF1</w:t>
    </w:r>
    <w:r w:rsidR="007A2F54">
      <w:t>1</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14A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F2E5" w14:textId="77777777" w:rsidR="00573ACD" w:rsidRDefault="00573ACD">
      <w:r>
        <w:separator/>
      </w:r>
    </w:p>
  </w:footnote>
  <w:footnote w:type="continuationSeparator" w:id="0">
    <w:p w14:paraId="05A76350" w14:textId="77777777" w:rsidR="00573ACD" w:rsidRDefault="0057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870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42DDE0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50A2"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55D5A"/>
    <w:multiLevelType w:val="multilevel"/>
    <w:tmpl w:val="3D9C0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0102585">
    <w:abstractNumId w:val="6"/>
  </w:num>
  <w:num w:numId="2" w16cid:durableId="1097091302">
    <w:abstractNumId w:val="3"/>
  </w:num>
  <w:num w:numId="3" w16cid:durableId="1969161786">
    <w:abstractNumId w:val="2"/>
  </w:num>
  <w:num w:numId="4" w16cid:durableId="342122994">
    <w:abstractNumId w:val="1"/>
  </w:num>
  <w:num w:numId="5" w16cid:durableId="1433739633">
    <w:abstractNumId w:val="0"/>
  </w:num>
  <w:num w:numId="6" w16cid:durableId="353465176">
    <w:abstractNumId w:val="7"/>
  </w:num>
  <w:num w:numId="7" w16cid:durableId="1100099239">
    <w:abstractNumId w:val="5"/>
  </w:num>
  <w:num w:numId="8" w16cid:durableId="2019892881">
    <w:abstractNumId w:val="4"/>
  </w:num>
  <w:num w:numId="9" w16cid:durableId="1169716698">
    <w:abstractNumId w:val="10"/>
  </w:num>
  <w:num w:numId="10" w16cid:durableId="41633139">
    <w:abstractNumId w:val="14"/>
  </w:num>
  <w:num w:numId="11" w16cid:durableId="104809668">
    <w:abstractNumId w:val="13"/>
  </w:num>
  <w:num w:numId="12" w16cid:durableId="1590040324">
    <w:abstractNumId w:val="17"/>
  </w:num>
  <w:num w:numId="13" w16cid:durableId="507134227">
    <w:abstractNumId w:val="11"/>
  </w:num>
  <w:num w:numId="14" w16cid:durableId="711540448">
    <w:abstractNumId w:val="16"/>
  </w:num>
  <w:num w:numId="15" w16cid:durableId="1718629076">
    <w:abstractNumId w:val="9"/>
  </w:num>
  <w:num w:numId="16" w16cid:durableId="527180062">
    <w:abstractNumId w:val="22"/>
  </w:num>
  <w:num w:numId="17" w16cid:durableId="999041497">
    <w:abstractNumId w:val="8"/>
  </w:num>
  <w:num w:numId="18" w16cid:durableId="790326460">
    <w:abstractNumId w:val="18"/>
  </w:num>
  <w:num w:numId="19" w16cid:durableId="1208378395">
    <w:abstractNumId w:val="21"/>
  </w:num>
  <w:num w:numId="20" w16cid:durableId="1033850319">
    <w:abstractNumId w:val="24"/>
  </w:num>
  <w:num w:numId="21" w16cid:durableId="952975126">
    <w:abstractNumId w:val="23"/>
  </w:num>
  <w:num w:numId="22" w16cid:durableId="2042433553">
    <w:abstractNumId w:val="15"/>
  </w:num>
  <w:num w:numId="23" w16cid:durableId="42296051">
    <w:abstractNumId w:val="19"/>
  </w:num>
  <w:num w:numId="24" w16cid:durableId="1226649512">
    <w:abstractNumId w:val="19"/>
  </w:num>
  <w:num w:numId="25" w16cid:durableId="2012751304">
    <w:abstractNumId w:val="20"/>
  </w:num>
  <w:num w:numId="26" w16cid:durableId="438768284">
    <w:abstractNumId w:val="15"/>
  </w:num>
  <w:num w:numId="27" w16cid:durableId="647128249">
    <w:abstractNumId w:val="15"/>
  </w:num>
  <w:num w:numId="28" w16cid:durableId="1492673017">
    <w:abstractNumId w:val="15"/>
  </w:num>
  <w:num w:numId="29" w16cid:durableId="1512522928">
    <w:abstractNumId w:val="15"/>
  </w:num>
  <w:num w:numId="30" w16cid:durableId="1285431139">
    <w:abstractNumId w:val="15"/>
  </w:num>
  <w:num w:numId="31" w16cid:durableId="1057166502">
    <w:abstractNumId w:val="15"/>
  </w:num>
  <w:num w:numId="32" w16cid:durableId="1763339009">
    <w:abstractNumId w:val="15"/>
  </w:num>
  <w:num w:numId="33" w16cid:durableId="1363437052">
    <w:abstractNumId w:val="15"/>
  </w:num>
  <w:num w:numId="34" w16cid:durableId="1246693959">
    <w:abstractNumId w:val="15"/>
  </w:num>
  <w:num w:numId="35" w16cid:durableId="8219244">
    <w:abstractNumId w:val="19"/>
  </w:num>
  <w:num w:numId="36" w16cid:durableId="130945605">
    <w:abstractNumId w:val="20"/>
  </w:num>
  <w:num w:numId="37" w16cid:durableId="539706345">
    <w:abstractNumId w:val="15"/>
  </w:num>
  <w:num w:numId="38" w16cid:durableId="280653590">
    <w:abstractNumId w:val="15"/>
  </w:num>
  <w:num w:numId="39" w16cid:durableId="1916279561">
    <w:abstractNumId w:val="15"/>
  </w:num>
  <w:num w:numId="40" w16cid:durableId="1348944830">
    <w:abstractNumId w:val="15"/>
  </w:num>
  <w:num w:numId="41" w16cid:durableId="226571590">
    <w:abstractNumId w:val="15"/>
  </w:num>
  <w:num w:numId="42" w16cid:durableId="244388867">
    <w:abstractNumId w:val="15"/>
  </w:num>
  <w:num w:numId="43" w16cid:durableId="1715304726">
    <w:abstractNumId w:val="15"/>
  </w:num>
  <w:num w:numId="44" w16cid:durableId="132258956">
    <w:abstractNumId w:val="15"/>
  </w:num>
  <w:num w:numId="45" w16cid:durableId="1858738604">
    <w:abstractNumId w:val="15"/>
  </w:num>
  <w:num w:numId="46" w16cid:durableId="6720282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CD"/>
    <w:rsid w:val="000351A6"/>
    <w:rsid w:val="00037574"/>
    <w:rsid w:val="0004029D"/>
    <w:rsid w:val="0005772E"/>
    <w:rsid w:val="00080328"/>
    <w:rsid w:val="000866F8"/>
    <w:rsid w:val="000C1AA6"/>
    <w:rsid w:val="000D61C1"/>
    <w:rsid w:val="000E7207"/>
    <w:rsid w:val="000F49D5"/>
    <w:rsid w:val="001717CD"/>
    <w:rsid w:val="001830FE"/>
    <w:rsid w:val="001A3ED2"/>
    <w:rsid w:val="001C7134"/>
    <w:rsid w:val="001D0CF0"/>
    <w:rsid w:val="00202894"/>
    <w:rsid w:val="002178B9"/>
    <w:rsid w:val="00243A1C"/>
    <w:rsid w:val="002523D2"/>
    <w:rsid w:val="00277803"/>
    <w:rsid w:val="00287B64"/>
    <w:rsid w:val="002A509B"/>
    <w:rsid w:val="002B03D1"/>
    <w:rsid w:val="002B1258"/>
    <w:rsid w:val="002E5D30"/>
    <w:rsid w:val="002E698C"/>
    <w:rsid w:val="00321C31"/>
    <w:rsid w:val="00335061"/>
    <w:rsid w:val="00342FC4"/>
    <w:rsid w:val="003746FC"/>
    <w:rsid w:val="00384AE2"/>
    <w:rsid w:val="003A057E"/>
    <w:rsid w:val="003D70BD"/>
    <w:rsid w:val="003E3C1D"/>
    <w:rsid w:val="003E66FB"/>
    <w:rsid w:val="003F3060"/>
    <w:rsid w:val="003F3535"/>
    <w:rsid w:val="003F5206"/>
    <w:rsid w:val="00405B3B"/>
    <w:rsid w:val="00412C19"/>
    <w:rsid w:val="0041593A"/>
    <w:rsid w:val="0042735C"/>
    <w:rsid w:val="004273C3"/>
    <w:rsid w:val="00443177"/>
    <w:rsid w:val="00447C34"/>
    <w:rsid w:val="004621B8"/>
    <w:rsid w:val="00463675"/>
    <w:rsid w:val="00464E03"/>
    <w:rsid w:val="004A0500"/>
    <w:rsid w:val="004A6BA1"/>
    <w:rsid w:val="004B34F3"/>
    <w:rsid w:val="004D28CB"/>
    <w:rsid w:val="004E3E10"/>
    <w:rsid w:val="004E5AAF"/>
    <w:rsid w:val="00500E3A"/>
    <w:rsid w:val="00507AE9"/>
    <w:rsid w:val="00512392"/>
    <w:rsid w:val="00512B14"/>
    <w:rsid w:val="0054362F"/>
    <w:rsid w:val="00545379"/>
    <w:rsid w:val="00551DBC"/>
    <w:rsid w:val="00565739"/>
    <w:rsid w:val="00573ACD"/>
    <w:rsid w:val="005843FE"/>
    <w:rsid w:val="005A1D0E"/>
    <w:rsid w:val="005F1DF9"/>
    <w:rsid w:val="006247D5"/>
    <w:rsid w:val="0064233A"/>
    <w:rsid w:val="006570E3"/>
    <w:rsid w:val="0067068C"/>
    <w:rsid w:val="00692716"/>
    <w:rsid w:val="00694827"/>
    <w:rsid w:val="00696A0D"/>
    <w:rsid w:val="006B633C"/>
    <w:rsid w:val="006E472F"/>
    <w:rsid w:val="00703649"/>
    <w:rsid w:val="0071079B"/>
    <w:rsid w:val="00720207"/>
    <w:rsid w:val="00722128"/>
    <w:rsid w:val="007330FE"/>
    <w:rsid w:val="00782C1F"/>
    <w:rsid w:val="007A2F54"/>
    <w:rsid w:val="007C1C31"/>
    <w:rsid w:val="007C377F"/>
    <w:rsid w:val="007D42F5"/>
    <w:rsid w:val="007F629B"/>
    <w:rsid w:val="0080352B"/>
    <w:rsid w:val="0080546A"/>
    <w:rsid w:val="00810BD3"/>
    <w:rsid w:val="00817F29"/>
    <w:rsid w:val="008241B5"/>
    <w:rsid w:val="008450DA"/>
    <w:rsid w:val="0089079B"/>
    <w:rsid w:val="008A2048"/>
    <w:rsid w:val="008C4E06"/>
    <w:rsid w:val="009355DD"/>
    <w:rsid w:val="00944D80"/>
    <w:rsid w:val="00957950"/>
    <w:rsid w:val="00973B15"/>
    <w:rsid w:val="00995BDC"/>
    <w:rsid w:val="009E092B"/>
    <w:rsid w:val="00A157BE"/>
    <w:rsid w:val="00A17E72"/>
    <w:rsid w:val="00A25FBB"/>
    <w:rsid w:val="00A32351"/>
    <w:rsid w:val="00A54CA1"/>
    <w:rsid w:val="00A80E47"/>
    <w:rsid w:val="00AA5224"/>
    <w:rsid w:val="00AC3F36"/>
    <w:rsid w:val="00AF3004"/>
    <w:rsid w:val="00AF4DA5"/>
    <w:rsid w:val="00BA5335"/>
    <w:rsid w:val="00BB440D"/>
    <w:rsid w:val="00BC2A56"/>
    <w:rsid w:val="00BC4EDE"/>
    <w:rsid w:val="00C27132"/>
    <w:rsid w:val="00C32993"/>
    <w:rsid w:val="00C76294"/>
    <w:rsid w:val="00C828F4"/>
    <w:rsid w:val="00C901FB"/>
    <w:rsid w:val="00C9046E"/>
    <w:rsid w:val="00CC58EA"/>
    <w:rsid w:val="00CD36FD"/>
    <w:rsid w:val="00CE47C2"/>
    <w:rsid w:val="00CF77A0"/>
    <w:rsid w:val="00D05EFF"/>
    <w:rsid w:val="00D101EC"/>
    <w:rsid w:val="00D50C6C"/>
    <w:rsid w:val="00D563C9"/>
    <w:rsid w:val="00D67F86"/>
    <w:rsid w:val="00D86AD1"/>
    <w:rsid w:val="00DA3459"/>
    <w:rsid w:val="00DA3737"/>
    <w:rsid w:val="00DC6BB9"/>
    <w:rsid w:val="00DD5E39"/>
    <w:rsid w:val="00DE201C"/>
    <w:rsid w:val="00DF7570"/>
    <w:rsid w:val="00E27407"/>
    <w:rsid w:val="00EA01EF"/>
    <w:rsid w:val="00EA2F3D"/>
    <w:rsid w:val="00EC26D5"/>
    <w:rsid w:val="00EC6DDC"/>
    <w:rsid w:val="00EC798C"/>
    <w:rsid w:val="00ED5BBE"/>
    <w:rsid w:val="00EE7673"/>
    <w:rsid w:val="00F12772"/>
    <w:rsid w:val="00F22790"/>
    <w:rsid w:val="00F4163B"/>
    <w:rsid w:val="00F739CF"/>
    <w:rsid w:val="00F755D6"/>
    <w:rsid w:val="00F75D5E"/>
    <w:rsid w:val="00F771D4"/>
    <w:rsid w:val="00F81E33"/>
    <w:rsid w:val="00F877B6"/>
    <w:rsid w:val="00FA2A3E"/>
    <w:rsid w:val="00FB121B"/>
    <w:rsid w:val="00FB2294"/>
    <w:rsid w:val="00FB64CE"/>
    <w:rsid w:val="00FB659B"/>
    <w:rsid w:val="00FD5EA8"/>
    <w:rsid w:val="00FD6449"/>
    <w:rsid w:val="00FE3BAC"/>
    <w:rsid w:val="00FE5287"/>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66809"/>
  <w15:chartTrackingRefBased/>
  <w15:docId w15:val="{D3B52D9A-77C3-4E7E-8E26-E1B81112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44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C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7</Pages>
  <Words>2188</Words>
  <Characters>14055</Characters>
  <Application>Microsoft Office Word</Application>
  <DocSecurity>0</DocSecurity>
  <Lines>117</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16211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2022-11-29T07:53:00Z</cp:lastPrinted>
  <dcterms:created xsi:type="dcterms:W3CDTF">2022-12-02T13:29:00Z</dcterms:created>
  <dcterms:modified xsi:type="dcterms:W3CDTF">2022-12-02T13:29:00Z</dcterms:modified>
</cp:coreProperties>
</file>