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656D9028" w14:textId="77777777">
        <w:trPr>
          <w:cantSplit/>
          <w:trHeight w:val="20"/>
        </w:trPr>
        <w:tc>
          <w:tcPr>
            <w:tcW w:w="861" w:type="dxa"/>
            <w:vMerge w:val="restart"/>
          </w:tcPr>
          <w:p w14:paraId="4F531365" w14:textId="56BD93C0" w:rsidR="00AF3004" w:rsidRDefault="00AE767B">
            <w:pPr>
              <w:pStyle w:val="xLedtext"/>
              <w:keepNext/>
              <w:rPr>
                <w:noProof/>
              </w:rPr>
            </w:pPr>
            <w:r>
              <w:rPr>
                <w:noProof/>
                <w:sz w:val="20"/>
              </w:rPr>
              <w:drawing>
                <wp:anchor distT="0" distB="0" distL="114300" distR="114300" simplePos="0" relativeHeight="251657728" behindDoc="0" locked="0" layoutInCell="1" allowOverlap="1" wp14:anchorId="7505AA85" wp14:editId="334E1D0F">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411BE002" w14:textId="22AB0CAF" w:rsidR="00AF3004" w:rsidRDefault="00AE767B">
            <w:pPr>
              <w:pStyle w:val="xMellanrum"/>
            </w:pPr>
            <w:r>
              <w:rPr>
                <w:noProof/>
              </w:rPr>
              <w:drawing>
                <wp:inline distT="0" distB="0" distL="0" distR="0" wp14:anchorId="756B952B" wp14:editId="2AD40405">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02EF3150" w14:textId="77777777">
        <w:trPr>
          <w:cantSplit/>
          <w:trHeight w:val="299"/>
        </w:trPr>
        <w:tc>
          <w:tcPr>
            <w:tcW w:w="861" w:type="dxa"/>
            <w:vMerge/>
          </w:tcPr>
          <w:p w14:paraId="374029CB" w14:textId="77777777" w:rsidR="00AF3004" w:rsidRDefault="00AF3004">
            <w:pPr>
              <w:pStyle w:val="xLedtext"/>
            </w:pPr>
          </w:p>
        </w:tc>
        <w:tc>
          <w:tcPr>
            <w:tcW w:w="4448" w:type="dxa"/>
            <w:vAlign w:val="bottom"/>
          </w:tcPr>
          <w:p w14:paraId="339033BA" w14:textId="77777777" w:rsidR="00AF3004" w:rsidRDefault="00AF3004">
            <w:pPr>
              <w:pStyle w:val="xAvsandare1"/>
            </w:pPr>
          </w:p>
        </w:tc>
        <w:tc>
          <w:tcPr>
            <w:tcW w:w="4288" w:type="dxa"/>
            <w:gridSpan w:val="2"/>
            <w:vAlign w:val="bottom"/>
          </w:tcPr>
          <w:p w14:paraId="3E1D3E63" w14:textId="32512A68" w:rsidR="00AF3004" w:rsidRDefault="00A928DC">
            <w:pPr>
              <w:pStyle w:val="xDokTypNr"/>
            </w:pPr>
            <w:r>
              <w:t>LAGFÖRSLAG</w:t>
            </w:r>
            <w:r w:rsidR="00AF3004">
              <w:t xml:space="preserve"> nr </w:t>
            </w:r>
            <w:r w:rsidR="00F27E6E">
              <w:t>10</w:t>
            </w:r>
            <w:r w:rsidR="00AF3004">
              <w:t>/20</w:t>
            </w:r>
            <w:r>
              <w:t>22–</w:t>
            </w:r>
            <w:r w:rsidR="00AF3004">
              <w:t>20</w:t>
            </w:r>
            <w:r>
              <w:t>23</w:t>
            </w:r>
          </w:p>
        </w:tc>
      </w:tr>
      <w:tr w:rsidR="00AF3004" w14:paraId="66D15AC3" w14:textId="77777777">
        <w:trPr>
          <w:cantSplit/>
          <w:trHeight w:val="238"/>
        </w:trPr>
        <w:tc>
          <w:tcPr>
            <w:tcW w:w="861" w:type="dxa"/>
            <w:vMerge/>
          </w:tcPr>
          <w:p w14:paraId="2D437945" w14:textId="77777777" w:rsidR="00AF3004" w:rsidRDefault="00AF3004">
            <w:pPr>
              <w:pStyle w:val="xLedtext"/>
            </w:pPr>
          </w:p>
        </w:tc>
        <w:tc>
          <w:tcPr>
            <w:tcW w:w="4448" w:type="dxa"/>
            <w:vAlign w:val="bottom"/>
          </w:tcPr>
          <w:p w14:paraId="1090102F" w14:textId="77777777" w:rsidR="00AF3004" w:rsidRDefault="00AF3004">
            <w:pPr>
              <w:pStyle w:val="xLedtext"/>
            </w:pPr>
          </w:p>
        </w:tc>
        <w:tc>
          <w:tcPr>
            <w:tcW w:w="1725" w:type="dxa"/>
            <w:vAlign w:val="bottom"/>
          </w:tcPr>
          <w:p w14:paraId="01C98377" w14:textId="77777777" w:rsidR="00AF3004" w:rsidRDefault="00AF3004">
            <w:pPr>
              <w:pStyle w:val="xLedtext"/>
              <w:rPr>
                <w:lang w:val="de-DE"/>
              </w:rPr>
            </w:pPr>
            <w:r>
              <w:rPr>
                <w:lang w:val="de-DE"/>
              </w:rPr>
              <w:t>Datum</w:t>
            </w:r>
          </w:p>
        </w:tc>
        <w:tc>
          <w:tcPr>
            <w:tcW w:w="2563" w:type="dxa"/>
            <w:vAlign w:val="bottom"/>
          </w:tcPr>
          <w:p w14:paraId="2AC51C09" w14:textId="77777777" w:rsidR="00AF3004" w:rsidRDefault="00AF3004">
            <w:pPr>
              <w:pStyle w:val="xLedtext"/>
              <w:rPr>
                <w:lang w:val="de-DE"/>
              </w:rPr>
            </w:pPr>
          </w:p>
        </w:tc>
      </w:tr>
      <w:tr w:rsidR="00AF3004" w14:paraId="1BC8AFA3" w14:textId="77777777">
        <w:trPr>
          <w:cantSplit/>
          <w:trHeight w:val="238"/>
        </w:trPr>
        <w:tc>
          <w:tcPr>
            <w:tcW w:w="861" w:type="dxa"/>
            <w:vMerge/>
          </w:tcPr>
          <w:p w14:paraId="0893E55A" w14:textId="77777777" w:rsidR="00AF3004" w:rsidRDefault="00AF3004">
            <w:pPr>
              <w:pStyle w:val="xAvsandare2"/>
              <w:rPr>
                <w:lang w:val="de-DE"/>
              </w:rPr>
            </w:pPr>
          </w:p>
        </w:tc>
        <w:tc>
          <w:tcPr>
            <w:tcW w:w="4448" w:type="dxa"/>
            <w:vAlign w:val="center"/>
          </w:tcPr>
          <w:p w14:paraId="2CD26080" w14:textId="77777777" w:rsidR="00AF3004" w:rsidRDefault="00AF3004">
            <w:pPr>
              <w:pStyle w:val="xAvsandare2"/>
              <w:rPr>
                <w:lang w:val="de-DE"/>
              </w:rPr>
            </w:pPr>
          </w:p>
        </w:tc>
        <w:tc>
          <w:tcPr>
            <w:tcW w:w="1725" w:type="dxa"/>
            <w:vAlign w:val="center"/>
          </w:tcPr>
          <w:p w14:paraId="1DCCC7D3" w14:textId="407C1588" w:rsidR="00AF3004" w:rsidRDefault="00AF3004">
            <w:pPr>
              <w:pStyle w:val="xDatum1"/>
              <w:rPr>
                <w:lang w:val="de-DE"/>
              </w:rPr>
            </w:pPr>
            <w:r>
              <w:rPr>
                <w:lang w:val="de-DE"/>
              </w:rPr>
              <w:t>20</w:t>
            </w:r>
            <w:r w:rsidR="00A928DC">
              <w:rPr>
                <w:lang w:val="de-DE"/>
              </w:rPr>
              <w:t>22</w:t>
            </w:r>
            <w:r>
              <w:rPr>
                <w:lang w:val="de-DE"/>
              </w:rPr>
              <w:t>-</w:t>
            </w:r>
            <w:r w:rsidR="00F27E6E">
              <w:rPr>
                <w:lang w:val="de-DE"/>
              </w:rPr>
              <w:t>11</w:t>
            </w:r>
            <w:r>
              <w:rPr>
                <w:lang w:val="de-DE"/>
              </w:rPr>
              <w:t>-</w:t>
            </w:r>
            <w:r w:rsidR="00F27E6E">
              <w:rPr>
                <w:lang w:val="de-DE"/>
              </w:rPr>
              <w:t>24</w:t>
            </w:r>
          </w:p>
        </w:tc>
        <w:tc>
          <w:tcPr>
            <w:tcW w:w="2563" w:type="dxa"/>
            <w:vAlign w:val="center"/>
          </w:tcPr>
          <w:p w14:paraId="541A9B67" w14:textId="77777777" w:rsidR="00AF3004" w:rsidRDefault="00AF3004">
            <w:pPr>
              <w:pStyle w:val="xBeteckning1"/>
              <w:rPr>
                <w:lang w:val="de-DE"/>
              </w:rPr>
            </w:pPr>
          </w:p>
        </w:tc>
      </w:tr>
      <w:tr w:rsidR="00AF3004" w14:paraId="4FA556CE" w14:textId="77777777">
        <w:trPr>
          <w:cantSplit/>
          <w:trHeight w:val="238"/>
        </w:trPr>
        <w:tc>
          <w:tcPr>
            <w:tcW w:w="861" w:type="dxa"/>
            <w:vMerge/>
          </w:tcPr>
          <w:p w14:paraId="7D06C54C" w14:textId="77777777" w:rsidR="00AF3004" w:rsidRDefault="00AF3004">
            <w:pPr>
              <w:pStyle w:val="xLedtext"/>
              <w:rPr>
                <w:lang w:val="de-DE"/>
              </w:rPr>
            </w:pPr>
          </w:p>
        </w:tc>
        <w:tc>
          <w:tcPr>
            <w:tcW w:w="4448" w:type="dxa"/>
            <w:vAlign w:val="bottom"/>
          </w:tcPr>
          <w:p w14:paraId="07CBE096" w14:textId="77777777" w:rsidR="00AF3004" w:rsidRDefault="00AF3004">
            <w:pPr>
              <w:pStyle w:val="xLedtext"/>
              <w:rPr>
                <w:lang w:val="de-DE"/>
              </w:rPr>
            </w:pPr>
          </w:p>
        </w:tc>
        <w:tc>
          <w:tcPr>
            <w:tcW w:w="1725" w:type="dxa"/>
            <w:vAlign w:val="bottom"/>
          </w:tcPr>
          <w:p w14:paraId="3373843A" w14:textId="77777777" w:rsidR="00AF3004" w:rsidRDefault="00AF3004">
            <w:pPr>
              <w:pStyle w:val="xLedtext"/>
              <w:rPr>
                <w:lang w:val="de-DE"/>
              </w:rPr>
            </w:pPr>
          </w:p>
        </w:tc>
        <w:tc>
          <w:tcPr>
            <w:tcW w:w="2563" w:type="dxa"/>
            <w:vAlign w:val="bottom"/>
          </w:tcPr>
          <w:p w14:paraId="71A48593" w14:textId="77777777" w:rsidR="00AF3004" w:rsidRDefault="00AF3004">
            <w:pPr>
              <w:pStyle w:val="xLedtext"/>
              <w:rPr>
                <w:lang w:val="de-DE"/>
              </w:rPr>
            </w:pPr>
          </w:p>
        </w:tc>
      </w:tr>
      <w:tr w:rsidR="00AF3004" w14:paraId="57E5621D" w14:textId="77777777">
        <w:trPr>
          <w:cantSplit/>
          <w:trHeight w:val="238"/>
        </w:trPr>
        <w:tc>
          <w:tcPr>
            <w:tcW w:w="861" w:type="dxa"/>
            <w:vMerge/>
            <w:tcBorders>
              <w:bottom w:val="single" w:sz="4" w:space="0" w:color="auto"/>
            </w:tcBorders>
          </w:tcPr>
          <w:p w14:paraId="1500072A" w14:textId="77777777" w:rsidR="00AF3004" w:rsidRDefault="00AF3004">
            <w:pPr>
              <w:pStyle w:val="xAvsandare3"/>
              <w:rPr>
                <w:lang w:val="de-DE"/>
              </w:rPr>
            </w:pPr>
          </w:p>
        </w:tc>
        <w:tc>
          <w:tcPr>
            <w:tcW w:w="4448" w:type="dxa"/>
            <w:tcBorders>
              <w:bottom w:val="single" w:sz="4" w:space="0" w:color="auto"/>
            </w:tcBorders>
            <w:vAlign w:val="center"/>
          </w:tcPr>
          <w:p w14:paraId="3D1F8011" w14:textId="77777777" w:rsidR="00AF3004" w:rsidRDefault="00AF3004">
            <w:pPr>
              <w:pStyle w:val="xAvsandare3"/>
              <w:rPr>
                <w:lang w:val="de-DE"/>
              </w:rPr>
            </w:pPr>
          </w:p>
        </w:tc>
        <w:tc>
          <w:tcPr>
            <w:tcW w:w="1725" w:type="dxa"/>
            <w:tcBorders>
              <w:bottom w:val="single" w:sz="4" w:space="0" w:color="auto"/>
            </w:tcBorders>
            <w:vAlign w:val="center"/>
          </w:tcPr>
          <w:p w14:paraId="7C80F3A6" w14:textId="77777777" w:rsidR="00AF3004" w:rsidRDefault="00AF3004">
            <w:pPr>
              <w:pStyle w:val="xDatum2"/>
              <w:rPr>
                <w:lang w:val="de-DE"/>
              </w:rPr>
            </w:pPr>
          </w:p>
        </w:tc>
        <w:tc>
          <w:tcPr>
            <w:tcW w:w="2563" w:type="dxa"/>
            <w:tcBorders>
              <w:bottom w:val="single" w:sz="4" w:space="0" w:color="auto"/>
            </w:tcBorders>
            <w:vAlign w:val="center"/>
          </w:tcPr>
          <w:p w14:paraId="7A102196" w14:textId="77777777" w:rsidR="00AF3004" w:rsidRDefault="00AF3004">
            <w:pPr>
              <w:pStyle w:val="xBeteckning2"/>
              <w:rPr>
                <w:lang w:val="de-DE"/>
              </w:rPr>
            </w:pPr>
          </w:p>
        </w:tc>
      </w:tr>
      <w:tr w:rsidR="00AF3004" w14:paraId="436DAB06" w14:textId="77777777">
        <w:trPr>
          <w:cantSplit/>
          <w:trHeight w:val="238"/>
        </w:trPr>
        <w:tc>
          <w:tcPr>
            <w:tcW w:w="861" w:type="dxa"/>
            <w:tcBorders>
              <w:top w:val="single" w:sz="4" w:space="0" w:color="auto"/>
            </w:tcBorders>
            <w:vAlign w:val="bottom"/>
          </w:tcPr>
          <w:p w14:paraId="15F1DEA9" w14:textId="77777777" w:rsidR="00AF3004" w:rsidRDefault="00AF3004">
            <w:pPr>
              <w:pStyle w:val="xLedtext"/>
              <w:rPr>
                <w:lang w:val="de-DE"/>
              </w:rPr>
            </w:pPr>
          </w:p>
        </w:tc>
        <w:tc>
          <w:tcPr>
            <w:tcW w:w="4448" w:type="dxa"/>
            <w:tcBorders>
              <w:top w:val="single" w:sz="4" w:space="0" w:color="auto"/>
            </w:tcBorders>
            <w:vAlign w:val="bottom"/>
          </w:tcPr>
          <w:p w14:paraId="7AF7B0FD" w14:textId="77777777" w:rsidR="00AF3004" w:rsidRDefault="00AF3004">
            <w:pPr>
              <w:pStyle w:val="xLedtext"/>
              <w:rPr>
                <w:lang w:val="de-DE"/>
              </w:rPr>
            </w:pPr>
          </w:p>
        </w:tc>
        <w:tc>
          <w:tcPr>
            <w:tcW w:w="4288" w:type="dxa"/>
            <w:gridSpan w:val="2"/>
            <w:tcBorders>
              <w:top w:val="single" w:sz="4" w:space="0" w:color="auto"/>
            </w:tcBorders>
            <w:vAlign w:val="bottom"/>
          </w:tcPr>
          <w:p w14:paraId="0B4DD193" w14:textId="77777777" w:rsidR="00AF3004" w:rsidRDefault="00AF3004">
            <w:pPr>
              <w:pStyle w:val="xLedtext"/>
              <w:rPr>
                <w:lang w:val="de-DE"/>
              </w:rPr>
            </w:pPr>
          </w:p>
        </w:tc>
      </w:tr>
      <w:tr w:rsidR="00AF3004" w14:paraId="66693A09" w14:textId="77777777">
        <w:trPr>
          <w:cantSplit/>
          <w:trHeight w:val="238"/>
        </w:trPr>
        <w:tc>
          <w:tcPr>
            <w:tcW w:w="861" w:type="dxa"/>
          </w:tcPr>
          <w:p w14:paraId="6146EEFA" w14:textId="77777777" w:rsidR="00AF3004" w:rsidRDefault="00AF3004">
            <w:pPr>
              <w:pStyle w:val="xCelltext"/>
              <w:rPr>
                <w:lang w:val="de-DE"/>
              </w:rPr>
            </w:pPr>
          </w:p>
        </w:tc>
        <w:tc>
          <w:tcPr>
            <w:tcW w:w="4448" w:type="dxa"/>
            <w:vMerge w:val="restart"/>
          </w:tcPr>
          <w:p w14:paraId="794AD8F0" w14:textId="77777777" w:rsidR="00AF3004" w:rsidRDefault="00AF3004">
            <w:pPr>
              <w:pStyle w:val="xMottagare1"/>
            </w:pPr>
            <w:bookmarkStart w:id="0" w:name="_top"/>
            <w:bookmarkEnd w:id="0"/>
            <w:r>
              <w:t>Till Ålands lagting</w:t>
            </w:r>
          </w:p>
        </w:tc>
        <w:tc>
          <w:tcPr>
            <w:tcW w:w="4288" w:type="dxa"/>
            <w:gridSpan w:val="2"/>
            <w:vMerge w:val="restart"/>
          </w:tcPr>
          <w:p w14:paraId="47717383" w14:textId="6A9F183D" w:rsidR="00F50CC4" w:rsidRPr="00F50CC4" w:rsidRDefault="00F50CC4" w:rsidP="00562E03">
            <w:pPr>
              <w:pStyle w:val="xMottagare4"/>
            </w:pPr>
          </w:p>
        </w:tc>
      </w:tr>
      <w:tr w:rsidR="00AF3004" w14:paraId="04627320" w14:textId="77777777">
        <w:trPr>
          <w:cantSplit/>
          <w:trHeight w:val="238"/>
        </w:trPr>
        <w:tc>
          <w:tcPr>
            <w:tcW w:w="861" w:type="dxa"/>
          </w:tcPr>
          <w:p w14:paraId="6DE4561D" w14:textId="77777777" w:rsidR="00AF3004" w:rsidRDefault="00AF3004">
            <w:pPr>
              <w:pStyle w:val="xCelltext"/>
            </w:pPr>
          </w:p>
        </w:tc>
        <w:tc>
          <w:tcPr>
            <w:tcW w:w="4448" w:type="dxa"/>
            <w:vMerge/>
            <w:vAlign w:val="center"/>
          </w:tcPr>
          <w:p w14:paraId="6BC8977C" w14:textId="77777777" w:rsidR="00AF3004" w:rsidRDefault="00AF3004">
            <w:pPr>
              <w:pStyle w:val="xCelltext"/>
            </w:pPr>
          </w:p>
        </w:tc>
        <w:tc>
          <w:tcPr>
            <w:tcW w:w="4288" w:type="dxa"/>
            <w:gridSpan w:val="2"/>
            <w:vMerge/>
            <w:vAlign w:val="center"/>
          </w:tcPr>
          <w:p w14:paraId="0968611E" w14:textId="77777777" w:rsidR="00AF3004" w:rsidRDefault="00AF3004">
            <w:pPr>
              <w:pStyle w:val="xCelltext"/>
            </w:pPr>
          </w:p>
        </w:tc>
      </w:tr>
      <w:tr w:rsidR="00AF3004" w14:paraId="36EAECAC" w14:textId="77777777">
        <w:trPr>
          <w:cantSplit/>
          <w:trHeight w:val="238"/>
        </w:trPr>
        <w:tc>
          <w:tcPr>
            <w:tcW w:w="861" w:type="dxa"/>
          </w:tcPr>
          <w:p w14:paraId="4FE74114" w14:textId="77777777" w:rsidR="00AF3004" w:rsidRDefault="00AF3004">
            <w:pPr>
              <w:pStyle w:val="xCelltext"/>
            </w:pPr>
          </w:p>
        </w:tc>
        <w:tc>
          <w:tcPr>
            <w:tcW w:w="4448" w:type="dxa"/>
            <w:vMerge/>
            <w:vAlign w:val="center"/>
          </w:tcPr>
          <w:p w14:paraId="75B88DC7" w14:textId="77777777" w:rsidR="00AF3004" w:rsidRDefault="00AF3004">
            <w:pPr>
              <w:pStyle w:val="xCelltext"/>
            </w:pPr>
          </w:p>
        </w:tc>
        <w:tc>
          <w:tcPr>
            <w:tcW w:w="4288" w:type="dxa"/>
            <w:gridSpan w:val="2"/>
            <w:vMerge/>
            <w:vAlign w:val="center"/>
          </w:tcPr>
          <w:p w14:paraId="4424129D" w14:textId="77777777" w:rsidR="00AF3004" w:rsidRDefault="00AF3004">
            <w:pPr>
              <w:pStyle w:val="xCelltext"/>
            </w:pPr>
          </w:p>
        </w:tc>
      </w:tr>
      <w:tr w:rsidR="00AF3004" w14:paraId="65B5404C" w14:textId="77777777">
        <w:trPr>
          <w:cantSplit/>
          <w:trHeight w:val="238"/>
        </w:trPr>
        <w:tc>
          <w:tcPr>
            <w:tcW w:w="861" w:type="dxa"/>
          </w:tcPr>
          <w:p w14:paraId="6D8661F1" w14:textId="77777777" w:rsidR="00AF3004" w:rsidRDefault="00AF3004">
            <w:pPr>
              <w:pStyle w:val="xCelltext"/>
            </w:pPr>
          </w:p>
        </w:tc>
        <w:tc>
          <w:tcPr>
            <w:tcW w:w="4448" w:type="dxa"/>
            <w:vMerge/>
            <w:vAlign w:val="center"/>
          </w:tcPr>
          <w:p w14:paraId="57684420" w14:textId="77777777" w:rsidR="00AF3004" w:rsidRDefault="00AF3004">
            <w:pPr>
              <w:pStyle w:val="xCelltext"/>
            </w:pPr>
          </w:p>
        </w:tc>
        <w:tc>
          <w:tcPr>
            <w:tcW w:w="4288" w:type="dxa"/>
            <w:gridSpan w:val="2"/>
            <w:vMerge/>
            <w:vAlign w:val="center"/>
          </w:tcPr>
          <w:p w14:paraId="560A56EA" w14:textId="77777777" w:rsidR="00AF3004" w:rsidRDefault="00AF3004">
            <w:pPr>
              <w:pStyle w:val="xCelltext"/>
            </w:pPr>
          </w:p>
        </w:tc>
      </w:tr>
      <w:tr w:rsidR="00AF3004" w14:paraId="06F7092C" w14:textId="77777777">
        <w:trPr>
          <w:cantSplit/>
          <w:trHeight w:val="238"/>
        </w:trPr>
        <w:tc>
          <w:tcPr>
            <w:tcW w:w="861" w:type="dxa"/>
          </w:tcPr>
          <w:p w14:paraId="75709606" w14:textId="77777777" w:rsidR="00AF3004" w:rsidRDefault="00AF3004">
            <w:pPr>
              <w:pStyle w:val="xCelltext"/>
            </w:pPr>
          </w:p>
        </w:tc>
        <w:tc>
          <w:tcPr>
            <w:tcW w:w="4448" w:type="dxa"/>
            <w:vMerge/>
            <w:vAlign w:val="center"/>
          </w:tcPr>
          <w:p w14:paraId="7B384C07" w14:textId="77777777" w:rsidR="00AF3004" w:rsidRDefault="00AF3004">
            <w:pPr>
              <w:pStyle w:val="xCelltext"/>
            </w:pPr>
          </w:p>
        </w:tc>
        <w:tc>
          <w:tcPr>
            <w:tcW w:w="4288" w:type="dxa"/>
            <w:gridSpan w:val="2"/>
            <w:vMerge/>
            <w:vAlign w:val="center"/>
          </w:tcPr>
          <w:p w14:paraId="39C99F74" w14:textId="77777777" w:rsidR="00AF3004" w:rsidRDefault="00AF3004">
            <w:pPr>
              <w:pStyle w:val="xCelltext"/>
            </w:pPr>
          </w:p>
        </w:tc>
      </w:tr>
    </w:tbl>
    <w:p w14:paraId="4E27A344" w14:textId="77777777" w:rsidR="00AF3004" w:rsidRDefault="00AF3004">
      <w:pPr>
        <w:rPr>
          <w:b/>
          <w:bCs/>
        </w:rPr>
        <w:sectPr w:rsidR="00AF3004">
          <w:footerReference w:type="even" r:id="rId9"/>
          <w:footerReference w:type="default" r:id="rId10"/>
          <w:pgSz w:w="11906" w:h="16838" w:code="9"/>
          <w:pgMar w:top="567" w:right="1134" w:bottom="1134" w:left="1191" w:header="624" w:footer="851" w:gutter="0"/>
          <w:cols w:space="708"/>
          <w:docGrid w:linePitch="360"/>
        </w:sectPr>
      </w:pPr>
    </w:p>
    <w:p w14:paraId="61AF5014" w14:textId="2CBC28D1" w:rsidR="00AF3004" w:rsidRDefault="00E13420">
      <w:pPr>
        <w:pStyle w:val="ArendeRubrik"/>
      </w:pPr>
      <w:r>
        <w:t>Ändringar i kommunalbeskattningen 2023</w:t>
      </w:r>
    </w:p>
    <w:p w14:paraId="1D9FEA15" w14:textId="77777777" w:rsidR="00AF3004" w:rsidRDefault="00AF3004">
      <w:pPr>
        <w:pStyle w:val="ANormal"/>
      </w:pPr>
    </w:p>
    <w:p w14:paraId="1AE3E0CD" w14:textId="77777777" w:rsidR="00AF3004" w:rsidRDefault="00AF3004">
      <w:pPr>
        <w:pStyle w:val="ANormal"/>
      </w:pPr>
    </w:p>
    <w:p w14:paraId="3333E2A7" w14:textId="77777777" w:rsidR="00AF3004" w:rsidRDefault="00AF3004">
      <w:pPr>
        <w:pStyle w:val="RubrikA"/>
      </w:pPr>
      <w:bookmarkStart w:id="1" w:name="_Toc120194592"/>
      <w:r>
        <w:t>Huvudsakligt innehåll</w:t>
      </w:r>
      <w:bookmarkEnd w:id="1"/>
    </w:p>
    <w:p w14:paraId="688AF3C3" w14:textId="77777777" w:rsidR="00AF3004" w:rsidRDefault="00AF3004">
      <w:pPr>
        <w:pStyle w:val="Rubrikmellanrum"/>
      </w:pPr>
    </w:p>
    <w:p w14:paraId="35B66A8A" w14:textId="54475656" w:rsidR="00AF3004" w:rsidRDefault="0069463A">
      <w:pPr>
        <w:pStyle w:val="ANormal"/>
      </w:pPr>
      <w:r>
        <w:t xml:space="preserve">Landskapsregeringen föreslår att grundavdraget höjs genom att avdragets </w:t>
      </w:r>
      <w:r w:rsidR="00603912" w:rsidRPr="00562E03">
        <w:t>nedtrappningsgrad</w:t>
      </w:r>
      <w:r>
        <w:t xml:space="preserve"> sänks. </w:t>
      </w:r>
      <w:r w:rsidR="009970EE">
        <w:t>Grundavdragets maxbelopp är 3 500 euro, vilket innebär att e</w:t>
      </w:r>
      <w:r>
        <w:t xml:space="preserve">n skattskyldig som har en förvärvsinkomst efter andra avdrag som uppgår till 3 500 euro eller mindre får dra av hela beloppet. Om förvärvsinkomsten överstiger 3 500 euro </w:t>
      </w:r>
      <w:r w:rsidR="009970EE">
        <w:t>sänks</w:t>
      </w:r>
      <w:r>
        <w:t xml:space="preserve"> grundavdraget </w:t>
      </w:r>
      <w:r w:rsidR="009970EE">
        <w:t xml:space="preserve">enligt gällande lag </w:t>
      </w:r>
      <w:r>
        <w:t>med 18</w:t>
      </w:r>
      <w:r w:rsidR="009970EE">
        <w:t> procent av det överstigande beloppet. Enligt förslaget ska avdraget sänkas med 8,4 procent av det överstigande beloppet.</w:t>
      </w:r>
    </w:p>
    <w:p w14:paraId="675927B7" w14:textId="128D410F" w:rsidR="000E7F44" w:rsidRDefault="009970EE">
      <w:pPr>
        <w:pStyle w:val="ANormal"/>
      </w:pPr>
      <w:r>
        <w:tab/>
        <w:t xml:space="preserve">Förslaget innehåller även temporära bestämmelser som </w:t>
      </w:r>
      <w:r w:rsidR="000E7F44">
        <w:t>innebär</w:t>
      </w:r>
      <w:r>
        <w:t xml:space="preserve"> att hushållsavdraget enligt vissa avvikande grunder samt på basis av elenergiräkningar ska tillämpas även vid kommunalbeskattningen på Åland. </w:t>
      </w:r>
      <w:r w:rsidR="000E7F44">
        <w:t>Hushållsavdraget är ett avdrag som primärt dras från statsskatten, men i de fall där statsskatten inte är tillräcklig dras avdraget också från kommunalskatten och till den delen regleras avdraget i kommunalskattelagen. De avvikande grunderna gäller höjt hushållsavdrag för kostnader för avstående från oljeuppvärmning samt hushålls-, omsorgs- och vårdarbete och är avsedda att tillämpas för skatteåren 2022–2027. Det höjda hushållsavdraget på basis av el</w:t>
      </w:r>
      <w:r w:rsidR="00FD428D">
        <w:softHyphen/>
        <w:t>-</w:t>
      </w:r>
      <w:r w:rsidR="000E7F44">
        <w:t>energiräkningar gäller skatteåret 2023.</w:t>
      </w:r>
    </w:p>
    <w:p w14:paraId="7AA5C249" w14:textId="7A89B370" w:rsidR="00BD76E3" w:rsidRDefault="00BD76E3">
      <w:pPr>
        <w:pStyle w:val="ANormal"/>
      </w:pPr>
      <w:r>
        <w:tab/>
        <w:t xml:space="preserve">Slutligen ingår i förslaget också </w:t>
      </w:r>
      <w:r w:rsidR="00FD428D">
        <w:t>komplettering och förtydligande</w:t>
      </w:r>
      <w:r>
        <w:t xml:space="preserve"> av </w:t>
      </w:r>
      <w:r w:rsidR="00FD428D">
        <w:t xml:space="preserve">vissa bestämmelser i </w:t>
      </w:r>
      <w:r>
        <w:t>kommunalskattelagen</w:t>
      </w:r>
      <w:r w:rsidR="00FD428D">
        <w:t>, vilket</w:t>
      </w:r>
      <w:r>
        <w:t xml:space="preserve"> föranleds av de ändringar som sker i beskattningen i riket med anledning av den stora social- och hälsovårdsreformen där.</w:t>
      </w:r>
      <w:r w:rsidR="00FD428D">
        <w:t xml:space="preserve"> Till den delen är </w:t>
      </w:r>
      <w:r w:rsidR="005143AC">
        <w:t>syftet</w:t>
      </w:r>
      <w:r w:rsidR="00FD428D">
        <w:t xml:space="preserve"> med förslaget att kommunalbeskattningen på Åland inte ska förändras.</w:t>
      </w:r>
    </w:p>
    <w:p w14:paraId="3221FCC9" w14:textId="5005A128" w:rsidR="00AF3004" w:rsidRDefault="00FD428D">
      <w:pPr>
        <w:pStyle w:val="ANormal"/>
      </w:pPr>
      <w:r>
        <w:tab/>
        <w:t>De föreslagna lagändringarna är avsedda att tillämpas från och med beskattningen för skatteåret 2023, förutom förslaget om vissa avvikande grunder för hushållsavdraget som är avsett att även tillämpas retroaktivt vid beskattningen för skatteåret 2022.</w:t>
      </w:r>
      <w:r w:rsidR="00433122">
        <w:t xml:space="preserve"> Med hänvisning till det bör lagstiftningen träda i kraft så snart som möjligt.</w:t>
      </w:r>
    </w:p>
    <w:p w14:paraId="03046B07" w14:textId="77777777" w:rsidR="0059641A" w:rsidRDefault="0059641A">
      <w:pPr>
        <w:pStyle w:val="ANormal"/>
      </w:pPr>
    </w:p>
    <w:p w14:paraId="5CEB7DE4" w14:textId="77777777" w:rsidR="00AF3004" w:rsidRDefault="00EA54B2">
      <w:pPr>
        <w:pStyle w:val="ANormal"/>
        <w:jc w:val="center"/>
      </w:pPr>
      <w:hyperlink w:anchor="_top" w:tooltip="Klicka för att gå till toppen av dokumentet" w:history="1">
        <w:r w:rsidR="00AF3004">
          <w:rPr>
            <w:rStyle w:val="Hyperlnk"/>
          </w:rPr>
          <w:t>__________________</w:t>
        </w:r>
      </w:hyperlink>
    </w:p>
    <w:p w14:paraId="5149699F" w14:textId="77777777" w:rsidR="00AF3004" w:rsidRDefault="00AF3004">
      <w:pPr>
        <w:pStyle w:val="ANormal"/>
      </w:pPr>
    </w:p>
    <w:p w14:paraId="0865D1C8" w14:textId="77777777" w:rsidR="00AF3004" w:rsidRDefault="00AF3004">
      <w:pPr>
        <w:pStyle w:val="ANormal"/>
      </w:pPr>
      <w:r>
        <w:br w:type="page"/>
      </w:r>
    </w:p>
    <w:p w14:paraId="452D910A" w14:textId="77777777" w:rsidR="00AF3004" w:rsidRDefault="00AF3004">
      <w:pPr>
        <w:pStyle w:val="Innehll1"/>
      </w:pPr>
      <w:r>
        <w:lastRenderedPageBreak/>
        <w:t>INNEHÅLL</w:t>
      </w:r>
    </w:p>
    <w:p w14:paraId="527C20BC" w14:textId="32EC0FD7" w:rsidR="00F27E6E"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120194592" w:history="1">
        <w:r w:rsidR="00F27E6E" w:rsidRPr="00C96B5A">
          <w:rPr>
            <w:rStyle w:val="Hyperlnk"/>
          </w:rPr>
          <w:t>Huvudsakligt innehåll</w:t>
        </w:r>
        <w:r w:rsidR="00F27E6E">
          <w:rPr>
            <w:webHidden/>
          </w:rPr>
          <w:tab/>
        </w:r>
        <w:r w:rsidR="00F27E6E">
          <w:rPr>
            <w:webHidden/>
          </w:rPr>
          <w:fldChar w:fldCharType="begin"/>
        </w:r>
        <w:r w:rsidR="00F27E6E">
          <w:rPr>
            <w:webHidden/>
          </w:rPr>
          <w:instrText xml:space="preserve"> PAGEREF _Toc120194592 \h </w:instrText>
        </w:r>
        <w:r w:rsidR="00F27E6E">
          <w:rPr>
            <w:webHidden/>
          </w:rPr>
        </w:r>
        <w:r w:rsidR="00F27E6E">
          <w:rPr>
            <w:webHidden/>
          </w:rPr>
          <w:fldChar w:fldCharType="separate"/>
        </w:r>
        <w:r w:rsidR="00F27E6E">
          <w:rPr>
            <w:webHidden/>
          </w:rPr>
          <w:t>1</w:t>
        </w:r>
        <w:r w:rsidR="00F27E6E">
          <w:rPr>
            <w:webHidden/>
          </w:rPr>
          <w:fldChar w:fldCharType="end"/>
        </w:r>
      </w:hyperlink>
    </w:p>
    <w:p w14:paraId="7F00AE4D" w14:textId="619DFC72" w:rsidR="00F27E6E" w:rsidRDefault="00EA54B2">
      <w:pPr>
        <w:pStyle w:val="Innehll1"/>
        <w:rPr>
          <w:rFonts w:asciiTheme="minorHAnsi" w:eastAsiaTheme="minorEastAsia" w:hAnsiTheme="minorHAnsi" w:cstheme="minorBidi"/>
          <w:sz w:val="22"/>
          <w:szCs w:val="22"/>
          <w:lang w:val="sv-FI" w:eastAsia="sv-FI"/>
        </w:rPr>
      </w:pPr>
      <w:hyperlink w:anchor="_Toc120194593" w:history="1">
        <w:r w:rsidR="00F27E6E" w:rsidRPr="00C96B5A">
          <w:rPr>
            <w:rStyle w:val="Hyperlnk"/>
          </w:rPr>
          <w:t>Allmän motivering</w:t>
        </w:r>
        <w:r w:rsidR="00F27E6E">
          <w:rPr>
            <w:webHidden/>
          </w:rPr>
          <w:tab/>
        </w:r>
        <w:r w:rsidR="00F27E6E">
          <w:rPr>
            <w:webHidden/>
          </w:rPr>
          <w:fldChar w:fldCharType="begin"/>
        </w:r>
        <w:r w:rsidR="00F27E6E">
          <w:rPr>
            <w:webHidden/>
          </w:rPr>
          <w:instrText xml:space="preserve"> PAGEREF _Toc120194593 \h </w:instrText>
        </w:r>
        <w:r w:rsidR="00F27E6E">
          <w:rPr>
            <w:webHidden/>
          </w:rPr>
        </w:r>
        <w:r w:rsidR="00F27E6E">
          <w:rPr>
            <w:webHidden/>
          </w:rPr>
          <w:fldChar w:fldCharType="separate"/>
        </w:r>
        <w:r w:rsidR="00F27E6E">
          <w:rPr>
            <w:webHidden/>
          </w:rPr>
          <w:t>3</w:t>
        </w:r>
        <w:r w:rsidR="00F27E6E">
          <w:rPr>
            <w:webHidden/>
          </w:rPr>
          <w:fldChar w:fldCharType="end"/>
        </w:r>
      </w:hyperlink>
    </w:p>
    <w:p w14:paraId="582BB04A" w14:textId="5964D5B1" w:rsidR="00F27E6E" w:rsidRDefault="00EA54B2">
      <w:pPr>
        <w:pStyle w:val="Innehll2"/>
        <w:rPr>
          <w:rFonts w:asciiTheme="minorHAnsi" w:eastAsiaTheme="minorEastAsia" w:hAnsiTheme="minorHAnsi" w:cstheme="minorBidi"/>
          <w:sz w:val="22"/>
          <w:szCs w:val="22"/>
          <w:lang w:val="sv-FI" w:eastAsia="sv-FI"/>
        </w:rPr>
      </w:pPr>
      <w:hyperlink w:anchor="_Toc120194594" w:history="1">
        <w:r w:rsidR="00F27E6E" w:rsidRPr="00C96B5A">
          <w:rPr>
            <w:rStyle w:val="Hyperlnk"/>
          </w:rPr>
          <w:t>1. Bakgrund</w:t>
        </w:r>
        <w:r w:rsidR="00F27E6E">
          <w:rPr>
            <w:webHidden/>
          </w:rPr>
          <w:tab/>
        </w:r>
        <w:r w:rsidR="00F27E6E">
          <w:rPr>
            <w:webHidden/>
          </w:rPr>
          <w:fldChar w:fldCharType="begin"/>
        </w:r>
        <w:r w:rsidR="00F27E6E">
          <w:rPr>
            <w:webHidden/>
          </w:rPr>
          <w:instrText xml:space="preserve"> PAGEREF _Toc120194594 \h </w:instrText>
        </w:r>
        <w:r w:rsidR="00F27E6E">
          <w:rPr>
            <w:webHidden/>
          </w:rPr>
        </w:r>
        <w:r w:rsidR="00F27E6E">
          <w:rPr>
            <w:webHidden/>
          </w:rPr>
          <w:fldChar w:fldCharType="separate"/>
        </w:r>
        <w:r w:rsidR="00F27E6E">
          <w:rPr>
            <w:webHidden/>
          </w:rPr>
          <w:t>3</w:t>
        </w:r>
        <w:r w:rsidR="00F27E6E">
          <w:rPr>
            <w:webHidden/>
          </w:rPr>
          <w:fldChar w:fldCharType="end"/>
        </w:r>
      </w:hyperlink>
    </w:p>
    <w:p w14:paraId="1F16EB84" w14:textId="454199FD" w:rsidR="00F27E6E" w:rsidRDefault="00EA54B2">
      <w:pPr>
        <w:pStyle w:val="Innehll3"/>
        <w:rPr>
          <w:rFonts w:asciiTheme="minorHAnsi" w:eastAsiaTheme="minorEastAsia" w:hAnsiTheme="minorHAnsi" w:cstheme="minorBidi"/>
          <w:sz w:val="22"/>
          <w:szCs w:val="22"/>
          <w:lang w:val="sv-FI" w:eastAsia="sv-FI"/>
        </w:rPr>
      </w:pPr>
      <w:hyperlink w:anchor="_Toc120194595" w:history="1">
        <w:r w:rsidR="00F27E6E" w:rsidRPr="00C96B5A">
          <w:rPr>
            <w:rStyle w:val="Hyperlnk"/>
          </w:rPr>
          <w:t>1.1 Landskapslagstiftningen om kommunalbeskattning</w:t>
        </w:r>
        <w:r w:rsidR="00F27E6E">
          <w:rPr>
            <w:webHidden/>
          </w:rPr>
          <w:tab/>
        </w:r>
        <w:r w:rsidR="00F27E6E">
          <w:rPr>
            <w:webHidden/>
          </w:rPr>
          <w:fldChar w:fldCharType="begin"/>
        </w:r>
        <w:r w:rsidR="00F27E6E">
          <w:rPr>
            <w:webHidden/>
          </w:rPr>
          <w:instrText xml:space="preserve"> PAGEREF _Toc120194595 \h </w:instrText>
        </w:r>
        <w:r w:rsidR="00F27E6E">
          <w:rPr>
            <w:webHidden/>
          </w:rPr>
        </w:r>
        <w:r w:rsidR="00F27E6E">
          <w:rPr>
            <w:webHidden/>
          </w:rPr>
          <w:fldChar w:fldCharType="separate"/>
        </w:r>
        <w:r w:rsidR="00F27E6E">
          <w:rPr>
            <w:webHidden/>
          </w:rPr>
          <w:t>3</w:t>
        </w:r>
        <w:r w:rsidR="00F27E6E">
          <w:rPr>
            <w:webHidden/>
          </w:rPr>
          <w:fldChar w:fldCharType="end"/>
        </w:r>
      </w:hyperlink>
    </w:p>
    <w:p w14:paraId="4D55D841" w14:textId="6E1A8EE0" w:rsidR="00F27E6E" w:rsidRDefault="00EA54B2">
      <w:pPr>
        <w:pStyle w:val="Innehll3"/>
        <w:rPr>
          <w:rFonts w:asciiTheme="minorHAnsi" w:eastAsiaTheme="minorEastAsia" w:hAnsiTheme="minorHAnsi" w:cstheme="minorBidi"/>
          <w:sz w:val="22"/>
          <w:szCs w:val="22"/>
          <w:lang w:val="sv-FI" w:eastAsia="sv-FI"/>
        </w:rPr>
      </w:pPr>
      <w:hyperlink w:anchor="_Toc120194596" w:history="1">
        <w:r w:rsidR="00F27E6E" w:rsidRPr="00C96B5A">
          <w:rPr>
            <w:rStyle w:val="Hyperlnk"/>
          </w:rPr>
          <w:t>1.2 Ändringar i rikslagstiftningen från och med skatteåret 2023</w:t>
        </w:r>
        <w:r w:rsidR="00F27E6E">
          <w:rPr>
            <w:webHidden/>
          </w:rPr>
          <w:tab/>
        </w:r>
        <w:r w:rsidR="00F27E6E">
          <w:rPr>
            <w:webHidden/>
          </w:rPr>
          <w:fldChar w:fldCharType="begin"/>
        </w:r>
        <w:r w:rsidR="00F27E6E">
          <w:rPr>
            <w:webHidden/>
          </w:rPr>
          <w:instrText xml:space="preserve"> PAGEREF _Toc120194596 \h </w:instrText>
        </w:r>
        <w:r w:rsidR="00F27E6E">
          <w:rPr>
            <w:webHidden/>
          </w:rPr>
        </w:r>
        <w:r w:rsidR="00F27E6E">
          <w:rPr>
            <w:webHidden/>
          </w:rPr>
          <w:fldChar w:fldCharType="separate"/>
        </w:r>
        <w:r w:rsidR="00F27E6E">
          <w:rPr>
            <w:webHidden/>
          </w:rPr>
          <w:t>3</w:t>
        </w:r>
        <w:r w:rsidR="00F27E6E">
          <w:rPr>
            <w:webHidden/>
          </w:rPr>
          <w:fldChar w:fldCharType="end"/>
        </w:r>
      </w:hyperlink>
    </w:p>
    <w:p w14:paraId="71562361" w14:textId="768804D2" w:rsidR="00F27E6E" w:rsidRDefault="00EA54B2">
      <w:pPr>
        <w:pStyle w:val="Innehll2"/>
        <w:rPr>
          <w:rFonts w:asciiTheme="minorHAnsi" w:eastAsiaTheme="minorEastAsia" w:hAnsiTheme="minorHAnsi" w:cstheme="minorBidi"/>
          <w:sz w:val="22"/>
          <w:szCs w:val="22"/>
          <w:lang w:val="sv-FI" w:eastAsia="sv-FI"/>
        </w:rPr>
      </w:pPr>
      <w:hyperlink w:anchor="_Toc120194597" w:history="1">
        <w:r w:rsidR="00F27E6E" w:rsidRPr="00C96B5A">
          <w:rPr>
            <w:rStyle w:val="Hyperlnk"/>
          </w:rPr>
          <w:t>2. Landskapsregeringens överväganden och förslag</w:t>
        </w:r>
        <w:r w:rsidR="00F27E6E">
          <w:rPr>
            <w:webHidden/>
          </w:rPr>
          <w:tab/>
        </w:r>
        <w:r w:rsidR="00F27E6E">
          <w:rPr>
            <w:webHidden/>
          </w:rPr>
          <w:fldChar w:fldCharType="begin"/>
        </w:r>
        <w:r w:rsidR="00F27E6E">
          <w:rPr>
            <w:webHidden/>
          </w:rPr>
          <w:instrText xml:space="preserve"> PAGEREF _Toc120194597 \h </w:instrText>
        </w:r>
        <w:r w:rsidR="00F27E6E">
          <w:rPr>
            <w:webHidden/>
          </w:rPr>
        </w:r>
        <w:r w:rsidR="00F27E6E">
          <w:rPr>
            <w:webHidden/>
          </w:rPr>
          <w:fldChar w:fldCharType="separate"/>
        </w:r>
        <w:r w:rsidR="00F27E6E">
          <w:rPr>
            <w:webHidden/>
          </w:rPr>
          <w:t>4</w:t>
        </w:r>
        <w:r w:rsidR="00F27E6E">
          <w:rPr>
            <w:webHidden/>
          </w:rPr>
          <w:fldChar w:fldCharType="end"/>
        </w:r>
      </w:hyperlink>
    </w:p>
    <w:p w14:paraId="1098446A" w14:textId="0A41F657" w:rsidR="00F27E6E" w:rsidRDefault="00EA54B2">
      <w:pPr>
        <w:pStyle w:val="Innehll3"/>
        <w:rPr>
          <w:rFonts w:asciiTheme="minorHAnsi" w:eastAsiaTheme="minorEastAsia" w:hAnsiTheme="minorHAnsi" w:cstheme="minorBidi"/>
          <w:sz w:val="22"/>
          <w:szCs w:val="22"/>
          <w:lang w:val="sv-FI" w:eastAsia="sv-FI"/>
        </w:rPr>
      </w:pPr>
      <w:hyperlink w:anchor="_Toc120194598" w:history="1">
        <w:r w:rsidR="00F27E6E" w:rsidRPr="00C96B5A">
          <w:rPr>
            <w:rStyle w:val="Hyperlnk"/>
          </w:rPr>
          <w:t>2.1 Grundavdraget</w:t>
        </w:r>
        <w:r w:rsidR="00F27E6E">
          <w:rPr>
            <w:webHidden/>
          </w:rPr>
          <w:tab/>
        </w:r>
        <w:r w:rsidR="00F27E6E">
          <w:rPr>
            <w:webHidden/>
          </w:rPr>
          <w:fldChar w:fldCharType="begin"/>
        </w:r>
        <w:r w:rsidR="00F27E6E">
          <w:rPr>
            <w:webHidden/>
          </w:rPr>
          <w:instrText xml:space="preserve"> PAGEREF _Toc120194598 \h </w:instrText>
        </w:r>
        <w:r w:rsidR="00F27E6E">
          <w:rPr>
            <w:webHidden/>
          </w:rPr>
        </w:r>
        <w:r w:rsidR="00F27E6E">
          <w:rPr>
            <w:webHidden/>
          </w:rPr>
          <w:fldChar w:fldCharType="separate"/>
        </w:r>
        <w:r w:rsidR="00F27E6E">
          <w:rPr>
            <w:webHidden/>
          </w:rPr>
          <w:t>4</w:t>
        </w:r>
        <w:r w:rsidR="00F27E6E">
          <w:rPr>
            <w:webHidden/>
          </w:rPr>
          <w:fldChar w:fldCharType="end"/>
        </w:r>
      </w:hyperlink>
    </w:p>
    <w:p w14:paraId="3C8559DE" w14:textId="3C0E063A" w:rsidR="00F27E6E" w:rsidRDefault="00EA54B2">
      <w:pPr>
        <w:pStyle w:val="Innehll3"/>
        <w:rPr>
          <w:rFonts w:asciiTheme="minorHAnsi" w:eastAsiaTheme="minorEastAsia" w:hAnsiTheme="minorHAnsi" w:cstheme="minorBidi"/>
          <w:sz w:val="22"/>
          <w:szCs w:val="22"/>
          <w:lang w:val="sv-FI" w:eastAsia="sv-FI"/>
        </w:rPr>
      </w:pPr>
      <w:hyperlink w:anchor="_Toc120194599" w:history="1">
        <w:r w:rsidR="00F27E6E" w:rsidRPr="00C96B5A">
          <w:rPr>
            <w:rStyle w:val="Hyperlnk"/>
          </w:rPr>
          <w:t>2.2 Hushållsavdraget från kommunalskatten</w:t>
        </w:r>
        <w:r w:rsidR="00F27E6E">
          <w:rPr>
            <w:webHidden/>
          </w:rPr>
          <w:tab/>
        </w:r>
        <w:r w:rsidR="00F27E6E">
          <w:rPr>
            <w:webHidden/>
          </w:rPr>
          <w:fldChar w:fldCharType="begin"/>
        </w:r>
        <w:r w:rsidR="00F27E6E">
          <w:rPr>
            <w:webHidden/>
          </w:rPr>
          <w:instrText xml:space="preserve"> PAGEREF _Toc120194599 \h </w:instrText>
        </w:r>
        <w:r w:rsidR="00F27E6E">
          <w:rPr>
            <w:webHidden/>
          </w:rPr>
        </w:r>
        <w:r w:rsidR="00F27E6E">
          <w:rPr>
            <w:webHidden/>
          </w:rPr>
          <w:fldChar w:fldCharType="separate"/>
        </w:r>
        <w:r w:rsidR="00F27E6E">
          <w:rPr>
            <w:webHidden/>
          </w:rPr>
          <w:t>4</w:t>
        </w:r>
        <w:r w:rsidR="00F27E6E">
          <w:rPr>
            <w:webHidden/>
          </w:rPr>
          <w:fldChar w:fldCharType="end"/>
        </w:r>
      </w:hyperlink>
    </w:p>
    <w:p w14:paraId="62D57ECD" w14:textId="3AF123B1" w:rsidR="00F27E6E" w:rsidRDefault="00EA54B2">
      <w:pPr>
        <w:pStyle w:val="Innehll3"/>
        <w:rPr>
          <w:rFonts w:asciiTheme="minorHAnsi" w:eastAsiaTheme="minorEastAsia" w:hAnsiTheme="minorHAnsi" w:cstheme="minorBidi"/>
          <w:sz w:val="22"/>
          <w:szCs w:val="22"/>
          <w:lang w:val="sv-FI" w:eastAsia="sv-FI"/>
        </w:rPr>
      </w:pPr>
      <w:hyperlink w:anchor="_Toc120194600" w:history="1">
        <w:r w:rsidR="00F27E6E" w:rsidRPr="00C96B5A">
          <w:rPr>
            <w:rStyle w:val="Hyperlnk"/>
          </w:rPr>
          <w:t>2.3 Resekostnadsavdraget</w:t>
        </w:r>
        <w:r w:rsidR="00F27E6E">
          <w:rPr>
            <w:webHidden/>
          </w:rPr>
          <w:tab/>
        </w:r>
        <w:r w:rsidR="00F27E6E">
          <w:rPr>
            <w:webHidden/>
          </w:rPr>
          <w:fldChar w:fldCharType="begin"/>
        </w:r>
        <w:r w:rsidR="00F27E6E">
          <w:rPr>
            <w:webHidden/>
          </w:rPr>
          <w:instrText xml:space="preserve"> PAGEREF _Toc120194600 \h </w:instrText>
        </w:r>
        <w:r w:rsidR="00F27E6E">
          <w:rPr>
            <w:webHidden/>
          </w:rPr>
        </w:r>
        <w:r w:rsidR="00F27E6E">
          <w:rPr>
            <w:webHidden/>
          </w:rPr>
          <w:fldChar w:fldCharType="separate"/>
        </w:r>
        <w:r w:rsidR="00F27E6E">
          <w:rPr>
            <w:webHidden/>
          </w:rPr>
          <w:t>5</w:t>
        </w:r>
        <w:r w:rsidR="00F27E6E">
          <w:rPr>
            <w:webHidden/>
          </w:rPr>
          <w:fldChar w:fldCharType="end"/>
        </w:r>
      </w:hyperlink>
    </w:p>
    <w:p w14:paraId="336E608E" w14:textId="2779E716" w:rsidR="00F27E6E" w:rsidRDefault="00EA54B2">
      <w:pPr>
        <w:pStyle w:val="Innehll3"/>
        <w:rPr>
          <w:rFonts w:asciiTheme="minorHAnsi" w:eastAsiaTheme="minorEastAsia" w:hAnsiTheme="minorHAnsi" w:cstheme="minorBidi"/>
          <w:sz w:val="22"/>
          <w:szCs w:val="22"/>
          <w:lang w:val="sv-FI" w:eastAsia="sv-FI"/>
        </w:rPr>
      </w:pPr>
      <w:hyperlink w:anchor="_Toc120194601" w:history="1">
        <w:r w:rsidR="00F27E6E" w:rsidRPr="00C96B5A">
          <w:rPr>
            <w:rStyle w:val="Hyperlnk"/>
          </w:rPr>
          <w:t>2.4 Ändringar som följer av social- och hälsovårdsreformen</w:t>
        </w:r>
        <w:r w:rsidR="00F27E6E">
          <w:rPr>
            <w:webHidden/>
          </w:rPr>
          <w:tab/>
        </w:r>
        <w:r w:rsidR="00F27E6E">
          <w:rPr>
            <w:webHidden/>
          </w:rPr>
          <w:fldChar w:fldCharType="begin"/>
        </w:r>
        <w:r w:rsidR="00F27E6E">
          <w:rPr>
            <w:webHidden/>
          </w:rPr>
          <w:instrText xml:space="preserve"> PAGEREF _Toc120194601 \h </w:instrText>
        </w:r>
        <w:r w:rsidR="00F27E6E">
          <w:rPr>
            <w:webHidden/>
          </w:rPr>
        </w:r>
        <w:r w:rsidR="00F27E6E">
          <w:rPr>
            <w:webHidden/>
          </w:rPr>
          <w:fldChar w:fldCharType="separate"/>
        </w:r>
        <w:r w:rsidR="00F27E6E">
          <w:rPr>
            <w:webHidden/>
          </w:rPr>
          <w:t>5</w:t>
        </w:r>
        <w:r w:rsidR="00F27E6E">
          <w:rPr>
            <w:webHidden/>
          </w:rPr>
          <w:fldChar w:fldCharType="end"/>
        </w:r>
      </w:hyperlink>
    </w:p>
    <w:p w14:paraId="2C7AF883" w14:textId="3984109C" w:rsidR="00F27E6E" w:rsidRDefault="00EA54B2">
      <w:pPr>
        <w:pStyle w:val="Innehll2"/>
        <w:rPr>
          <w:rFonts w:asciiTheme="minorHAnsi" w:eastAsiaTheme="minorEastAsia" w:hAnsiTheme="minorHAnsi" w:cstheme="minorBidi"/>
          <w:sz w:val="22"/>
          <w:szCs w:val="22"/>
          <w:lang w:val="sv-FI" w:eastAsia="sv-FI"/>
        </w:rPr>
      </w:pPr>
      <w:hyperlink w:anchor="_Toc120194602" w:history="1">
        <w:r w:rsidR="00F27E6E" w:rsidRPr="00C96B5A">
          <w:rPr>
            <w:rStyle w:val="Hyperlnk"/>
          </w:rPr>
          <w:t>3. Förslagets konsekvenser</w:t>
        </w:r>
        <w:r w:rsidR="00F27E6E">
          <w:rPr>
            <w:webHidden/>
          </w:rPr>
          <w:tab/>
        </w:r>
        <w:r w:rsidR="00F27E6E">
          <w:rPr>
            <w:webHidden/>
          </w:rPr>
          <w:fldChar w:fldCharType="begin"/>
        </w:r>
        <w:r w:rsidR="00F27E6E">
          <w:rPr>
            <w:webHidden/>
          </w:rPr>
          <w:instrText xml:space="preserve"> PAGEREF _Toc120194602 \h </w:instrText>
        </w:r>
        <w:r w:rsidR="00F27E6E">
          <w:rPr>
            <w:webHidden/>
          </w:rPr>
        </w:r>
        <w:r w:rsidR="00F27E6E">
          <w:rPr>
            <w:webHidden/>
          </w:rPr>
          <w:fldChar w:fldCharType="separate"/>
        </w:r>
        <w:r w:rsidR="00F27E6E">
          <w:rPr>
            <w:webHidden/>
          </w:rPr>
          <w:t>6</w:t>
        </w:r>
        <w:r w:rsidR="00F27E6E">
          <w:rPr>
            <w:webHidden/>
          </w:rPr>
          <w:fldChar w:fldCharType="end"/>
        </w:r>
      </w:hyperlink>
    </w:p>
    <w:p w14:paraId="049C73AA" w14:textId="6A18A862" w:rsidR="00F27E6E" w:rsidRDefault="00EA54B2">
      <w:pPr>
        <w:pStyle w:val="Innehll3"/>
        <w:rPr>
          <w:rFonts w:asciiTheme="minorHAnsi" w:eastAsiaTheme="minorEastAsia" w:hAnsiTheme="minorHAnsi" w:cstheme="minorBidi"/>
          <w:sz w:val="22"/>
          <w:szCs w:val="22"/>
          <w:lang w:val="sv-FI" w:eastAsia="sv-FI"/>
        </w:rPr>
      </w:pPr>
      <w:hyperlink w:anchor="_Toc120194603" w:history="1">
        <w:r w:rsidR="00F27E6E" w:rsidRPr="00C96B5A">
          <w:rPr>
            <w:rStyle w:val="Hyperlnk"/>
          </w:rPr>
          <w:t>3.1 Allmänt</w:t>
        </w:r>
        <w:r w:rsidR="00F27E6E">
          <w:rPr>
            <w:webHidden/>
          </w:rPr>
          <w:tab/>
        </w:r>
        <w:r w:rsidR="00F27E6E">
          <w:rPr>
            <w:webHidden/>
          </w:rPr>
          <w:fldChar w:fldCharType="begin"/>
        </w:r>
        <w:r w:rsidR="00F27E6E">
          <w:rPr>
            <w:webHidden/>
          </w:rPr>
          <w:instrText xml:space="preserve"> PAGEREF _Toc120194603 \h </w:instrText>
        </w:r>
        <w:r w:rsidR="00F27E6E">
          <w:rPr>
            <w:webHidden/>
          </w:rPr>
        </w:r>
        <w:r w:rsidR="00F27E6E">
          <w:rPr>
            <w:webHidden/>
          </w:rPr>
          <w:fldChar w:fldCharType="separate"/>
        </w:r>
        <w:r w:rsidR="00F27E6E">
          <w:rPr>
            <w:webHidden/>
          </w:rPr>
          <w:t>6</w:t>
        </w:r>
        <w:r w:rsidR="00F27E6E">
          <w:rPr>
            <w:webHidden/>
          </w:rPr>
          <w:fldChar w:fldCharType="end"/>
        </w:r>
      </w:hyperlink>
    </w:p>
    <w:p w14:paraId="010DEB79" w14:textId="001AE268" w:rsidR="00F27E6E" w:rsidRDefault="00EA54B2">
      <w:pPr>
        <w:pStyle w:val="Innehll3"/>
        <w:rPr>
          <w:rFonts w:asciiTheme="minorHAnsi" w:eastAsiaTheme="minorEastAsia" w:hAnsiTheme="minorHAnsi" w:cstheme="minorBidi"/>
          <w:sz w:val="22"/>
          <w:szCs w:val="22"/>
          <w:lang w:val="sv-FI" w:eastAsia="sv-FI"/>
        </w:rPr>
      </w:pPr>
      <w:hyperlink w:anchor="_Toc120194604" w:history="1">
        <w:r w:rsidR="00F27E6E" w:rsidRPr="00C96B5A">
          <w:rPr>
            <w:rStyle w:val="Hyperlnk"/>
          </w:rPr>
          <w:t>3.2 Ekonomiska konsekvenser för de skattskyldiga</w:t>
        </w:r>
        <w:r w:rsidR="00F27E6E">
          <w:rPr>
            <w:webHidden/>
          </w:rPr>
          <w:tab/>
        </w:r>
        <w:r w:rsidR="00F27E6E">
          <w:rPr>
            <w:webHidden/>
          </w:rPr>
          <w:fldChar w:fldCharType="begin"/>
        </w:r>
        <w:r w:rsidR="00F27E6E">
          <w:rPr>
            <w:webHidden/>
          </w:rPr>
          <w:instrText xml:space="preserve"> PAGEREF _Toc120194604 \h </w:instrText>
        </w:r>
        <w:r w:rsidR="00F27E6E">
          <w:rPr>
            <w:webHidden/>
          </w:rPr>
        </w:r>
        <w:r w:rsidR="00F27E6E">
          <w:rPr>
            <w:webHidden/>
          </w:rPr>
          <w:fldChar w:fldCharType="separate"/>
        </w:r>
        <w:r w:rsidR="00F27E6E">
          <w:rPr>
            <w:webHidden/>
          </w:rPr>
          <w:t>6</w:t>
        </w:r>
        <w:r w:rsidR="00F27E6E">
          <w:rPr>
            <w:webHidden/>
          </w:rPr>
          <w:fldChar w:fldCharType="end"/>
        </w:r>
      </w:hyperlink>
    </w:p>
    <w:p w14:paraId="0E0F229A" w14:textId="72549D5D" w:rsidR="00F27E6E" w:rsidRDefault="00EA54B2">
      <w:pPr>
        <w:pStyle w:val="Innehll3"/>
        <w:rPr>
          <w:rFonts w:asciiTheme="minorHAnsi" w:eastAsiaTheme="minorEastAsia" w:hAnsiTheme="minorHAnsi" w:cstheme="minorBidi"/>
          <w:sz w:val="22"/>
          <w:szCs w:val="22"/>
          <w:lang w:val="sv-FI" w:eastAsia="sv-FI"/>
        </w:rPr>
      </w:pPr>
      <w:hyperlink w:anchor="_Toc120194605" w:history="1">
        <w:r w:rsidR="00F27E6E" w:rsidRPr="00C96B5A">
          <w:rPr>
            <w:rStyle w:val="Hyperlnk"/>
          </w:rPr>
          <w:t>3.3 Ekonomiska konsekvenser för kommunerna</w:t>
        </w:r>
        <w:r w:rsidR="00F27E6E">
          <w:rPr>
            <w:webHidden/>
          </w:rPr>
          <w:tab/>
        </w:r>
        <w:r w:rsidR="00F27E6E">
          <w:rPr>
            <w:webHidden/>
          </w:rPr>
          <w:fldChar w:fldCharType="begin"/>
        </w:r>
        <w:r w:rsidR="00F27E6E">
          <w:rPr>
            <w:webHidden/>
          </w:rPr>
          <w:instrText xml:space="preserve"> PAGEREF _Toc120194605 \h </w:instrText>
        </w:r>
        <w:r w:rsidR="00F27E6E">
          <w:rPr>
            <w:webHidden/>
          </w:rPr>
        </w:r>
        <w:r w:rsidR="00F27E6E">
          <w:rPr>
            <w:webHidden/>
          </w:rPr>
          <w:fldChar w:fldCharType="separate"/>
        </w:r>
        <w:r w:rsidR="00F27E6E">
          <w:rPr>
            <w:webHidden/>
          </w:rPr>
          <w:t>9</w:t>
        </w:r>
        <w:r w:rsidR="00F27E6E">
          <w:rPr>
            <w:webHidden/>
          </w:rPr>
          <w:fldChar w:fldCharType="end"/>
        </w:r>
      </w:hyperlink>
    </w:p>
    <w:p w14:paraId="75AF36C6" w14:textId="49C7ED85" w:rsidR="00F27E6E" w:rsidRDefault="00EA54B2">
      <w:pPr>
        <w:pStyle w:val="Innehll3"/>
        <w:rPr>
          <w:rFonts w:asciiTheme="minorHAnsi" w:eastAsiaTheme="minorEastAsia" w:hAnsiTheme="minorHAnsi" w:cstheme="minorBidi"/>
          <w:sz w:val="22"/>
          <w:szCs w:val="22"/>
          <w:lang w:val="sv-FI" w:eastAsia="sv-FI"/>
        </w:rPr>
      </w:pPr>
      <w:hyperlink w:anchor="_Toc120194606" w:history="1">
        <w:r w:rsidR="00F27E6E" w:rsidRPr="00C96B5A">
          <w:rPr>
            <w:rStyle w:val="Hyperlnk"/>
          </w:rPr>
          <w:t>3.4 Övriga konsekvenser av förslaget</w:t>
        </w:r>
        <w:r w:rsidR="00F27E6E">
          <w:rPr>
            <w:webHidden/>
          </w:rPr>
          <w:tab/>
        </w:r>
        <w:r w:rsidR="00F27E6E">
          <w:rPr>
            <w:webHidden/>
          </w:rPr>
          <w:fldChar w:fldCharType="begin"/>
        </w:r>
        <w:r w:rsidR="00F27E6E">
          <w:rPr>
            <w:webHidden/>
          </w:rPr>
          <w:instrText xml:space="preserve"> PAGEREF _Toc120194606 \h </w:instrText>
        </w:r>
        <w:r w:rsidR="00F27E6E">
          <w:rPr>
            <w:webHidden/>
          </w:rPr>
        </w:r>
        <w:r w:rsidR="00F27E6E">
          <w:rPr>
            <w:webHidden/>
          </w:rPr>
          <w:fldChar w:fldCharType="separate"/>
        </w:r>
        <w:r w:rsidR="00F27E6E">
          <w:rPr>
            <w:webHidden/>
          </w:rPr>
          <w:t>9</w:t>
        </w:r>
        <w:r w:rsidR="00F27E6E">
          <w:rPr>
            <w:webHidden/>
          </w:rPr>
          <w:fldChar w:fldCharType="end"/>
        </w:r>
      </w:hyperlink>
    </w:p>
    <w:p w14:paraId="5DD5448C" w14:textId="453CFC45" w:rsidR="00F27E6E" w:rsidRDefault="00EA54B2">
      <w:pPr>
        <w:pStyle w:val="Innehll2"/>
        <w:rPr>
          <w:rFonts w:asciiTheme="minorHAnsi" w:eastAsiaTheme="minorEastAsia" w:hAnsiTheme="minorHAnsi" w:cstheme="minorBidi"/>
          <w:sz w:val="22"/>
          <w:szCs w:val="22"/>
          <w:lang w:val="sv-FI" w:eastAsia="sv-FI"/>
        </w:rPr>
      </w:pPr>
      <w:hyperlink w:anchor="_Toc120194607" w:history="1">
        <w:r w:rsidR="00F27E6E" w:rsidRPr="00C96B5A">
          <w:rPr>
            <w:rStyle w:val="Hyperlnk"/>
          </w:rPr>
          <w:t>4. Beredning och ikraftträdande</w:t>
        </w:r>
        <w:r w:rsidR="00F27E6E">
          <w:rPr>
            <w:webHidden/>
          </w:rPr>
          <w:tab/>
        </w:r>
        <w:r w:rsidR="00F27E6E">
          <w:rPr>
            <w:webHidden/>
          </w:rPr>
          <w:fldChar w:fldCharType="begin"/>
        </w:r>
        <w:r w:rsidR="00F27E6E">
          <w:rPr>
            <w:webHidden/>
          </w:rPr>
          <w:instrText xml:space="preserve"> PAGEREF _Toc120194607 \h </w:instrText>
        </w:r>
        <w:r w:rsidR="00F27E6E">
          <w:rPr>
            <w:webHidden/>
          </w:rPr>
        </w:r>
        <w:r w:rsidR="00F27E6E">
          <w:rPr>
            <w:webHidden/>
          </w:rPr>
          <w:fldChar w:fldCharType="separate"/>
        </w:r>
        <w:r w:rsidR="00F27E6E">
          <w:rPr>
            <w:webHidden/>
          </w:rPr>
          <w:t>9</w:t>
        </w:r>
        <w:r w:rsidR="00F27E6E">
          <w:rPr>
            <w:webHidden/>
          </w:rPr>
          <w:fldChar w:fldCharType="end"/>
        </w:r>
      </w:hyperlink>
    </w:p>
    <w:p w14:paraId="59B3A5C5" w14:textId="63E32E1E" w:rsidR="00F27E6E" w:rsidRDefault="00EA54B2">
      <w:pPr>
        <w:pStyle w:val="Innehll1"/>
        <w:rPr>
          <w:rFonts w:asciiTheme="minorHAnsi" w:eastAsiaTheme="minorEastAsia" w:hAnsiTheme="minorHAnsi" w:cstheme="minorBidi"/>
          <w:sz w:val="22"/>
          <w:szCs w:val="22"/>
          <w:lang w:val="sv-FI" w:eastAsia="sv-FI"/>
        </w:rPr>
      </w:pPr>
      <w:hyperlink w:anchor="_Toc120194608" w:history="1">
        <w:r w:rsidR="00F27E6E" w:rsidRPr="00C96B5A">
          <w:rPr>
            <w:rStyle w:val="Hyperlnk"/>
          </w:rPr>
          <w:t>Detaljmotivering</w:t>
        </w:r>
        <w:r w:rsidR="00F27E6E">
          <w:rPr>
            <w:webHidden/>
          </w:rPr>
          <w:tab/>
        </w:r>
        <w:r w:rsidR="00F27E6E">
          <w:rPr>
            <w:webHidden/>
          </w:rPr>
          <w:fldChar w:fldCharType="begin"/>
        </w:r>
        <w:r w:rsidR="00F27E6E">
          <w:rPr>
            <w:webHidden/>
          </w:rPr>
          <w:instrText xml:space="preserve"> PAGEREF _Toc120194608 \h </w:instrText>
        </w:r>
        <w:r w:rsidR="00F27E6E">
          <w:rPr>
            <w:webHidden/>
          </w:rPr>
        </w:r>
        <w:r w:rsidR="00F27E6E">
          <w:rPr>
            <w:webHidden/>
          </w:rPr>
          <w:fldChar w:fldCharType="separate"/>
        </w:r>
        <w:r w:rsidR="00F27E6E">
          <w:rPr>
            <w:webHidden/>
          </w:rPr>
          <w:t>10</w:t>
        </w:r>
        <w:r w:rsidR="00F27E6E">
          <w:rPr>
            <w:webHidden/>
          </w:rPr>
          <w:fldChar w:fldCharType="end"/>
        </w:r>
      </w:hyperlink>
    </w:p>
    <w:p w14:paraId="5BEB5A85" w14:textId="618E9BA2" w:rsidR="00F27E6E" w:rsidRDefault="00EA54B2">
      <w:pPr>
        <w:pStyle w:val="Innehll2"/>
        <w:rPr>
          <w:rFonts w:asciiTheme="minorHAnsi" w:eastAsiaTheme="minorEastAsia" w:hAnsiTheme="minorHAnsi" w:cstheme="minorBidi"/>
          <w:sz w:val="22"/>
          <w:szCs w:val="22"/>
          <w:lang w:val="sv-FI" w:eastAsia="sv-FI"/>
        </w:rPr>
      </w:pPr>
      <w:hyperlink w:anchor="_Toc120194609" w:history="1">
        <w:r w:rsidR="00F27E6E" w:rsidRPr="00C96B5A">
          <w:rPr>
            <w:rStyle w:val="Hyperlnk"/>
          </w:rPr>
          <w:t>Ändring av kommunalskattelagen för landskapet Åland</w:t>
        </w:r>
        <w:r w:rsidR="00F27E6E">
          <w:rPr>
            <w:webHidden/>
          </w:rPr>
          <w:tab/>
        </w:r>
        <w:r w:rsidR="00F27E6E">
          <w:rPr>
            <w:webHidden/>
          </w:rPr>
          <w:fldChar w:fldCharType="begin"/>
        </w:r>
        <w:r w:rsidR="00F27E6E">
          <w:rPr>
            <w:webHidden/>
          </w:rPr>
          <w:instrText xml:space="preserve"> PAGEREF _Toc120194609 \h </w:instrText>
        </w:r>
        <w:r w:rsidR="00F27E6E">
          <w:rPr>
            <w:webHidden/>
          </w:rPr>
        </w:r>
        <w:r w:rsidR="00F27E6E">
          <w:rPr>
            <w:webHidden/>
          </w:rPr>
          <w:fldChar w:fldCharType="separate"/>
        </w:r>
        <w:r w:rsidR="00F27E6E">
          <w:rPr>
            <w:webHidden/>
          </w:rPr>
          <w:t>10</w:t>
        </w:r>
        <w:r w:rsidR="00F27E6E">
          <w:rPr>
            <w:webHidden/>
          </w:rPr>
          <w:fldChar w:fldCharType="end"/>
        </w:r>
      </w:hyperlink>
    </w:p>
    <w:p w14:paraId="6EFC85FE" w14:textId="1C93E54F" w:rsidR="00F27E6E" w:rsidRDefault="00EA54B2">
      <w:pPr>
        <w:pStyle w:val="Innehll1"/>
        <w:rPr>
          <w:rFonts w:asciiTheme="minorHAnsi" w:eastAsiaTheme="minorEastAsia" w:hAnsiTheme="minorHAnsi" w:cstheme="minorBidi"/>
          <w:sz w:val="22"/>
          <w:szCs w:val="22"/>
          <w:lang w:val="sv-FI" w:eastAsia="sv-FI"/>
        </w:rPr>
      </w:pPr>
      <w:hyperlink w:anchor="_Toc120194610" w:history="1">
        <w:r w:rsidR="00F27E6E" w:rsidRPr="00C96B5A">
          <w:rPr>
            <w:rStyle w:val="Hyperlnk"/>
          </w:rPr>
          <w:t>Lagtext</w:t>
        </w:r>
        <w:r w:rsidR="00F27E6E">
          <w:rPr>
            <w:webHidden/>
          </w:rPr>
          <w:tab/>
        </w:r>
        <w:r w:rsidR="00F27E6E">
          <w:rPr>
            <w:webHidden/>
          </w:rPr>
          <w:fldChar w:fldCharType="begin"/>
        </w:r>
        <w:r w:rsidR="00F27E6E">
          <w:rPr>
            <w:webHidden/>
          </w:rPr>
          <w:instrText xml:space="preserve"> PAGEREF _Toc120194610 \h </w:instrText>
        </w:r>
        <w:r w:rsidR="00F27E6E">
          <w:rPr>
            <w:webHidden/>
          </w:rPr>
        </w:r>
        <w:r w:rsidR="00F27E6E">
          <w:rPr>
            <w:webHidden/>
          </w:rPr>
          <w:fldChar w:fldCharType="separate"/>
        </w:r>
        <w:r w:rsidR="00F27E6E">
          <w:rPr>
            <w:webHidden/>
          </w:rPr>
          <w:t>12</w:t>
        </w:r>
        <w:r w:rsidR="00F27E6E">
          <w:rPr>
            <w:webHidden/>
          </w:rPr>
          <w:fldChar w:fldCharType="end"/>
        </w:r>
      </w:hyperlink>
    </w:p>
    <w:p w14:paraId="68AD4DC4" w14:textId="03345359" w:rsidR="00F27E6E" w:rsidRDefault="00EA54B2">
      <w:pPr>
        <w:pStyle w:val="Innehll2"/>
        <w:rPr>
          <w:rFonts w:asciiTheme="minorHAnsi" w:eastAsiaTheme="minorEastAsia" w:hAnsiTheme="minorHAnsi" w:cstheme="minorBidi"/>
          <w:sz w:val="22"/>
          <w:szCs w:val="22"/>
          <w:lang w:val="sv-FI" w:eastAsia="sv-FI"/>
        </w:rPr>
      </w:pPr>
      <w:hyperlink w:anchor="_Toc120194611" w:history="1">
        <w:r w:rsidR="00F27E6E" w:rsidRPr="00C96B5A">
          <w:rPr>
            <w:rStyle w:val="Hyperlnk"/>
            <w:lang w:val="en-GB"/>
          </w:rPr>
          <w:t>L A N D S K A P S L A G om ändring och temporär ändring av kommunalskattelagen för landskapet Åland</w:t>
        </w:r>
        <w:r w:rsidR="00F27E6E">
          <w:rPr>
            <w:webHidden/>
          </w:rPr>
          <w:tab/>
        </w:r>
        <w:r w:rsidR="00F27E6E">
          <w:rPr>
            <w:webHidden/>
          </w:rPr>
          <w:fldChar w:fldCharType="begin"/>
        </w:r>
        <w:r w:rsidR="00F27E6E">
          <w:rPr>
            <w:webHidden/>
          </w:rPr>
          <w:instrText xml:space="preserve"> PAGEREF _Toc120194611 \h </w:instrText>
        </w:r>
        <w:r w:rsidR="00F27E6E">
          <w:rPr>
            <w:webHidden/>
          </w:rPr>
        </w:r>
        <w:r w:rsidR="00F27E6E">
          <w:rPr>
            <w:webHidden/>
          </w:rPr>
          <w:fldChar w:fldCharType="separate"/>
        </w:r>
        <w:r w:rsidR="00F27E6E">
          <w:rPr>
            <w:webHidden/>
          </w:rPr>
          <w:t>12</w:t>
        </w:r>
        <w:r w:rsidR="00F27E6E">
          <w:rPr>
            <w:webHidden/>
          </w:rPr>
          <w:fldChar w:fldCharType="end"/>
        </w:r>
      </w:hyperlink>
    </w:p>
    <w:p w14:paraId="5B8D5901" w14:textId="765C0E4D" w:rsidR="00F27E6E" w:rsidRDefault="00EA54B2">
      <w:pPr>
        <w:pStyle w:val="Innehll1"/>
        <w:rPr>
          <w:rFonts w:asciiTheme="minorHAnsi" w:eastAsiaTheme="minorEastAsia" w:hAnsiTheme="minorHAnsi" w:cstheme="minorBidi"/>
          <w:sz w:val="22"/>
          <w:szCs w:val="22"/>
          <w:lang w:val="sv-FI" w:eastAsia="sv-FI"/>
        </w:rPr>
      </w:pPr>
      <w:hyperlink w:anchor="_Toc120194612" w:history="1">
        <w:r w:rsidR="00F27E6E" w:rsidRPr="00C96B5A">
          <w:rPr>
            <w:rStyle w:val="Hyperlnk"/>
          </w:rPr>
          <w:t>Parallelltexter</w:t>
        </w:r>
        <w:r w:rsidR="00F27E6E">
          <w:rPr>
            <w:webHidden/>
          </w:rPr>
          <w:tab/>
        </w:r>
        <w:r w:rsidR="00F27E6E">
          <w:rPr>
            <w:webHidden/>
          </w:rPr>
          <w:fldChar w:fldCharType="begin"/>
        </w:r>
        <w:r w:rsidR="00F27E6E">
          <w:rPr>
            <w:webHidden/>
          </w:rPr>
          <w:instrText xml:space="preserve"> PAGEREF _Toc120194612 \h </w:instrText>
        </w:r>
        <w:r w:rsidR="00F27E6E">
          <w:rPr>
            <w:webHidden/>
          </w:rPr>
        </w:r>
        <w:r w:rsidR="00F27E6E">
          <w:rPr>
            <w:webHidden/>
          </w:rPr>
          <w:fldChar w:fldCharType="separate"/>
        </w:r>
        <w:r w:rsidR="00F27E6E">
          <w:rPr>
            <w:webHidden/>
          </w:rPr>
          <w:t>14</w:t>
        </w:r>
        <w:r w:rsidR="00F27E6E">
          <w:rPr>
            <w:webHidden/>
          </w:rPr>
          <w:fldChar w:fldCharType="end"/>
        </w:r>
      </w:hyperlink>
    </w:p>
    <w:p w14:paraId="343C34F9" w14:textId="589C5E6B" w:rsidR="00AF3004" w:rsidRDefault="00AF3004">
      <w:pPr>
        <w:pStyle w:val="ANormal"/>
        <w:rPr>
          <w:noProof/>
        </w:rPr>
      </w:pPr>
      <w:r>
        <w:rPr>
          <w:rFonts w:ascii="Verdana" w:hAnsi="Verdana"/>
          <w:noProof/>
          <w:sz w:val="16"/>
          <w:szCs w:val="36"/>
        </w:rPr>
        <w:fldChar w:fldCharType="end"/>
      </w:r>
    </w:p>
    <w:p w14:paraId="04C8F0EE" w14:textId="77777777" w:rsidR="00AF3004" w:rsidRDefault="00AF3004">
      <w:pPr>
        <w:pStyle w:val="ANormal"/>
      </w:pPr>
      <w:r>
        <w:br w:type="page"/>
      </w:r>
    </w:p>
    <w:p w14:paraId="2BCF7DFA" w14:textId="77777777" w:rsidR="00AF3004" w:rsidRDefault="00AF3004">
      <w:pPr>
        <w:pStyle w:val="RubrikA"/>
      </w:pPr>
      <w:bookmarkStart w:id="2" w:name="_Toc120194593"/>
      <w:r>
        <w:lastRenderedPageBreak/>
        <w:t>Allmän motivering</w:t>
      </w:r>
      <w:bookmarkEnd w:id="2"/>
    </w:p>
    <w:p w14:paraId="5220BD68" w14:textId="77777777" w:rsidR="00AF3004" w:rsidRDefault="00AF3004">
      <w:pPr>
        <w:pStyle w:val="Rubrikmellanrum"/>
      </w:pPr>
    </w:p>
    <w:p w14:paraId="4D0F1399" w14:textId="357359A2" w:rsidR="00AF3004" w:rsidRDefault="00AF3004">
      <w:pPr>
        <w:pStyle w:val="RubrikB"/>
      </w:pPr>
      <w:bookmarkStart w:id="3" w:name="_Toc120194594"/>
      <w:r>
        <w:t xml:space="preserve">1. </w:t>
      </w:r>
      <w:r w:rsidR="00B53648">
        <w:t>Bakgrund</w:t>
      </w:r>
      <w:bookmarkEnd w:id="3"/>
    </w:p>
    <w:p w14:paraId="228BB56B" w14:textId="64BB9420" w:rsidR="00B53648" w:rsidRDefault="00B53648" w:rsidP="00B53648">
      <w:pPr>
        <w:pStyle w:val="Rubrikmellanrum"/>
      </w:pPr>
    </w:p>
    <w:p w14:paraId="0B2E69B1" w14:textId="00F2FE2C" w:rsidR="00B53648" w:rsidRPr="00B53648" w:rsidRDefault="00B53648" w:rsidP="00B53648">
      <w:pPr>
        <w:pStyle w:val="RubrikC"/>
      </w:pPr>
      <w:bookmarkStart w:id="4" w:name="_Toc120194595"/>
      <w:r>
        <w:t>1.1 Landskapslagstiftningen om kommunalbeskattning</w:t>
      </w:r>
      <w:bookmarkEnd w:id="4"/>
    </w:p>
    <w:p w14:paraId="566FC619" w14:textId="1F1B9296" w:rsidR="00AF3004" w:rsidRDefault="00AF3004">
      <w:pPr>
        <w:pStyle w:val="Rubrikmellanrum"/>
      </w:pPr>
    </w:p>
    <w:p w14:paraId="072A83F2" w14:textId="42C020C1" w:rsidR="00000CA0" w:rsidRPr="00CD71A0" w:rsidRDefault="00000CA0" w:rsidP="00000CA0">
      <w:pPr>
        <w:pStyle w:val="ANormal"/>
      </w:pPr>
      <w:r>
        <w:t>Enligt 18</w:t>
      </w:r>
      <w:r w:rsidR="0059641A">
        <w:t> §</w:t>
      </w:r>
      <w:r>
        <w:t xml:space="preserve"> 5</w:t>
      </w:r>
      <w:r w:rsidR="00F27E6E">
        <w:t> </w:t>
      </w:r>
      <w:r>
        <w:t xml:space="preserve">p. självstyrelselagen har landskapet lagstiftningsbehörighet när det gäller skatt till kommunerna. Området regleras huvudsakligen i kommunalskattelagen (2011:119) för landskapet Åland. Lagen är en blankettlag som anger att inkomstskattelagen (FFS 1535/1992) med vissa undantag ska tillämpas i landskapet. </w:t>
      </w:r>
      <w:r w:rsidR="00806E7D">
        <w:t xml:space="preserve">Bland annat ska bestämmelserna i inkomstskattelagen om särskilda stadganden om naturliga avdrag, om avdrag för inkomstens förvärvande, om avdrag från nettoförvärvsinkomsten vid stats- och kommunalbeskattningen, om avdrag från nettoförvärvsinkomsten vid kommunalbeskattningen och om avdrag från kommunalskatt inte tillämpas vid kommunalbeskattningen på Åland. </w:t>
      </w:r>
      <w:r>
        <w:t xml:space="preserve">Förutom när det gäller undantagen träder ändringar i </w:t>
      </w:r>
      <w:r w:rsidR="00874C12">
        <w:t>inkomstskattelagen</w:t>
      </w:r>
      <w:r>
        <w:t xml:space="preserve"> i kraft automatiskt i landskapet samtidigt som i riket.</w:t>
      </w:r>
    </w:p>
    <w:p w14:paraId="051492AA" w14:textId="6AB500BF" w:rsidR="00000CA0" w:rsidRDefault="00000CA0" w:rsidP="00000CA0">
      <w:pPr>
        <w:pStyle w:val="ANormal"/>
      </w:pPr>
      <w:r>
        <w:tab/>
        <w:t xml:space="preserve">I kommunalskattelagen regleras således de avdrag som i sin helhet görs vid kommunalbeskattningen, hit hör till exempel avdraget för sjöarbetsinkomst, </w:t>
      </w:r>
      <w:r w:rsidR="00261501">
        <w:t xml:space="preserve">resekostnadsavdraget, </w:t>
      </w:r>
      <w:r>
        <w:t>sjukdomskostnadsavdraget, pensionsinkomstavdraget, förvärvsinkomstavdraget och grundavdraget. De nämnda avdragen är sådana som görs från den beskattningsbara inkomsten. Utöver de här finns en typ av avdrag som i första hand är avdrag vid statsbeskattningen men som i andra hand dras från kommunalskatten om statsskatten inte räcker till. Sådana avdrag regleras huvudsakligen i inkomstskattelagen medan det i kommunalskattelagen finns bestämmelser om att den överskjutande delen får dras från kommunalskatten. Till dessa avdrag hör till exempel arbetsinkomstavdraget och hushållsavdraget. På samma sätt fungerar för övrigt också avdrag från kapitalinkomsten. Trots att kapitalinkomstskatten är en statlig skatt kan kommunalbeskattningen påverkas via underskottsgottgörelsen i de fall där avdragen är större än kapitalinkomsten.</w:t>
      </w:r>
    </w:p>
    <w:p w14:paraId="07F86E4E" w14:textId="54C6EA06" w:rsidR="00806E7D" w:rsidRDefault="00806E7D" w:rsidP="00000CA0">
      <w:pPr>
        <w:pStyle w:val="ANormal"/>
      </w:pPr>
      <w:r>
        <w:tab/>
        <w:t>För övrigt tillämpas inkomstskattelagens bestämmelser om skattskyldighet</w:t>
      </w:r>
      <w:r w:rsidR="000F1953">
        <w:t>, skattepliktiga inkomster, periodisering och förlustutjämning vid kommunalbeskattningen på Åland på samma sätt som i riket.</w:t>
      </w:r>
    </w:p>
    <w:p w14:paraId="34CE74E1" w14:textId="77777777" w:rsidR="00000CA0" w:rsidRPr="00000CA0" w:rsidRDefault="00000CA0" w:rsidP="00000CA0">
      <w:pPr>
        <w:pStyle w:val="ANormal"/>
      </w:pPr>
    </w:p>
    <w:p w14:paraId="190F8E0B" w14:textId="5BB4D5FC" w:rsidR="00AF3004" w:rsidRDefault="00AF3004">
      <w:pPr>
        <w:pStyle w:val="RubrikC"/>
      </w:pPr>
      <w:bookmarkStart w:id="5" w:name="_Toc120194596"/>
      <w:r>
        <w:t>1.</w:t>
      </w:r>
      <w:r w:rsidR="00B53648">
        <w:t>2</w:t>
      </w:r>
      <w:r>
        <w:t xml:space="preserve"> </w:t>
      </w:r>
      <w:r w:rsidR="00B53648">
        <w:t>Ändringar i rik</w:t>
      </w:r>
      <w:r w:rsidR="00A37447">
        <w:t>slagstiftningen</w:t>
      </w:r>
      <w:r w:rsidR="00B53648">
        <w:t xml:space="preserve"> </w:t>
      </w:r>
      <w:r w:rsidR="00BF31F0">
        <w:t xml:space="preserve">från och med skatteåret </w:t>
      </w:r>
      <w:r w:rsidR="00B53648">
        <w:t>2023</w:t>
      </w:r>
      <w:bookmarkEnd w:id="5"/>
    </w:p>
    <w:p w14:paraId="04C8F120" w14:textId="77777777" w:rsidR="00AF3004" w:rsidRDefault="00AF3004">
      <w:pPr>
        <w:pStyle w:val="Rubrikmellanrum"/>
      </w:pPr>
    </w:p>
    <w:p w14:paraId="09C0815C" w14:textId="5FB57250" w:rsidR="00BE0CC9" w:rsidRDefault="00BE0CC9" w:rsidP="00BE0CC9">
      <w:pPr>
        <w:pStyle w:val="ANormal"/>
      </w:pPr>
      <w:r>
        <w:t>För närvarande behandlas i riksdagen en proposition om ändringar i beskattningen för skatteåret 202</w:t>
      </w:r>
      <w:r w:rsidR="000F314F">
        <w:t>3</w:t>
      </w:r>
      <w:r>
        <w:t>. I förslaget ingår bland annat ändringar av</w:t>
      </w:r>
      <w:r w:rsidRPr="00590CEF">
        <w:t xml:space="preserve"> </w:t>
      </w:r>
      <w:r>
        <w:t xml:space="preserve">arbetsinkomstavdraget, grundavdraget och pensionsinkomstavdraget (se RP 153/2022). Ändringarna uppges vara avsedda att uppdatera </w:t>
      </w:r>
      <w:r w:rsidR="000F314F">
        <w:t xml:space="preserve">de </w:t>
      </w:r>
      <w:r>
        <w:t xml:space="preserve">bestämmelser om skattegrunderna </w:t>
      </w:r>
      <w:r w:rsidR="000F314F">
        <w:t>som redan tidigare har ändrats för att</w:t>
      </w:r>
      <w:r>
        <w:t xml:space="preserve"> överföra skatteinkomster från kommunerna till staten </w:t>
      </w:r>
      <w:r w:rsidR="000F314F">
        <w:t>med anledning</w:t>
      </w:r>
      <w:r>
        <w:t xml:space="preserve"> av reformen av social- och hälsovården. </w:t>
      </w:r>
      <w:r w:rsidR="006D3CBC">
        <w:t>När det gäller arbetsinkomstavdraget och grundavdraget ändras de också på grund av indexjustering.</w:t>
      </w:r>
      <w:r w:rsidR="0079072B">
        <w:t xml:space="preserve"> </w:t>
      </w:r>
      <w:r w:rsidR="00587FBB">
        <w:t>Dessutom förlängs giltighetstiden för höjningen av avdraget för kostnader</w:t>
      </w:r>
      <w:r w:rsidR="00261501">
        <w:t xml:space="preserve"> för resor</w:t>
      </w:r>
      <w:r w:rsidR="00587FBB">
        <w:t xml:space="preserve"> mellan bostaden och arbetsplatsen</w:t>
      </w:r>
      <w:r w:rsidR="00011C70">
        <w:t xml:space="preserve"> så att den sträcker sig över 2023.</w:t>
      </w:r>
      <w:r w:rsidR="00587FBB">
        <w:t xml:space="preserve"> </w:t>
      </w:r>
      <w:r w:rsidR="00011C70">
        <w:t>Höjningen</w:t>
      </w:r>
      <w:r w:rsidR="00587FBB">
        <w:t xml:space="preserve"> infördes tillfälligt för skatteåret 2022</w:t>
      </w:r>
      <w:r w:rsidR="00011C70">
        <w:t xml:space="preserve">. </w:t>
      </w:r>
      <w:r w:rsidR="0079072B">
        <w:t xml:space="preserve">Förutom ändringen arbetsinkomstavdraget, som görs från statsskatten, </w:t>
      </w:r>
      <w:r w:rsidR="00011C70">
        <w:t xml:space="preserve">och höjningen av resekostnadsavdraget </w:t>
      </w:r>
      <w:r w:rsidR="0079072B">
        <w:t>blir ändringarna inte tillämpliga vid kommunalbeskattningen på Åland utan lagstiftningsåtgärder.</w:t>
      </w:r>
    </w:p>
    <w:p w14:paraId="16A43336" w14:textId="58193D46" w:rsidR="006D3CBC" w:rsidRDefault="00FF5772" w:rsidP="00BE0CC9">
      <w:pPr>
        <w:pStyle w:val="ANormal"/>
      </w:pPr>
      <w:r>
        <w:tab/>
        <w:t xml:space="preserve">Förutom den </w:t>
      </w:r>
      <w:r w:rsidR="00CD63C3">
        <w:t>ovan</w:t>
      </w:r>
      <w:r>
        <w:t xml:space="preserve">nämnda propositionen behandlar riksdagen också en separat proposition om </w:t>
      </w:r>
      <w:r w:rsidR="007C2564">
        <w:t>ett särskilt</w:t>
      </w:r>
      <w:r>
        <w:t xml:space="preserve"> </w:t>
      </w:r>
      <w:r w:rsidR="007C2564">
        <w:t xml:space="preserve">tidsbestämt </w:t>
      </w:r>
      <w:r>
        <w:t xml:space="preserve">hushållsavdrag på basis av elenergiräkningar (se RP 204/2022). </w:t>
      </w:r>
      <w:r w:rsidR="006C1F96">
        <w:t>Enligt förslaget ska k</w:t>
      </w:r>
      <w:r w:rsidR="007C2564">
        <w:t>ostnade</w:t>
      </w:r>
      <w:r w:rsidR="00DD6737">
        <w:t>rna</w:t>
      </w:r>
      <w:r w:rsidR="007C2564">
        <w:t xml:space="preserve"> för el</w:t>
      </w:r>
      <w:r w:rsidR="00DD6737">
        <w:softHyphen/>
      </w:r>
      <w:r w:rsidR="007C2564">
        <w:t xml:space="preserve">energi som förbrukats i en skattskyldigs stadigvarande bostad under tiden januari till april 2023 berättiga till hushållsavdrag till den del beloppet överstiger 2 000 euro och är högst 6 000 euro. </w:t>
      </w:r>
      <w:r w:rsidR="009E051B">
        <w:t xml:space="preserve">Avdraget uppgår till 60 procent av </w:t>
      </w:r>
      <w:r w:rsidR="009E051B">
        <w:lastRenderedPageBreak/>
        <w:t>det belopp som berättigar till avdrag, vilket i praktiken innebär att avdraget kan vara högst 2 400 euro.</w:t>
      </w:r>
      <w:r w:rsidR="00711999">
        <w:t xml:space="preserve"> </w:t>
      </w:r>
      <w:r>
        <w:t xml:space="preserve">Hushållsavdraget görs primärt från statsskatten </w:t>
      </w:r>
      <w:r w:rsidR="00711999">
        <w:t xml:space="preserve">och det gäller även avdraget som beviljas specifikt på basis av elenergiräkningar. </w:t>
      </w:r>
      <w:r w:rsidR="00E32342">
        <w:t xml:space="preserve">Till den delen blir ändringen av inkomstskattelagen </w:t>
      </w:r>
      <w:r>
        <w:t>tillämplig även på Åland.</w:t>
      </w:r>
      <w:r w:rsidR="00E32342">
        <w:t xml:space="preserve"> För att den överskjutande delen av avdraget ska kunna dras </w:t>
      </w:r>
      <w:r w:rsidR="000F314F">
        <w:t>f</w:t>
      </w:r>
      <w:r w:rsidR="00E32342">
        <w:t>rån kommunalskatten krävs dock lagstiftningsåtgärder.</w:t>
      </w:r>
    </w:p>
    <w:p w14:paraId="5708D89F" w14:textId="5B7F108A" w:rsidR="00CD63C3" w:rsidRDefault="00CD63C3" w:rsidP="00CD63C3">
      <w:pPr>
        <w:pStyle w:val="ANormal"/>
      </w:pPr>
      <w:r>
        <w:tab/>
      </w:r>
      <w:r w:rsidR="000F314F">
        <w:t>S</w:t>
      </w:r>
      <w:r>
        <w:t xml:space="preserve">ocial- och hälsovårdsreformen i riket </w:t>
      </w:r>
      <w:r w:rsidR="000F314F">
        <w:t xml:space="preserve">påverkar </w:t>
      </w:r>
      <w:r>
        <w:t>också skattelagstiftningen på ett mer genomgripande plan. I samband med reformen beslöts att man inte längre skulle ha skilda skattebaser vid stats- och kommunalbeskattningen. Den lagstiftningen antogs av riksdagen redan 2021 men träder i kraft först den 1 januari 2023. I praktiken innebär förändringen att samma avdrag får göras både vid stats- och kommunalbeskattningen. Från och med skatte</w:t>
      </w:r>
      <w:r>
        <w:softHyphen/>
        <w:t>året 2023 kommer således grundavdraget, förvärvsinkomstavdraget, studiepenningsavdraget och det så kallade cross-</w:t>
      </w:r>
      <w:proofErr w:type="spellStart"/>
      <w:r>
        <w:t>trade</w:t>
      </w:r>
      <w:proofErr w:type="spellEnd"/>
      <w:r>
        <w:t>-avdraget även att kunna göras i statsbeskattningen. Dessa avdrag har hittills bara gällt vid kom</w:t>
      </w:r>
      <w:r>
        <w:softHyphen/>
        <w:t>munal</w:t>
      </w:r>
      <w:r>
        <w:softHyphen/>
        <w:t xml:space="preserve">beskattningen. De </w:t>
      </w:r>
      <w:r w:rsidR="00F66243">
        <w:t>pensionsinkomstavdrag som</w:t>
      </w:r>
      <w:r>
        <w:t xml:space="preserve"> hittills har gjorts på olika sätt i stats- och kommunalbeskattningen, slås också ihop till ett avdrag med delvis ändrad struktur. Invalidavdraget, som också har gällt både vid stats- och kommunalbeskattningen slopas helt. Sammanslagningen av skattebaserna påverkar dock inte arbetsinkomstavdraget, hushållsavdraget eller </w:t>
      </w:r>
      <w:r w:rsidR="000F314F">
        <w:t xml:space="preserve">de </w:t>
      </w:r>
      <w:r>
        <w:t>andra avdrag</w:t>
      </w:r>
      <w:r w:rsidR="000F314F">
        <w:t>en</w:t>
      </w:r>
      <w:r>
        <w:t xml:space="preserve"> som görs från skatten. Till den del de här ändringarna gäller avdrag i kommunalbeskattningen blir de inte tillämpliga på Åland utan lagstiftningsåtgärder av lagtinget. Till övriga delar, det vill säga reglering i inkomstskattelagen som kommunalskattelagen inte gör undantag från, blir ändringarna gällande även vid kommunalbeskattningen här.</w:t>
      </w:r>
    </w:p>
    <w:p w14:paraId="63CBD2E2" w14:textId="77777777" w:rsidR="00885E72" w:rsidRDefault="00885E72" w:rsidP="00BE0CC9">
      <w:pPr>
        <w:pStyle w:val="ANormal"/>
      </w:pPr>
    </w:p>
    <w:p w14:paraId="72B90178" w14:textId="4D83650E" w:rsidR="00AF3004" w:rsidRDefault="00BD2C64" w:rsidP="00BD2C64">
      <w:pPr>
        <w:pStyle w:val="RubrikB"/>
      </w:pPr>
      <w:bookmarkStart w:id="6" w:name="_Toc120194597"/>
      <w:r>
        <w:t xml:space="preserve">2. </w:t>
      </w:r>
      <w:r w:rsidR="00284F5E">
        <w:t>Landskapsregeringens ö</w:t>
      </w:r>
      <w:r>
        <w:t>verväganden</w:t>
      </w:r>
      <w:r w:rsidR="00284F5E">
        <w:t xml:space="preserve"> och förslag</w:t>
      </w:r>
      <w:bookmarkEnd w:id="6"/>
    </w:p>
    <w:p w14:paraId="3D8708CA" w14:textId="26B1CFA4" w:rsidR="00BD2C64" w:rsidRDefault="00BD2C64" w:rsidP="00BD2C64">
      <w:pPr>
        <w:pStyle w:val="Rubrikmellanrum"/>
      </w:pPr>
    </w:p>
    <w:p w14:paraId="72B2DA6C" w14:textId="5AFA0F61" w:rsidR="00885AFA" w:rsidRDefault="00885AFA" w:rsidP="00885AFA">
      <w:pPr>
        <w:pStyle w:val="RubrikC"/>
      </w:pPr>
      <w:bookmarkStart w:id="7" w:name="_Toc120194598"/>
      <w:r>
        <w:t>2.</w:t>
      </w:r>
      <w:r w:rsidR="00984174">
        <w:t>1</w:t>
      </w:r>
      <w:r>
        <w:t xml:space="preserve"> Grundavdraget</w:t>
      </w:r>
      <w:bookmarkEnd w:id="7"/>
    </w:p>
    <w:p w14:paraId="413A216B" w14:textId="6E20DD4F" w:rsidR="00885AFA" w:rsidRDefault="00885AFA" w:rsidP="00885AFA">
      <w:pPr>
        <w:pStyle w:val="Rubrikmellanrum"/>
      </w:pPr>
    </w:p>
    <w:p w14:paraId="7CE0E9C2" w14:textId="537A5D35" w:rsidR="00881CCB" w:rsidRDefault="003863C1" w:rsidP="00756E2C">
      <w:pPr>
        <w:pStyle w:val="ANormal"/>
      </w:pPr>
      <w:r>
        <w:t>Grundavdraget</w:t>
      </w:r>
      <w:r w:rsidR="00261501">
        <w:t xml:space="preserve"> </w:t>
      </w:r>
      <w:r w:rsidR="004C31CB">
        <w:t>regleras i kommunalskattelagens 23</w:t>
      </w:r>
      <w:r w:rsidR="0059641A">
        <w:t> §</w:t>
      </w:r>
      <w:r w:rsidR="004C31CB">
        <w:t xml:space="preserve">. </w:t>
      </w:r>
      <w:r w:rsidR="001F74CE">
        <w:t>Avdragets maxbelopp är 3 500 euro. Det betyder att d</w:t>
      </w:r>
      <w:r w:rsidR="004C31CB">
        <w:t xml:space="preserve">en som </w:t>
      </w:r>
      <w:r w:rsidR="001F74CE">
        <w:t xml:space="preserve">har en nettoförvärvsinkomst som </w:t>
      </w:r>
      <w:r w:rsidR="004C31CB">
        <w:t xml:space="preserve">efter </w:t>
      </w:r>
      <w:r w:rsidR="001F74CE">
        <w:t>att övriga avdrag har gjorts inte överstiger 3 500 euro får dra av detta belopp. Om inkomsten överstiger fullt grundavdrag minskar avdraget med 18 procent av den överskjutande inkomsten.</w:t>
      </w:r>
      <w:r w:rsidR="00881CCB" w:rsidRPr="00881CCB">
        <w:t xml:space="preserve"> </w:t>
      </w:r>
      <w:r w:rsidR="00603912" w:rsidRPr="00562E03">
        <w:t>Nedtrappningsgraden</w:t>
      </w:r>
      <w:r w:rsidR="00881CCB">
        <w:t xml:space="preserve"> gör att avdraget trappas ne</w:t>
      </w:r>
      <w:r w:rsidR="00603912">
        <w:t>d</w:t>
      </w:r>
      <w:r w:rsidR="00881CCB">
        <w:t xml:space="preserve"> så att det vid en viss inkomstnivå upphör att ha effekt. </w:t>
      </w:r>
      <w:r w:rsidR="007C3C4D">
        <w:t xml:space="preserve">Eftersom grundavdraget är det avdrag som görs sist av alla från förvärvsinkomsten gäller det mottagare av dagpenningsinkomster, löneinkomster och pensionsinkomster på olika inkomstnivåer, beroende på de andra avdrag av varierande storlek som får göras från de olika inkomsterna. För närvarande </w:t>
      </w:r>
      <w:r w:rsidR="007C3C4D" w:rsidRPr="00E24DEA">
        <w:t xml:space="preserve">beviljas </w:t>
      </w:r>
      <w:r w:rsidR="00E24DEA" w:rsidRPr="00E24DEA">
        <w:t xml:space="preserve">grundavdraget inte </w:t>
      </w:r>
      <w:r w:rsidR="007C3C4D">
        <w:t>den som har en</w:t>
      </w:r>
      <w:r w:rsidR="00E24DEA" w:rsidRPr="00E24DEA">
        <w:t xml:space="preserve"> nettoförvärvsinkomst </w:t>
      </w:r>
      <w:r w:rsidR="007C3C4D">
        <w:t xml:space="preserve">som </w:t>
      </w:r>
      <w:r w:rsidR="00E24DEA" w:rsidRPr="00E24DEA">
        <w:t>efter övriga avdrag överskrider cirka 23</w:t>
      </w:r>
      <w:r w:rsidR="0059641A">
        <w:t> </w:t>
      </w:r>
      <w:r w:rsidR="00E24DEA" w:rsidRPr="00E24DEA">
        <w:t>000 euro.</w:t>
      </w:r>
    </w:p>
    <w:p w14:paraId="3F9DB0DB" w14:textId="676E7EC8" w:rsidR="00881CCB" w:rsidRDefault="00881CCB" w:rsidP="00756E2C">
      <w:pPr>
        <w:pStyle w:val="ANormal"/>
      </w:pPr>
      <w:r>
        <w:tab/>
        <w:t xml:space="preserve">Med hänvisning till det ekonomiska läget föreslår landskapsregeringen att grundavdragets </w:t>
      </w:r>
      <w:r w:rsidR="00603912" w:rsidRPr="00562E03">
        <w:t>nedtrappningsgrad</w:t>
      </w:r>
      <w:r>
        <w:t xml:space="preserve"> sänks från 18 till 8,4</w:t>
      </w:r>
      <w:r w:rsidR="0059641A">
        <w:t xml:space="preserve"> </w:t>
      </w:r>
      <w:r>
        <w:t>procent. På det sättet höjs avdraget för de</w:t>
      </w:r>
      <w:r w:rsidR="007C3C4D">
        <w:t>m</w:t>
      </w:r>
      <w:r>
        <w:t xml:space="preserve"> som har låga inkomster samtidigt som fler kan dra nytta av avdraget.</w:t>
      </w:r>
    </w:p>
    <w:p w14:paraId="2D15837C" w14:textId="2D61F421" w:rsidR="00885AFA" w:rsidRDefault="00885AFA" w:rsidP="00756E2C">
      <w:pPr>
        <w:pStyle w:val="ANormal"/>
      </w:pPr>
    </w:p>
    <w:p w14:paraId="21DF65CA" w14:textId="4345761B" w:rsidR="00885AFA" w:rsidRDefault="00885AFA" w:rsidP="00885AFA">
      <w:pPr>
        <w:pStyle w:val="RubrikC"/>
      </w:pPr>
      <w:bookmarkStart w:id="8" w:name="_Toc120194599"/>
      <w:r>
        <w:t>2.</w:t>
      </w:r>
      <w:r w:rsidR="00984174">
        <w:t>2</w:t>
      </w:r>
      <w:r>
        <w:t xml:space="preserve"> Hushållsavdraget</w:t>
      </w:r>
      <w:r w:rsidR="005923E7">
        <w:t xml:space="preserve"> från kommunalskatten</w:t>
      </w:r>
      <w:bookmarkEnd w:id="8"/>
    </w:p>
    <w:p w14:paraId="4135FF38" w14:textId="77777777" w:rsidR="00885AFA" w:rsidRPr="00885AFA" w:rsidRDefault="00885AFA" w:rsidP="00885AFA">
      <w:pPr>
        <w:pStyle w:val="Rubrikmellanrum"/>
      </w:pPr>
    </w:p>
    <w:p w14:paraId="4120F84D" w14:textId="73D5BD26" w:rsidR="00430D83" w:rsidRDefault="0036459E" w:rsidP="00756E2C">
      <w:pPr>
        <w:pStyle w:val="ANormal"/>
      </w:pPr>
      <w:r>
        <w:t>Hushållsavdraget från kommunalskatten regleras i kommunalskattelagens 26</w:t>
      </w:r>
      <w:r w:rsidR="0059641A">
        <w:t> §</w:t>
      </w:r>
      <w:r>
        <w:t>. Enligt paragrafens 1</w:t>
      </w:r>
      <w:r w:rsidR="0059641A">
        <w:t> mom.</w:t>
      </w:r>
      <w:r>
        <w:t xml:space="preserve"> får en skattskyldig göra hushållsavdrag från kommunalskatten enligt de grunder som anges i 127a och 127b</w:t>
      </w:r>
      <w:r w:rsidR="0059641A">
        <w:t> §</w:t>
      </w:r>
      <w:r>
        <w:t>§ i inkomstskattelagen till den del avdraget överstiger beloppet av inkomstskatten till staten.</w:t>
      </w:r>
      <w:r w:rsidR="00502AAD" w:rsidRPr="00502AAD">
        <w:t xml:space="preserve"> </w:t>
      </w:r>
      <w:r w:rsidR="00502AAD">
        <w:t>Det hushållsavdrag som beviljas på basis av elenergiräkningar som nu behandlas i riksdagen föreslås bli infört i en ny temporär 127g</w:t>
      </w:r>
      <w:r w:rsidR="0059641A">
        <w:t> §</w:t>
      </w:r>
      <w:r w:rsidR="00502AAD">
        <w:t xml:space="preserve"> i inkomstskattelagen.</w:t>
      </w:r>
    </w:p>
    <w:p w14:paraId="6415E0BC" w14:textId="20870777" w:rsidR="00502AAD" w:rsidRDefault="00502AAD" w:rsidP="00502AAD">
      <w:pPr>
        <w:pStyle w:val="ANormal"/>
      </w:pPr>
      <w:r>
        <w:tab/>
        <w:t>Hushållsavdrag</w:t>
      </w:r>
      <w:r w:rsidR="00371052">
        <w:t>et</w:t>
      </w:r>
      <w:r>
        <w:t xml:space="preserve"> som beviljas specifikt på basis av elenergiräkningar ska inte beaktas vid beräkningen av det sedvanliga hushållsavdragets maximi</w:t>
      </w:r>
      <w:r w:rsidR="00371052">
        <w:softHyphen/>
      </w:r>
      <w:r>
        <w:lastRenderedPageBreak/>
        <w:t>belopp, det vill säga det ska beviljas utöver avdrag som beviljas på basis av andra kostnader som berättigar till hushållsavdrag. Avdraget som bestäms på basis av elenergiräkningar ska ändå utgöra en del av hushållsavdraget och beviljas på motsvarande sätt som avdrag som beviljas på basis av andra kostnader som berättigar till hushållsavdrag. Till exempel den självriskandel på 100 euro som ingår i hushållsavdraget ska också gälla avdrag som beviljas på basis av elenergiräkningar.</w:t>
      </w:r>
    </w:p>
    <w:p w14:paraId="04903BF6" w14:textId="674629C5" w:rsidR="00CC5D98" w:rsidRDefault="00CC5D98" w:rsidP="00CC5D98">
      <w:pPr>
        <w:pStyle w:val="ANormal"/>
      </w:pPr>
      <w:r>
        <w:tab/>
        <w:t>Till inkomstskattelagen har också fogats en 127f</w:t>
      </w:r>
      <w:r w:rsidR="0059641A">
        <w:t> §</w:t>
      </w:r>
      <w:r>
        <w:t xml:space="preserve"> som anger avvikande grunder för hushållsavdraget under perioden 2022–2027. Enligt 127f</w:t>
      </w:r>
      <w:r w:rsidR="0059641A">
        <w:t> §</w:t>
      </w:r>
      <w:r>
        <w:t xml:space="preserve"> gäller ett högre maximibelopp på 3</w:t>
      </w:r>
      <w:r w:rsidR="0059641A">
        <w:t> </w:t>
      </w:r>
      <w:r>
        <w:t xml:space="preserve">500 euro för hushållsavdraget under skatteåren 2022–2027. </w:t>
      </w:r>
      <w:r w:rsidR="00BC25B7">
        <w:t>Dessutom höjs den avdragbara andelen av kostnaderna från 40 till 60</w:t>
      </w:r>
      <w:r w:rsidR="0059641A">
        <w:t xml:space="preserve"> </w:t>
      </w:r>
      <w:r w:rsidR="00BC25B7">
        <w:t xml:space="preserve">procent för arbetsersättningar och från 15 till 30 procent när det gäller löner. </w:t>
      </w:r>
      <w:r>
        <w:t xml:space="preserve">Under skatteåren 2022 och 2023 gäller </w:t>
      </w:r>
      <w:r w:rsidR="00BC25B7">
        <w:t>de avvikande grunderna</w:t>
      </w:r>
      <w:r>
        <w:t xml:space="preserve"> avstående från oljeuppvärmning samt hushållsarbete, omsorgsarbete och vårdarbete. Under skatteåren 2024–2027 gäller </w:t>
      </w:r>
      <w:r w:rsidR="00BC25B7">
        <w:t>grunderna</w:t>
      </w:r>
      <w:r>
        <w:t xml:space="preserve"> endast hushållsavdrag som beviljas på basis av avstående från oljeuppvärmning. Den som har beviljats bidrag för att avstå från oljeuppvärmning är inte berättigad att göra avdraget.</w:t>
      </w:r>
    </w:p>
    <w:p w14:paraId="14B480BA" w14:textId="3953A4DC" w:rsidR="00430D83" w:rsidRDefault="00E30341" w:rsidP="00756E2C">
      <w:pPr>
        <w:pStyle w:val="ANormal"/>
      </w:pPr>
      <w:r>
        <w:tab/>
      </w:r>
      <w:r w:rsidR="00371052">
        <w:t xml:space="preserve">Genom den nu aktuella ändringen av inkomstskattelagen kommer det särskilda hushållsavdraget på basis av elenergiräkningar att kunna göras från statsskatten även av skattskyldiga på Åland. För att de också ska ha möjlighet att tillgodogöra sig avdraget i sin helhet </w:t>
      </w:r>
      <w:r>
        <w:t>föreslå</w:t>
      </w:r>
      <w:r w:rsidR="00371052">
        <w:t>r landskapsregeringen</w:t>
      </w:r>
      <w:r>
        <w:t xml:space="preserve"> att </w:t>
      </w:r>
      <w:r w:rsidR="00371052">
        <w:t>kommunalskattelagen ändras så att det särskilda avdraget får göras från kommunalskatten</w:t>
      </w:r>
      <w:r>
        <w:t xml:space="preserve">. Samtidigt föreslås också att en bestämmelse </w:t>
      </w:r>
      <w:r w:rsidR="00E7792A">
        <w:t>fogas till lagen</w:t>
      </w:r>
      <w:r>
        <w:t xml:space="preserve"> om </w:t>
      </w:r>
      <w:r w:rsidR="00AE6AC5">
        <w:t xml:space="preserve">de avvikande </w:t>
      </w:r>
      <w:r>
        <w:t>grunderna för hushållsavdraget under skatteåren 2022–2027</w:t>
      </w:r>
      <w:r w:rsidR="009D1479">
        <w:t>. De avvikande grunderna infördes i inkomstskattelagen från och med skatteåret 2022</w:t>
      </w:r>
      <w:r w:rsidR="00AE6AC5">
        <w:t>.</w:t>
      </w:r>
      <w:r w:rsidR="009D1479">
        <w:t xml:space="preserve"> </w:t>
      </w:r>
      <w:r w:rsidR="00DF3653">
        <w:t xml:space="preserve">Med hänvisning till att avdraget har beviljats från statsskatten under skatteåret 2022 föreslår landskapsregeringen att bestämmelsen ska gälla retroaktivt för innevarande skatteår även </w:t>
      </w:r>
      <w:r>
        <w:t>vid kommunalbeskattningen på Åland</w:t>
      </w:r>
      <w:r w:rsidR="00DF3653">
        <w:t>.</w:t>
      </w:r>
    </w:p>
    <w:p w14:paraId="07F2943F" w14:textId="77777777" w:rsidR="00984174" w:rsidRDefault="00984174" w:rsidP="00756E2C">
      <w:pPr>
        <w:pStyle w:val="ANormal"/>
      </w:pPr>
    </w:p>
    <w:p w14:paraId="178632D0" w14:textId="180530ED" w:rsidR="00984174" w:rsidRDefault="00984174" w:rsidP="00984174">
      <w:pPr>
        <w:pStyle w:val="RubrikC"/>
      </w:pPr>
      <w:bookmarkStart w:id="9" w:name="_Toc120194600"/>
      <w:r>
        <w:t>2.3 Resekostnadsavdraget</w:t>
      </w:r>
      <w:bookmarkEnd w:id="9"/>
    </w:p>
    <w:p w14:paraId="125801D9" w14:textId="77777777" w:rsidR="00984174" w:rsidRDefault="00984174" w:rsidP="00984174">
      <w:pPr>
        <w:pStyle w:val="Rubrikmellanrum"/>
      </w:pPr>
    </w:p>
    <w:p w14:paraId="554BA2B8" w14:textId="13542792" w:rsidR="00984174" w:rsidRDefault="00984174" w:rsidP="00984174">
      <w:pPr>
        <w:pStyle w:val="ANormal"/>
      </w:pPr>
      <w:r>
        <w:t>Resekostnadsavdraget från förvärvsinkomsten regleras i kommunalskattelagens 10</w:t>
      </w:r>
      <w:r w:rsidR="0059641A">
        <w:t> §</w:t>
      </w:r>
      <w:r>
        <w:t>. Avdraget höjs temporärt för skatteåret 2022</w:t>
      </w:r>
      <w:r w:rsidRPr="00D66EE4">
        <w:t xml:space="preserve"> </w:t>
      </w:r>
      <w:r>
        <w:t>för att kompensera personer som använder egen bil mellan bostaden och arbetsplatsen för det höga bränslepriset. Höjningen genomförs genom en ändring av den nämnda 10</w:t>
      </w:r>
      <w:r w:rsidR="0059641A">
        <w:t> §</w:t>
      </w:r>
      <w:r>
        <w:t xml:space="preserve"> som innebär att inkomstskattelagens bestämmelser om grunderna för avdraget blir tillämpliga vid kommunalbeskattningen på Åland. Tidigare har grunderna beslutats av Skatteförvaltningen.</w:t>
      </w:r>
      <w:r w:rsidRPr="00854670">
        <w:t xml:space="preserve"> </w:t>
      </w:r>
      <w:r>
        <w:t>Lagtinget fattade beslut om ändringen den 21 september 2022 (se LTB 45/2022), den har ännu inte trätt i kraft men kommer att tillämpas retroaktivt för 2022.</w:t>
      </w:r>
    </w:p>
    <w:p w14:paraId="51AE5239" w14:textId="00C22E67" w:rsidR="00984174" w:rsidRDefault="00984174" w:rsidP="00984174">
      <w:pPr>
        <w:pStyle w:val="ANormal"/>
      </w:pPr>
      <w:r>
        <w:tab/>
        <w:t xml:space="preserve">Den temporära höjningen av avdraget för kostnader för resor mellan bostaden och arbetsplatsen som infördes i inkomstskattelagen för skatteåret 2022 förlängs nu </w:t>
      </w:r>
      <w:r w:rsidR="00BA2DEA">
        <w:t xml:space="preserve">i riket </w:t>
      </w:r>
      <w:r>
        <w:t>så att den gäller även skatteåret 2023. För att fortsättningsvis kompensera för det höga bränslepriset förlängs höjningen av resekostnadsavdraget även i kommunalbeskattningen på Åland. Den nya formuleringen av 10</w:t>
      </w:r>
      <w:r w:rsidR="0059641A">
        <w:t> §</w:t>
      </w:r>
      <w:r>
        <w:t xml:space="preserve"> i kommunalskattelagen medför att ändringen av inkomst</w:t>
      </w:r>
      <w:r>
        <w:softHyphen/>
        <w:t>skattelagen per automatik blir tillämplig även vid kommunalbeskattningen här. Det kräver således ingen ytterligare lagstiftningsåtgärd.</w:t>
      </w:r>
    </w:p>
    <w:p w14:paraId="21943708" w14:textId="77777777" w:rsidR="00E30341" w:rsidRDefault="00E30341" w:rsidP="00756E2C">
      <w:pPr>
        <w:pStyle w:val="ANormal"/>
      </w:pPr>
    </w:p>
    <w:p w14:paraId="7EEB1434" w14:textId="683AB5AE" w:rsidR="00944401" w:rsidRDefault="00944401" w:rsidP="00944401">
      <w:pPr>
        <w:pStyle w:val="RubrikC"/>
      </w:pPr>
      <w:bookmarkStart w:id="10" w:name="_Toc120194601"/>
      <w:r>
        <w:t>2.</w:t>
      </w:r>
      <w:r w:rsidR="00885AFA">
        <w:t>4</w:t>
      </w:r>
      <w:r>
        <w:t xml:space="preserve"> Ändringar som följer av social- och hälsovårdsreformen</w:t>
      </w:r>
      <w:bookmarkEnd w:id="10"/>
    </w:p>
    <w:p w14:paraId="1B7314DD" w14:textId="77777777" w:rsidR="00944401" w:rsidRPr="00C2051C" w:rsidRDefault="00944401" w:rsidP="00944401">
      <w:pPr>
        <w:pStyle w:val="Rubrikmellanrum"/>
      </w:pPr>
    </w:p>
    <w:p w14:paraId="28F4336F" w14:textId="77777777" w:rsidR="00944401" w:rsidRDefault="00944401" w:rsidP="00944401">
      <w:pPr>
        <w:pStyle w:val="ANormal"/>
      </w:pPr>
      <w:r>
        <w:t xml:space="preserve">Den stora social- och hälsovårdsreformen som genomförs i riket innebär stora förändringar i förhållandet mellan staten och kommunerna i riket. Genom reformen införs en ny förvaltningsnivå i och med att välfärdsområden inrättas. Välfärdsområdena har ingen egen beskattningsrätt utan finansieras med statliga medel. Genom att de tar över en stor del av den kommunala </w:t>
      </w:r>
      <w:r>
        <w:lastRenderedPageBreak/>
        <w:t>verksamheten flyttas också kostnadsansvaret för denna verksamhet från kommunerna till staten. Ändringarna i beskattningen är ett led i att neutralisera denna kostnadsöverföring. För kommunerna i riket innebär det också att deras inkomstskattesatser för 2023 sänks med 12,64 procentenheter jämfört med 2022, samtidigt som kommunernas andel av intäkterna från samfundsskatten sänks med 11,25 procentenheter. För statens del höjs förvärvsinkomstskatten och andelen av samfundsskatten på motsvarande sätt.</w:t>
      </w:r>
    </w:p>
    <w:p w14:paraId="3B65F84D" w14:textId="77A16470" w:rsidR="00944401" w:rsidRDefault="00944401" w:rsidP="00944401">
      <w:pPr>
        <w:pStyle w:val="ANormal"/>
      </w:pPr>
      <w:r>
        <w:tab/>
        <w:t xml:space="preserve">Reformen i riket rör varken åländska skattskyldiga eller de åländska kommunerna. Höjningen av förvärvsinkomstskatten till staten neutraliseras genom att skattesatserna i inkomstskatteskalan sänks med 12,64 procentenheter </w:t>
      </w:r>
      <w:r w:rsidR="003A50B0">
        <w:t xml:space="preserve">för skattskyldiga med hemkommun på Åland </w:t>
      </w:r>
      <w:r>
        <w:t>(</w:t>
      </w:r>
      <w:r w:rsidR="003A50B0">
        <w:t xml:space="preserve">se </w:t>
      </w:r>
      <w:r>
        <w:t>124</w:t>
      </w:r>
      <w:r w:rsidR="0059641A">
        <w:t> §</w:t>
      </w:r>
      <w:r>
        <w:t xml:space="preserve"> 5</w:t>
      </w:r>
      <w:r w:rsidR="0059641A">
        <w:t> mom.</w:t>
      </w:r>
      <w:r>
        <w:t xml:space="preserve"> inkomstskattelagen). Landskapsregeringen anser inte att det finns någon orsak att ändra de avdrag som gäller vid kommunalbeskattningen endast med motivet att de ändras i rikets kommunalbeskattning. Att skattebaserna slås samman i riket kan möjligtvis komplicera beskattningsförfarandet, åtminstone på längre sikt, men det är inget som landskapsregeringen anser att man på Åland kan påverka</w:t>
      </w:r>
      <w:r w:rsidR="003A50B0">
        <w:t xml:space="preserve"> för närvarande</w:t>
      </w:r>
      <w:r>
        <w:t xml:space="preserve">. Skattebasen i kommunalbeskattningen på Åland har för övrigt </w:t>
      </w:r>
      <w:r w:rsidR="003A50B0">
        <w:t>också</w:t>
      </w:r>
      <w:r>
        <w:t xml:space="preserve"> hittills skilt sig från skattebasen i kommunalbeskattningen i riket. Eftersom inkomstskattelagen tillämpas med stöd av blankettlagstiftning föreslås dock vissa förtydliganden i kommunalskattelagen för att klargöra skillnaden när det gäller skattebasen.</w:t>
      </w:r>
    </w:p>
    <w:p w14:paraId="51F366AE" w14:textId="77777777" w:rsidR="00944401" w:rsidRDefault="00944401" w:rsidP="00944401">
      <w:pPr>
        <w:pStyle w:val="ANormal"/>
      </w:pPr>
    </w:p>
    <w:p w14:paraId="2D36DFFF" w14:textId="14753335" w:rsidR="00C2051C" w:rsidRDefault="00C2051C" w:rsidP="00C2051C">
      <w:pPr>
        <w:pStyle w:val="RubrikB"/>
      </w:pPr>
      <w:bookmarkStart w:id="11" w:name="_Toc120194602"/>
      <w:r>
        <w:t>3. Förslagets konsekvenser</w:t>
      </w:r>
      <w:bookmarkEnd w:id="11"/>
    </w:p>
    <w:p w14:paraId="6F3A3CD0" w14:textId="283BD91F" w:rsidR="00C2051C" w:rsidRDefault="00C2051C" w:rsidP="00C2051C">
      <w:pPr>
        <w:pStyle w:val="Rubrikmellanrum"/>
      </w:pPr>
    </w:p>
    <w:p w14:paraId="3DCFC387" w14:textId="13FBA51B" w:rsidR="00D67CD2" w:rsidRDefault="00D67CD2" w:rsidP="00D67CD2">
      <w:pPr>
        <w:pStyle w:val="RubrikC"/>
      </w:pPr>
      <w:bookmarkStart w:id="12" w:name="_Toc120194603"/>
      <w:r>
        <w:t>3.1 Allmänt</w:t>
      </w:r>
      <w:bookmarkEnd w:id="12"/>
    </w:p>
    <w:p w14:paraId="37F9B9BA" w14:textId="77777777" w:rsidR="00D67CD2" w:rsidRPr="00D67CD2" w:rsidRDefault="00D67CD2" w:rsidP="00D67CD2">
      <w:pPr>
        <w:pStyle w:val="Rubrikmellanrum"/>
      </w:pPr>
    </w:p>
    <w:p w14:paraId="45BFE1DF" w14:textId="69F3F016" w:rsidR="00D67CD2" w:rsidRDefault="00D67CD2" w:rsidP="00D67CD2">
      <w:pPr>
        <w:pStyle w:val="ANormal"/>
      </w:pPr>
      <w:r>
        <w:t>Förslaget</w:t>
      </w:r>
      <w:r w:rsidR="00BC6B2C">
        <w:t xml:space="preserve"> har ekonomiska konsekvenser för de skattskyldiga och för kommunerna.</w:t>
      </w:r>
      <w:r>
        <w:t xml:space="preserve"> Konsekvenserna är positiva för de skattskyldiga och negativa för kommunerna.</w:t>
      </w:r>
      <w:r w:rsidRPr="00D67CD2">
        <w:t xml:space="preserve"> </w:t>
      </w:r>
      <w:r>
        <w:t xml:space="preserve">Med hänvisning till att landskapsregeringen har för avsikt att </w:t>
      </w:r>
      <w:r w:rsidR="003B37D6">
        <w:t>föreslå en kompensation till</w:t>
      </w:r>
      <w:r>
        <w:t xml:space="preserve"> kommunerna </w:t>
      </w:r>
      <w:r w:rsidR="003B37D6">
        <w:t>motsvarande 70</w:t>
      </w:r>
      <w:r w:rsidR="0059641A">
        <w:t xml:space="preserve"> </w:t>
      </w:r>
      <w:r w:rsidR="003B37D6">
        <w:t>procent av den totala förlusten av skatteintäkter som orsakas av</w:t>
      </w:r>
      <w:r>
        <w:t xml:space="preserve"> resekostnads- och grundavdraget</w:t>
      </w:r>
      <w:r w:rsidR="003B37D6">
        <w:t>,</w:t>
      </w:r>
      <w:r>
        <w:t xml:space="preserve"> kommer dock den sammantagna ekonomiska effekten för kommunerna att bli positiv.</w:t>
      </w:r>
      <w:r w:rsidRPr="00D67CD2">
        <w:t xml:space="preserve"> </w:t>
      </w:r>
      <w:r>
        <w:t>Ett separat lagförslag om kompensationen kommer att lämnas till lagtinget</w:t>
      </w:r>
      <w:r w:rsidR="00DA0F3C">
        <w:t xml:space="preserve"> </w:t>
      </w:r>
      <w:r w:rsidR="00A97A7B">
        <w:t xml:space="preserve">senare </w:t>
      </w:r>
      <w:r w:rsidR="00DA0F3C">
        <w:t>under höstsessionen</w:t>
      </w:r>
      <w:r>
        <w:t>.</w:t>
      </w:r>
    </w:p>
    <w:p w14:paraId="1B0540EC" w14:textId="6D48F197" w:rsidR="00C2051C" w:rsidRDefault="00C2051C" w:rsidP="00C2051C">
      <w:pPr>
        <w:pStyle w:val="ANormal"/>
      </w:pPr>
    </w:p>
    <w:p w14:paraId="10DD8BDF" w14:textId="1E4B9134" w:rsidR="003B2E9E" w:rsidRPr="003B2E9E" w:rsidRDefault="00D67CD2" w:rsidP="003B2E9E">
      <w:pPr>
        <w:pStyle w:val="RubrikC"/>
      </w:pPr>
      <w:bookmarkStart w:id="13" w:name="_Toc120194604"/>
      <w:r>
        <w:t>3.2 Ekonomiska konsekvenser för de skattskyldiga</w:t>
      </w:r>
      <w:bookmarkEnd w:id="13"/>
    </w:p>
    <w:p w14:paraId="5ED072B2" w14:textId="540E2B4A" w:rsidR="00D67CD2" w:rsidRDefault="00D67CD2" w:rsidP="00D67CD2">
      <w:pPr>
        <w:pStyle w:val="Rubrikmellanrum"/>
      </w:pPr>
    </w:p>
    <w:p w14:paraId="3E9FA6F3" w14:textId="59EF98EC" w:rsidR="003B2E9E" w:rsidRDefault="003B2E9E" w:rsidP="003B2E9E">
      <w:pPr>
        <w:pStyle w:val="RubrikD"/>
      </w:pPr>
      <w:r>
        <w:t>Ändringen av grundavdraget</w:t>
      </w:r>
    </w:p>
    <w:p w14:paraId="4DDE9DD0" w14:textId="77777777" w:rsidR="003B2E9E" w:rsidRPr="003B2E9E" w:rsidRDefault="003B2E9E" w:rsidP="003B2E9E">
      <w:pPr>
        <w:pStyle w:val="Rubrikmellanrum"/>
      </w:pPr>
    </w:p>
    <w:p w14:paraId="7EC52BC1" w14:textId="4E4E7753" w:rsidR="00314A48" w:rsidRDefault="003C312C" w:rsidP="00C2051C">
      <w:pPr>
        <w:pStyle w:val="ANormal"/>
      </w:pPr>
      <w:r>
        <w:t xml:space="preserve">Grundavdraget har hittills varit riktat till de skattskyldigas som har de </w:t>
      </w:r>
      <w:r w:rsidR="00A97A7B">
        <w:t xml:space="preserve">allra </w:t>
      </w:r>
      <w:r>
        <w:t xml:space="preserve">lägsta förvärvsinkomsterna. </w:t>
      </w:r>
      <w:r w:rsidR="00DA0F3C">
        <w:t xml:space="preserve">Den föreslagna sänkningen av avdragets </w:t>
      </w:r>
      <w:r w:rsidR="00497E12" w:rsidRPr="00562E03">
        <w:t>nedtrappningsgrad</w:t>
      </w:r>
      <w:r w:rsidR="00DA0F3C">
        <w:t xml:space="preserve"> innebär att fler skattskyldiga än tidigare kommer att kunna göra avdraget. För dem som hittills har fått göra grundavdrag kommer avdraget </w:t>
      </w:r>
      <w:r>
        <w:t xml:space="preserve">också </w:t>
      </w:r>
      <w:r w:rsidR="00DA0F3C">
        <w:t xml:space="preserve">att bli högre. </w:t>
      </w:r>
      <w:r w:rsidR="005E76F4">
        <w:t>Hur stor skillnaden blir är beroende av vilka andra avdrag som dras från den skattskyldiges förvärvsinkomst.</w:t>
      </w:r>
      <w:r w:rsidR="005E76F4" w:rsidRPr="005E76F4">
        <w:t xml:space="preserve"> </w:t>
      </w:r>
      <w:r w:rsidR="005E76F4">
        <w:t>För skattskyldiga med en nettoförvärvsinkomst som efter andra avdrag inte är högre än 3 500 euro har förslaget dock ingen effekt.</w:t>
      </w:r>
    </w:p>
    <w:p w14:paraId="3F1788A8" w14:textId="0738B4F5" w:rsidR="00984F62" w:rsidRDefault="00314A48" w:rsidP="00C2051C">
      <w:pPr>
        <w:pStyle w:val="ANormal"/>
      </w:pPr>
      <w:r>
        <w:tab/>
      </w:r>
      <w:r w:rsidR="00A97A7B">
        <w:t>I nedanstående tabell</w:t>
      </w:r>
      <w:r>
        <w:t xml:space="preserve"> visas en kalkyl för hur förslaget faller ut per person vid olika inkomstnivåer efter att övriga avdrag från förvärvsinkomsten har gjorts</w:t>
      </w:r>
      <w:r w:rsidR="0006007F">
        <w:t xml:space="preserve">. </w:t>
      </w:r>
      <w:r w:rsidR="00853903">
        <w:t xml:space="preserve">I tabellen visas </w:t>
      </w:r>
      <w:r w:rsidR="00C6388D">
        <w:t xml:space="preserve">en jämförelse mellan </w:t>
      </w:r>
      <w:r w:rsidR="00853903">
        <w:t xml:space="preserve">grundavdraget i euro enligt gällande lag (3 500 euro, </w:t>
      </w:r>
      <w:r w:rsidR="00497E12" w:rsidRPr="00562E03">
        <w:t>nedtrappningsgrad</w:t>
      </w:r>
      <w:r w:rsidR="00853903">
        <w:t xml:space="preserve"> 18) och enligt förslaget (3 500 euro, </w:t>
      </w:r>
      <w:r w:rsidR="00497E12" w:rsidRPr="00562E03">
        <w:t>nedtrappningsgrad</w:t>
      </w:r>
      <w:r w:rsidR="00853903">
        <w:t xml:space="preserve"> 8,4)</w:t>
      </w:r>
      <w:r w:rsidR="00C6388D">
        <w:t>. Kalkylen</w:t>
      </w:r>
      <w:r w:rsidR="0006007F">
        <w:t xml:space="preserve"> visar att ökningen blir störst för dem som har en nettoförvärvsinkomst </w:t>
      </w:r>
      <w:r w:rsidR="00A97A7B">
        <w:t xml:space="preserve">runt 20 000–25 000 euro </w:t>
      </w:r>
      <w:r w:rsidR="0006007F">
        <w:t>efter andra avdrag.</w:t>
      </w:r>
      <w:r>
        <w:t xml:space="preserve"> </w:t>
      </w:r>
      <w:r w:rsidR="00183E47">
        <w:t>Observera att det som visas är ökningen av avdraget från förvärvsinkomsten. Hur stor sänkningen av skatten slutligen blir beror på den kommunala inkomstskattesatsen.</w:t>
      </w:r>
      <w:r w:rsidR="004B368E">
        <w:t xml:space="preserve"> </w:t>
      </w:r>
      <w:r w:rsidR="004B368E" w:rsidRPr="00562E03">
        <w:t>I tabellen visas den kalkylerade förändringen av den disponibla inkomsten på basen av den genomsnittliga kommunalskattesatsen 2022 (17,52 procent).</w:t>
      </w:r>
    </w:p>
    <w:p w14:paraId="3CBF6B25" w14:textId="77777777" w:rsidR="0006007F" w:rsidRDefault="0006007F" w:rsidP="00A97A7B">
      <w:pPr>
        <w:pStyle w:val="ANormal"/>
        <w:keepNext/>
      </w:pPr>
    </w:p>
    <w:tbl>
      <w:tblPr>
        <w:tblStyle w:val="Tabellrutnt"/>
        <w:tblW w:w="0" w:type="auto"/>
        <w:tblLook w:val="04A0" w:firstRow="1" w:lastRow="0" w:firstColumn="1" w:lastColumn="0" w:noHBand="0" w:noVBand="1"/>
      </w:tblPr>
      <w:tblGrid>
        <w:gridCol w:w="1162"/>
        <w:gridCol w:w="1472"/>
        <w:gridCol w:w="1472"/>
        <w:gridCol w:w="1287"/>
        <w:gridCol w:w="1287"/>
      </w:tblGrid>
      <w:tr w:rsidR="002E2CDA" w:rsidRPr="00984F62" w14:paraId="3F7CD716" w14:textId="3A48D523" w:rsidTr="00437387">
        <w:trPr>
          <w:trHeight w:val="383"/>
        </w:trPr>
        <w:tc>
          <w:tcPr>
            <w:tcW w:w="1162" w:type="dxa"/>
            <w:vMerge w:val="restart"/>
            <w:vAlign w:val="bottom"/>
          </w:tcPr>
          <w:p w14:paraId="41064CCE" w14:textId="77777777" w:rsidR="002E2CDA" w:rsidRDefault="002E2CDA" w:rsidP="00A97A7B">
            <w:pPr>
              <w:pStyle w:val="Tabelltext"/>
              <w:keepNext/>
              <w:rPr>
                <w:b/>
                <w:bCs/>
              </w:rPr>
            </w:pPr>
            <w:r>
              <w:rPr>
                <w:b/>
                <w:bCs/>
              </w:rPr>
              <w:t>Förvärvs-</w:t>
            </w:r>
          </w:p>
          <w:p w14:paraId="61156F1E" w14:textId="77777777" w:rsidR="002E2CDA" w:rsidRDefault="002E2CDA" w:rsidP="00A97A7B">
            <w:pPr>
              <w:pStyle w:val="Tabelltext"/>
              <w:keepNext/>
              <w:rPr>
                <w:b/>
                <w:bCs/>
              </w:rPr>
            </w:pPr>
            <w:r>
              <w:rPr>
                <w:b/>
                <w:bCs/>
              </w:rPr>
              <w:t>i</w:t>
            </w:r>
            <w:r w:rsidRPr="000542C2">
              <w:rPr>
                <w:b/>
                <w:bCs/>
              </w:rPr>
              <w:t xml:space="preserve">nkomst </w:t>
            </w:r>
          </w:p>
          <w:p w14:paraId="1696FCE1" w14:textId="0E54CD4F" w:rsidR="002E2CDA" w:rsidRPr="000542C2" w:rsidRDefault="002E2CDA" w:rsidP="00A97A7B">
            <w:pPr>
              <w:pStyle w:val="Tabelltext"/>
              <w:keepNext/>
              <w:rPr>
                <w:b/>
                <w:bCs/>
              </w:rPr>
            </w:pPr>
            <w:r w:rsidRPr="000542C2">
              <w:rPr>
                <w:b/>
                <w:bCs/>
              </w:rPr>
              <w:t xml:space="preserve">efter </w:t>
            </w:r>
            <w:r>
              <w:rPr>
                <w:b/>
                <w:bCs/>
              </w:rPr>
              <w:t>a</w:t>
            </w:r>
            <w:r w:rsidRPr="000542C2">
              <w:rPr>
                <w:b/>
                <w:bCs/>
              </w:rPr>
              <w:t>ndra avdrag, euro</w:t>
            </w:r>
          </w:p>
        </w:tc>
        <w:tc>
          <w:tcPr>
            <w:tcW w:w="2944" w:type="dxa"/>
            <w:gridSpan w:val="2"/>
            <w:vAlign w:val="bottom"/>
          </w:tcPr>
          <w:p w14:paraId="184640D4" w14:textId="04E25A0B" w:rsidR="002E2CDA" w:rsidRPr="000542C2" w:rsidRDefault="002E2CDA" w:rsidP="00A97A7B">
            <w:pPr>
              <w:pStyle w:val="Tabelltext"/>
              <w:keepNext/>
              <w:jc w:val="center"/>
              <w:rPr>
                <w:b/>
                <w:bCs/>
              </w:rPr>
            </w:pPr>
            <w:r w:rsidRPr="000542C2">
              <w:rPr>
                <w:b/>
                <w:bCs/>
              </w:rPr>
              <w:t>Grundavdrag, euro</w:t>
            </w:r>
          </w:p>
        </w:tc>
        <w:tc>
          <w:tcPr>
            <w:tcW w:w="2574" w:type="dxa"/>
            <w:gridSpan w:val="2"/>
            <w:vAlign w:val="bottom"/>
          </w:tcPr>
          <w:p w14:paraId="172582C6" w14:textId="4FF3AFCB" w:rsidR="002E2CDA" w:rsidRPr="000542C2" w:rsidRDefault="002E2CDA" w:rsidP="002E2CDA">
            <w:pPr>
              <w:pStyle w:val="Tabelltext"/>
              <w:keepNext/>
              <w:jc w:val="center"/>
              <w:rPr>
                <w:b/>
                <w:bCs/>
              </w:rPr>
            </w:pPr>
            <w:r w:rsidRPr="000542C2">
              <w:rPr>
                <w:b/>
                <w:bCs/>
              </w:rPr>
              <w:t>Ökning, euro</w:t>
            </w:r>
          </w:p>
        </w:tc>
      </w:tr>
      <w:tr w:rsidR="002E2CDA" w:rsidRPr="00984F62" w14:paraId="446C2C47" w14:textId="15169E5B" w:rsidTr="00437387">
        <w:trPr>
          <w:trHeight w:val="382"/>
        </w:trPr>
        <w:tc>
          <w:tcPr>
            <w:tcW w:w="1162" w:type="dxa"/>
            <w:vMerge/>
          </w:tcPr>
          <w:p w14:paraId="76208E6F" w14:textId="77777777" w:rsidR="002E2CDA" w:rsidRPr="00984F62" w:rsidRDefault="002E2CDA" w:rsidP="00A97A7B">
            <w:pPr>
              <w:pStyle w:val="Tabelltext"/>
              <w:keepNext/>
            </w:pPr>
          </w:p>
        </w:tc>
        <w:tc>
          <w:tcPr>
            <w:tcW w:w="1472" w:type="dxa"/>
            <w:vAlign w:val="bottom"/>
          </w:tcPr>
          <w:p w14:paraId="6FC9FD6A" w14:textId="2E287024" w:rsidR="002E2CDA" w:rsidRPr="000542C2" w:rsidRDefault="002E2CDA" w:rsidP="00A97A7B">
            <w:pPr>
              <w:pStyle w:val="Tabelltext"/>
              <w:keepNext/>
              <w:rPr>
                <w:b/>
                <w:bCs/>
              </w:rPr>
            </w:pPr>
            <w:r>
              <w:rPr>
                <w:b/>
                <w:bCs/>
              </w:rPr>
              <w:t>E</w:t>
            </w:r>
            <w:r w:rsidRPr="000542C2">
              <w:rPr>
                <w:b/>
                <w:bCs/>
              </w:rPr>
              <w:t>nl</w:t>
            </w:r>
            <w:r>
              <w:rPr>
                <w:b/>
                <w:bCs/>
              </w:rPr>
              <w:t>igt</w:t>
            </w:r>
            <w:r w:rsidRPr="000542C2">
              <w:rPr>
                <w:b/>
                <w:bCs/>
              </w:rPr>
              <w:t xml:space="preserve"> gällande lag</w:t>
            </w:r>
          </w:p>
        </w:tc>
        <w:tc>
          <w:tcPr>
            <w:tcW w:w="1472" w:type="dxa"/>
            <w:vAlign w:val="bottom"/>
          </w:tcPr>
          <w:p w14:paraId="5A052A5D" w14:textId="55B24501" w:rsidR="002E2CDA" w:rsidRPr="000542C2" w:rsidRDefault="002E2CDA" w:rsidP="00A97A7B">
            <w:pPr>
              <w:pStyle w:val="Tabelltext"/>
              <w:keepNext/>
              <w:rPr>
                <w:b/>
                <w:bCs/>
              </w:rPr>
            </w:pPr>
            <w:r>
              <w:rPr>
                <w:b/>
                <w:bCs/>
              </w:rPr>
              <w:t>E</w:t>
            </w:r>
            <w:r w:rsidRPr="000542C2">
              <w:rPr>
                <w:b/>
                <w:bCs/>
              </w:rPr>
              <w:t>nl</w:t>
            </w:r>
            <w:r>
              <w:rPr>
                <w:b/>
                <w:bCs/>
              </w:rPr>
              <w:t>igt</w:t>
            </w:r>
            <w:r w:rsidRPr="000542C2">
              <w:rPr>
                <w:b/>
                <w:bCs/>
              </w:rPr>
              <w:t xml:space="preserve"> förslag</w:t>
            </w:r>
          </w:p>
        </w:tc>
        <w:tc>
          <w:tcPr>
            <w:tcW w:w="1287" w:type="dxa"/>
            <w:vAlign w:val="bottom"/>
          </w:tcPr>
          <w:p w14:paraId="3AFEB70D" w14:textId="77777777" w:rsidR="00437387" w:rsidRDefault="002E2CDA" w:rsidP="002E2CDA">
            <w:pPr>
              <w:pStyle w:val="Tabelltext"/>
              <w:keepNext/>
              <w:rPr>
                <w:b/>
                <w:bCs/>
              </w:rPr>
            </w:pPr>
            <w:r w:rsidRPr="002E2CDA">
              <w:rPr>
                <w:b/>
                <w:bCs/>
              </w:rPr>
              <w:t>Avdrags</w:t>
            </w:r>
            <w:r w:rsidR="00437387">
              <w:rPr>
                <w:b/>
                <w:bCs/>
              </w:rPr>
              <w:t>-</w:t>
            </w:r>
          </w:p>
          <w:p w14:paraId="24D82F1C" w14:textId="37D68024" w:rsidR="002E2CDA" w:rsidRDefault="002E2CDA" w:rsidP="002E2CDA">
            <w:pPr>
              <w:pStyle w:val="Tabelltext"/>
              <w:keepNext/>
            </w:pPr>
            <w:r w:rsidRPr="002E2CDA">
              <w:rPr>
                <w:b/>
                <w:bCs/>
              </w:rPr>
              <w:t>belopp</w:t>
            </w:r>
          </w:p>
        </w:tc>
        <w:tc>
          <w:tcPr>
            <w:tcW w:w="1287" w:type="dxa"/>
            <w:vAlign w:val="bottom"/>
          </w:tcPr>
          <w:p w14:paraId="1FC5B3EB" w14:textId="7C56FC40" w:rsidR="002E2CDA" w:rsidRPr="00562E03" w:rsidRDefault="002E2CDA" w:rsidP="002E2CDA">
            <w:pPr>
              <w:pStyle w:val="Tabelltext"/>
              <w:keepNext/>
            </w:pPr>
            <w:r w:rsidRPr="00562E03">
              <w:rPr>
                <w:b/>
                <w:bCs/>
              </w:rPr>
              <w:t>Disponibel</w:t>
            </w:r>
            <w:r w:rsidRPr="00562E03">
              <w:t xml:space="preserve"> </w:t>
            </w:r>
            <w:r w:rsidRPr="00562E03">
              <w:rPr>
                <w:b/>
                <w:bCs/>
              </w:rPr>
              <w:t>inkomst (skattesats 17,5</w:t>
            </w:r>
            <w:r w:rsidR="00034796" w:rsidRPr="00562E03">
              <w:rPr>
                <w:b/>
                <w:bCs/>
              </w:rPr>
              <w:t>2</w:t>
            </w:r>
            <w:r w:rsidRPr="00562E03">
              <w:rPr>
                <w:b/>
                <w:bCs/>
              </w:rPr>
              <w:t> %)</w:t>
            </w:r>
          </w:p>
        </w:tc>
      </w:tr>
      <w:tr w:rsidR="002E2CDA" w14:paraId="5CBEDEA6" w14:textId="7E94144F" w:rsidTr="005C47E7">
        <w:trPr>
          <w:trHeight w:val="265"/>
        </w:trPr>
        <w:tc>
          <w:tcPr>
            <w:tcW w:w="1162" w:type="dxa"/>
            <w:vAlign w:val="bottom"/>
          </w:tcPr>
          <w:p w14:paraId="335433A5" w14:textId="43757698" w:rsidR="002E2CDA" w:rsidRDefault="002E2CDA" w:rsidP="00A97A7B">
            <w:pPr>
              <w:pStyle w:val="Tabelltext"/>
              <w:keepNext/>
              <w:jc w:val="right"/>
            </w:pPr>
            <w:r>
              <w:t>10 000</w:t>
            </w:r>
          </w:p>
        </w:tc>
        <w:tc>
          <w:tcPr>
            <w:tcW w:w="1472" w:type="dxa"/>
            <w:vAlign w:val="bottom"/>
          </w:tcPr>
          <w:p w14:paraId="404E13D0" w14:textId="526EC613" w:rsidR="002E2CDA" w:rsidRDefault="002E2CDA" w:rsidP="00A97A7B">
            <w:pPr>
              <w:pStyle w:val="Tabelltext"/>
              <w:keepNext/>
              <w:jc w:val="right"/>
            </w:pPr>
            <w:r>
              <w:t>2 330</w:t>
            </w:r>
          </w:p>
        </w:tc>
        <w:tc>
          <w:tcPr>
            <w:tcW w:w="1472" w:type="dxa"/>
            <w:vAlign w:val="bottom"/>
          </w:tcPr>
          <w:p w14:paraId="0E5AE85C" w14:textId="02C77820" w:rsidR="002E2CDA" w:rsidRDefault="002E2CDA" w:rsidP="00A97A7B">
            <w:pPr>
              <w:pStyle w:val="Tabelltext"/>
              <w:keepNext/>
              <w:jc w:val="right"/>
            </w:pPr>
            <w:r>
              <w:t>2 954</w:t>
            </w:r>
          </w:p>
        </w:tc>
        <w:tc>
          <w:tcPr>
            <w:tcW w:w="1287" w:type="dxa"/>
            <w:vAlign w:val="bottom"/>
          </w:tcPr>
          <w:p w14:paraId="5090C413" w14:textId="606224FF" w:rsidR="002E2CDA" w:rsidRDefault="002E2CDA" w:rsidP="00A97A7B">
            <w:pPr>
              <w:pStyle w:val="Tabelltext"/>
              <w:keepNext/>
              <w:jc w:val="right"/>
            </w:pPr>
            <w:r>
              <w:t>624</w:t>
            </w:r>
          </w:p>
        </w:tc>
        <w:tc>
          <w:tcPr>
            <w:tcW w:w="1287" w:type="dxa"/>
            <w:vAlign w:val="bottom"/>
          </w:tcPr>
          <w:p w14:paraId="11DC2804" w14:textId="4161FB70" w:rsidR="002E2CDA" w:rsidRPr="00562E03" w:rsidRDefault="005C47E7" w:rsidP="005C47E7">
            <w:pPr>
              <w:pStyle w:val="Tabelltext"/>
              <w:keepNext/>
              <w:jc w:val="right"/>
            </w:pPr>
            <w:r w:rsidRPr="00562E03">
              <w:t>109</w:t>
            </w:r>
          </w:p>
        </w:tc>
      </w:tr>
      <w:tr w:rsidR="002E2CDA" w14:paraId="738AE114" w14:textId="45F7EB1C" w:rsidTr="005C47E7">
        <w:trPr>
          <w:trHeight w:val="265"/>
        </w:trPr>
        <w:tc>
          <w:tcPr>
            <w:tcW w:w="1162" w:type="dxa"/>
            <w:vAlign w:val="bottom"/>
          </w:tcPr>
          <w:p w14:paraId="217066AA" w14:textId="238C3318" w:rsidR="002E2CDA" w:rsidRDefault="002E2CDA" w:rsidP="00A97A7B">
            <w:pPr>
              <w:pStyle w:val="Tabelltext"/>
              <w:keepNext/>
              <w:jc w:val="right"/>
            </w:pPr>
            <w:r>
              <w:t>15 000</w:t>
            </w:r>
          </w:p>
        </w:tc>
        <w:tc>
          <w:tcPr>
            <w:tcW w:w="1472" w:type="dxa"/>
            <w:vAlign w:val="bottom"/>
          </w:tcPr>
          <w:p w14:paraId="701F51DC" w14:textId="39FE4197" w:rsidR="002E2CDA" w:rsidRDefault="002E2CDA" w:rsidP="00A97A7B">
            <w:pPr>
              <w:pStyle w:val="Tabelltext"/>
              <w:keepNext/>
              <w:jc w:val="right"/>
            </w:pPr>
            <w:r>
              <w:t>1 430</w:t>
            </w:r>
          </w:p>
        </w:tc>
        <w:tc>
          <w:tcPr>
            <w:tcW w:w="1472" w:type="dxa"/>
            <w:vAlign w:val="bottom"/>
          </w:tcPr>
          <w:p w14:paraId="7C945769" w14:textId="796C58CD" w:rsidR="002E2CDA" w:rsidRDefault="002E2CDA" w:rsidP="00A97A7B">
            <w:pPr>
              <w:pStyle w:val="Tabelltext"/>
              <w:keepNext/>
              <w:jc w:val="right"/>
            </w:pPr>
            <w:r>
              <w:t>2 534</w:t>
            </w:r>
          </w:p>
        </w:tc>
        <w:tc>
          <w:tcPr>
            <w:tcW w:w="1287" w:type="dxa"/>
            <w:vAlign w:val="bottom"/>
          </w:tcPr>
          <w:p w14:paraId="61EA45F6" w14:textId="1317DF47" w:rsidR="002E2CDA" w:rsidRDefault="002E2CDA" w:rsidP="00A97A7B">
            <w:pPr>
              <w:pStyle w:val="Tabelltext"/>
              <w:keepNext/>
              <w:jc w:val="right"/>
            </w:pPr>
            <w:r>
              <w:t>1 104</w:t>
            </w:r>
          </w:p>
        </w:tc>
        <w:tc>
          <w:tcPr>
            <w:tcW w:w="1287" w:type="dxa"/>
            <w:vAlign w:val="bottom"/>
          </w:tcPr>
          <w:p w14:paraId="530359DA" w14:textId="30783637" w:rsidR="002E2CDA" w:rsidRPr="00562E03" w:rsidRDefault="005C47E7" w:rsidP="005C47E7">
            <w:pPr>
              <w:pStyle w:val="Tabelltext"/>
              <w:keepNext/>
              <w:jc w:val="right"/>
            </w:pPr>
            <w:r w:rsidRPr="00562E03">
              <w:t>193</w:t>
            </w:r>
          </w:p>
        </w:tc>
      </w:tr>
      <w:tr w:rsidR="002E2CDA" w14:paraId="34215F28" w14:textId="429AE161" w:rsidTr="005C47E7">
        <w:trPr>
          <w:trHeight w:val="265"/>
        </w:trPr>
        <w:tc>
          <w:tcPr>
            <w:tcW w:w="1162" w:type="dxa"/>
            <w:vAlign w:val="bottom"/>
          </w:tcPr>
          <w:p w14:paraId="31E9BFFE" w14:textId="0D366055" w:rsidR="002E2CDA" w:rsidRDefault="002E2CDA" w:rsidP="00A97A7B">
            <w:pPr>
              <w:pStyle w:val="Tabelltext"/>
              <w:keepNext/>
              <w:jc w:val="right"/>
            </w:pPr>
            <w:r>
              <w:t>20 000</w:t>
            </w:r>
          </w:p>
        </w:tc>
        <w:tc>
          <w:tcPr>
            <w:tcW w:w="1472" w:type="dxa"/>
            <w:vAlign w:val="bottom"/>
          </w:tcPr>
          <w:p w14:paraId="6F773356" w14:textId="3D4DEECF" w:rsidR="002E2CDA" w:rsidRDefault="002E2CDA" w:rsidP="00A97A7B">
            <w:pPr>
              <w:pStyle w:val="Tabelltext"/>
              <w:keepNext/>
              <w:jc w:val="right"/>
            </w:pPr>
            <w:r>
              <w:t>530</w:t>
            </w:r>
          </w:p>
        </w:tc>
        <w:tc>
          <w:tcPr>
            <w:tcW w:w="1472" w:type="dxa"/>
            <w:vAlign w:val="bottom"/>
          </w:tcPr>
          <w:p w14:paraId="4AF94FB2" w14:textId="63A28369" w:rsidR="002E2CDA" w:rsidRDefault="002E2CDA" w:rsidP="00A97A7B">
            <w:pPr>
              <w:pStyle w:val="Tabelltext"/>
              <w:keepNext/>
              <w:jc w:val="right"/>
            </w:pPr>
            <w:r>
              <w:t>2 114</w:t>
            </w:r>
          </w:p>
        </w:tc>
        <w:tc>
          <w:tcPr>
            <w:tcW w:w="1287" w:type="dxa"/>
            <w:vAlign w:val="bottom"/>
          </w:tcPr>
          <w:p w14:paraId="59733767" w14:textId="047F521E" w:rsidR="002E2CDA" w:rsidRDefault="002E2CDA" w:rsidP="00A97A7B">
            <w:pPr>
              <w:pStyle w:val="Tabelltext"/>
              <w:keepNext/>
              <w:jc w:val="right"/>
            </w:pPr>
            <w:r>
              <w:t>1 584</w:t>
            </w:r>
          </w:p>
        </w:tc>
        <w:tc>
          <w:tcPr>
            <w:tcW w:w="1287" w:type="dxa"/>
            <w:vAlign w:val="bottom"/>
          </w:tcPr>
          <w:p w14:paraId="4AC51044" w14:textId="2D8908AB" w:rsidR="002E2CDA" w:rsidRPr="00562E03" w:rsidRDefault="005C47E7" w:rsidP="005C47E7">
            <w:pPr>
              <w:pStyle w:val="Tabelltext"/>
              <w:keepNext/>
              <w:jc w:val="right"/>
            </w:pPr>
            <w:r w:rsidRPr="00562E03">
              <w:t>27</w:t>
            </w:r>
            <w:r w:rsidR="004B368E" w:rsidRPr="00562E03">
              <w:t>8</w:t>
            </w:r>
          </w:p>
        </w:tc>
      </w:tr>
      <w:tr w:rsidR="002E2CDA" w14:paraId="3C8C7185" w14:textId="050DEC3B" w:rsidTr="005C47E7">
        <w:trPr>
          <w:trHeight w:val="265"/>
        </w:trPr>
        <w:tc>
          <w:tcPr>
            <w:tcW w:w="1162" w:type="dxa"/>
            <w:vAlign w:val="bottom"/>
          </w:tcPr>
          <w:p w14:paraId="7F4C5B38" w14:textId="55D3EC91" w:rsidR="002E2CDA" w:rsidRDefault="002E2CDA" w:rsidP="00A97A7B">
            <w:pPr>
              <w:pStyle w:val="Tabelltext"/>
              <w:keepNext/>
              <w:jc w:val="right"/>
            </w:pPr>
            <w:r>
              <w:t>25 000</w:t>
            </w:r>
          </w:p>
        </w:tc>
        <w:tc>
          <w:tcPr>
            <w:tcW w:w="1472" w:type="dxa"/>
            <w:vAlign w:val="bottom"/>
          </w:tcPr>
          <w:p w14:paraId="2F545D72" w14:textId="71CF3D35" w:rsidR="002E2CDA" w:rsidRDefault="002E2CDA" w:rsidP="00A97A7B">
            <w:pPr>
              <w:pStyle w:val="Tabelltext"/>
              <w:keepNext/>
              <w:jc w:val="right"/>
            </w:pPr>
            <w:r>
              <w:t>0</w:t>
            </w:r>
          </w:p>
        </w:tc>
        <w:tc>
          <w:tcPr>
            <w:tcW w:w="1472" w:type="dxa"/>
            <w:vAlign w:val="bottom"/>
          </w:tcPr>
          <w:p w14:paraId="529199AE" w14:textId="3A1E557C" w:rsidR="002E2CDA" w:rsidRDefault="002E2CDA" w:rsidP="00A97A7B">
            <w:pPr>
              <w:pStyle w:val="Tabelltext"/>
              <w:keepNext/>
              <w:jc w:val="right"/>
            </w:pPr>
            <w:r>
              <w:t>1 694</w:t>
            </w:r>
          </w:p>
        </w:tc>
        <w:tc>
          <w:tcPr>
            <w:tcW w:w="1287" w:type="dxa"/>
            <w:vAlign w:val="bottom"/>
          </w:tcPr>
          <w:p w14:paraId="36C19C0D" w14:textId="53766BBA" w:rsidR="002E2CDA" w:rsidRDefault="002E2CDA" w:rsidP="00A97A7B">
            <w:pPr>
              <w:pStyle w:val="Tabelltext"/>
              <w:keepNext/>
              <w:jc w:val="right"/>
            </w:pPr>
            <w:r>
              <w:t>1 694</w:t>
            </w:r>
          </w:p>
        </w:tc>
        <w:tc>
          <w:tcPr>
            <w:tcW w:w="1287" w:type="dxa"/>
            <w:vAlign w:val="bottom"/>
          </w:tcPr>
          <w:p w14:paraId="022C39A7" w14:textId="0E9BAED5" w:rsidR="002E2CDA" w:rsidRPr="00562E03" w:rsidRDefault="005C47E7" w:rsidP="005C47E7">
            <w:pPr>
              <w:pStyle w:val="Tabelltext"/>
              <w:keepNext/>
              <w:jc w:val="right"/>
            </w:pPr>
            <w:r w:rsidRPr="00562E03">
              <w:t>29</w:t>
            </w:r>
            <w:r w:rsidR="004B368E" w:rsidRPr="00562E03">
              <w:t>7</w:t>
            </w:r>
          </w:p>
        </w:tc>
      </w:tr>
      <w:tr w:rsidR="002E2CDA" w14:paraId="6E8B2B00" w14:textId="75AC6134" w:rsidTr="005C47E7">
        <w:trPr>
          <w:trHeight w:val="265"/>
        </w:trPr>
        <w:tc>
          <w:tcPr>
            <w:tcW w:w="1162" w:type="dxa"/>
            <w:vAlign w:val="bottom"/>
          </w:tcPr>
          <w:p w14:paraId="72EBCA23" w14:textId="501C9A65" w:rsidR="002E2CDA" w:rsidRDefault="002E2CDA" w:rsidP="00A97A7B">
            <w:pPr>
              <w:pStyle w:val="Tabelltext"/>
              <w:keepNext/>
              <w:jc w:val="right"/>
            </w:pPr>
            <w:r>
              <w:t>30 000</w:t>
            </w:r>
          </w:p>
        </w:tc>
        <w:tc>
          <w:tcPr>
            <w:tcW w:w="1472" w:type="dxa"/>
            <w:vAlign w:val="bottom"/>
          </w:tcPr>
          <w:p w14:paraId="5AB6A436" w14:textId="366C1B6E" w:rsidR="002E2CDA" w:rsidRDefault="002E2CDA" w:rsidP="00A97A7B">
            <w:pPr>
              <w:pStyle w:val="Tabelltext"/>
              <w:keepNext/>
              <w:jc w:val="right"/>
            </w:pPr>
            <w:r>
              <w:t>0</w:t>
            </w:r>
          </w:p>
        </w:tc>
        <w:tc>
          <w:tcPr>
            <w:tcW w:w="1472" w:type="dxa"/>
            <w:vAlign w:val="bottom"/>
          </w:tcPr>
          <w:p w14:paraId="2BC6A36E" w14:textId="21D51918" w:rsidR="002E2CDA" w:rsidRDefault="002E2CDA" w:rsidP="00A97A7B">
            <w:pPr>
              <w:pStyle w:val="Tabelltext"/>
              <w:keepNext/>
              <w:jc w:val="right"/>
            </w:pPr>
            <w:r>
              <w:t>1 274</w:t>
            </w:r>
          </w:p>
        </w:tc>
        <w:tc>
          <w:tcPr>
            <w:tcW w:w="1287" w:type="dxa"/>
            <w:vAlign w:val="bottom"/>
          </w:tcPr>
          <w:p w14:paraId="7E787771" w14:textId="32A64642" w:rsidR="002E2CDA" w:rsidRDefault="002E2CDA" w:rsidP="00A97A7B">
            <w:pPr>
              <w:pStyle w:val="Tabelltext"/>
              <w:keepNext/>
              <w:jc w:val="right"/>
            </w:pPr>
            <w:r>
              <w:t>1 274</w:t>
            </w:r>
          </w:p>
        </w:tc>
        <w:tc>
          <w:tcPr>
            <w:tcW w:w="1287" w:type="dxa"/>
            <w:vAlign w:val="bottom"/>
          </w:tcPr>
          <w:p w14:paraId="711A082B" w14:textId="5E1682A8" w:rsidR="002E2CDA" w:rsidRPr="00562E03" w:rsidRDefault="005C47E7" w:rsidP="005C47E7">
            <w:pPr>
              <w:pStyle w:val="Tabelltext"/>
              <w:keepNext/>
              <w:jc w:val="right"/>
            </w:pPr>
            <w:r w:rsidRPr="00562E03">
              <w:t>223</w:t>
            </w:r>
          </w:p>
        </w:tc>
      </w:tr>
      <w:tr w:rsidR="002E2CDA" w14:paraId="6C9CDD93" w14:textId="0EB84958" w:rsidTr="005C47E7">
        <w:trPr>
          <w:trHeight w:val="265"/>
        </w:trPr>
        <w:tc>
          <w:tcPr>
            <w:tcW w:w="1162" w:type="dxa"/>
            <w:vAlign w:val="bottom"/>
          </w:tcPr>
          <w:p w14:paraId="6BFD9010" w14:textId="56744140" w:rsidR="002E2CDA" w:rsidRDefault="002E2CDA" w:rsidP="00A97A7B">
            <w:pPr>
              <w:pStyle w:val="Tabelltext"/>
              <w:keepNext/>
              <w:jc w:val="right"/>
            </w:pPr>
            <w:r>
              <w:t>35 000</w:t>
            </w:r>
          </w:p>
        </w:tc>
        <w:tc>
          <w:tcPr>
            <w:tcW w:w="1472" w:type="dxa"/>
            <w:vAlign w:val="bottom"/>
          </w:tcPr>
          <w:p w14:paraId="798CB9C2" w14:textId="6C652A7E" w:rsidR="002E2CDA" w:rsidRDefault="002E2CDA" w:rsidP="00A97A7B">
            <w:pPr>
              <w:pStyle w:val="Tabelltext"/>
              <w:keepNext/>
              <w:jc w:val="right"/>
            </w:pPr>
            <w:r>
              <w:t>0</w:t>
            </w:r>
          </w:p>
        </w:tc>
        <w:tc>
          <w:tcPr>
            <w:tcW w:w="1472" w:type="dxa"/>
            <w:vAlign w:val="bottom"/>
          </w:tcPr>
          <w:p w14:paraId="26BF42BC" w14:textId="10DE0BB9" w:rsidR="002E2CDA" w:rsidRDefault="002E2CDA" w:rsidP="00A97A7B">
            <w:pPr>
              <w:pStyle w:val="Tabelltext"/>
              <w:keepNext/>
              <w:jc w:val="right"/>
            </w:pPr>
            <w:r>
              <w:t>854</w:t>
            </w:r>
          </w:p>
        </w:tc>
        <w:tc>
          <w:tcPr>
            <w:tcW w:w="1287" w:type="dxa"/>
            <w:vAlign w:val="bottom"/>
          </w:tcPr>
          <w:p w14:paraId="126FF87F" w14:textId="331A9AA3" w:rsidR="002E2CDA" w:rsidRDefault="002E2CDA" w:rsidP="00A97A7B">
            <w:pPr>
              <w:pStyle w:val="Tabelltext"/>
              <w:keepNext/>
              <w:jc w:val="right"/>
            </w:pPr>
            <w:r>
              <w:t>854</w:t>
            </w:r>
          </w:p>
        </w:tc>
        <w:tc>
          <w:tcPr>
            <w:tcW w:w="1287" w:type="dxa"/>
            <w:vAlign w:val="bottom"/>
          </w:tcPr>
          <w:p w14:paraId="4EE261DA" w14:textId="26BEAF47" w:rsidR="002E2CDA" w:rsidRPr="00562E03" w:rsidRDefault="005C47E7" w:rsidP="005C47E7">
            <w:pPr>
              <w:pStyle w:val="Tabelltext"/>
              <w:keepNext/>
              <w:jc w:val="right"/>
            </w:pPr>
            <w:r w:rsidRPr="00562E03">
              <w:t>1</w:t>
            </w:r>
            <w:r w:rsidR="00034796" w:rsidRPr="00562E03">
              <w:t>50</w:t>
            </w:r>
          </w:p>
        </w:tc>
      </w:tr>
      <w:tr w:rsidR="002E2CDA" w14:paraId="68163C2F" w14:textId="5DD0BA77" w:rsidTr="005C47E7">
        <w:trPr>
          <w:trHeight w:val="265"/>
        </w:trPr>
        <w:tc>
          <w:tcPr>
            <w:tcW w:w="1162" w:type="dxa"/>
            <w:tcBorders>
              <w:bottom w:val="single" w:sz="4" w:space="0" w:color="auto"/>
            </w:tcBorders>
            <w:vAlign w:val="bottom"/>
          </w:tcPr>
          <w:p w14:paraId="58ED4E81" w14:textId="6643B11F" w:rsidR="002E2CDA" w:rsidRDefault="002E2CDA" w:rsidP="00A97A7B">
            <w:pPr>
              <w:pStyle w:val="Tabelltext"/>
              <w:keepNext/>
              <w:jc w:val="right"/>
            </w:pPr>
            <w:r>
              <w:t>40 000</w:t>
            </w:r>
          </w:p>
        </w:tc>
        <w:tc>
          <w:tcPr>
            <w:tcW w:w="1472" w:type="dxa"/>
            <w:tcBorders>
              <w:bottom w:val="single" w:sz="4" w:space="0" w:color="auto"/>
            </w:tcBorders>
            <w:vAlign w:val="bottom"/>
          </w:tcPr>
          <w:p w14:paraId="22E99FAE" w14:textId="001C1452" w:rsidR="002E2CDA" w:rsidRDefault="002E2CDA" w:rsidP="00A97A7B">
            <w:pPr>
              <w:pStyle w:val="Tabelltext"/>
              <w:keepNext/>
              <w:jc w:val="right"/>
            </w:pPr>
            <w:r>
              <w:t>0</w:t>
            </w:r>
          </w:p>
        </w:tc>
        <w:tc>
          <w:tcPr>
            <w:tcW w:w="1472" w:type="dxa"/>
            <w:tcBorders>
              <w:bottom w:val="single" w:sz="4" w:space="0" w:color="auto"/>
            </w:tcBorders>
            <w:vAlign w:val="bottom"/>
          </w:tcPr>
          <w:p w14:paraId="779F9081" w14:textId="61F6F620" w:rsidR="002E2CDA" w:rsidRDefault="002E2CDA" w:rsidP="00A97A7B">
            <w:pPr>
              <w:pStyle w:val="Tabelltext"/>
              <w:keepNext/>
              <w:jc w:val="right"/>
            </w:pPr>
            <w:r>
              <w:t>434</w:t>
            </w:r>
          </w:p>
        </w:tc>
        <w:tc>
          <w:tcPr>
            <w:tcW w:w="1287" w:type="dxa"/>
            <w:tcBorders>
              <w:bottom w:val="single" w:sz="4" w:space="0" w:color="auto"/>
            </w:tcBorders>
            <w:vAlign w:val="bottom"/>
          </w:tcPr>
          <w:p w14:paraId="3F778AD7" w14:textId="15E9E22B" w:rsidR="002E2CDA" w:rsidRDefault="002E2CDA" w:rsidP="00A97A7B">
            <w:pPr>
              <w:pStyle w:val="Tabelltext"/>
              <w:keepNext/>
              <w:jc w:val="right"/>
            </w:pPr>
            <w:r>
              <w:t>434</w:t>
            </w:r>
          </w:p>
        </w:tc>
        <w:tc>
          <w:tcPr>
            <w:tcW w:w="1287" w:type="dxa"/>
            <w:tcBorders>
              <w:bottom w:val="single" w:sz="4" w:space="0" w:color="auto"/>
            </w:tcBorders>
            <w:vAlign w:val="bottom"/>
          </w:tcPr>
          <w:p w14:paraId="2B8E5201" w14:textId="35604321" w:rsidR="002E2CDA" w:rsidRPr="00562E03" w:rsidRDefault="005C47E7" w:rsidP="005C47E7">
            <w:pPr>
              <w:pStyle w:val="Tabelltext"/>
              <w:keepNext/>
              <w:jc w:val="right"/>
            </w:pPr>
            <w:r w:rsidRPr="00562E03">
              <w:t>76</w:t>
            </w:r>
          </w:p>
        </w:tc>
      </w:tr>
      <w:tr w:rsidR="002E2CDA" w14:paraId="77EB3604" w14:textId="0DECC3FD" w:rsidTr="005C47E7">
        <w:trPr>
          <w:trHeight w:val="265"/>
        </w:trPr>
        <w:tc>
          <w:tcPr>
            <w:tcW w:w="1162" w:type="dxa"/>
            <w:tcBorders>
              <w:bottom w:val="single" w:sz="4" w:space="0" w:color="auto"/>
            </w:tcBorders>
            <w:vAlign w:val="bottom"/>
          </w:tcPr>
          <w:p w14:paraId="3D90FCE4" w14:textId="15989D36" w:rsidR="002E2CDA" w:rsidRDefault="002E2CDA" w:rsidP="00A97A7B">
            <w:pPr>
              <w:pStyle w:val="Tabelltext"/>
              <w:keepNext/>
              <w:jc w:val="right"/>
            </w:pPr>
            <w:r>
              <w:t>45 000</w:t>
            </w:r>
          </w:p>
        </w:tc>
        <w:tc>
          <w:tcPr>
            <w:tcW w:w="1472" w:type="dxa"/>
            <w:tcBorders>
              <w:bottom w:val="single" w:sz="4" w:space="0" w:color="auto"/>
            </w:tcBorders>
            <w:vAlign w:val="bottom"/>
          </w:tcPr>
          <w:p w14:paraId="7E427EAE" w14:textId="50443AAC" w:rsidR="002E2CDA" w:rsidRDefault="002E2CDA" w:rsidP="00A97A7B">
            <w:pPr>
              <w:pStyle w:val="Tabelltext"/>
              <w:keepNext/>
              <w:jc w:val="right"/>
            </w:pPr>
            <w:r>
              <w:t>0</w:t>
            </w:r>
          </w:p>
        </w:tc>
        <w:tc>
          <w:tcPr>
            <w:tcW w:w="1472" w:type="dxa"/>
            <w:tcBorders>
              <w:bottom w:val="single" w:sz="4" w:space="0" w:color="auto"/>
            </w:tcBorders>
            <w:vAlign w:val="bottom"/>
          </w:tcPr>
          <w:p w14:paraId="5802E0D4" w14:textId="595F48D2" w:rsidR="002E2CDA" w:rsidRDefault="002E2CDA" w:rsidP="00A97A7B">
            <w:pPr>
              <w:pStyle w:val="Tabelltext"/>
              <w:keepNext/>
              <w:jc w:val="right"/>
            </w:pPr>
            <w:r>
              <w:t>14</w:t>
            </w:r>
          </w:p>
        </w:tc>
        <w:tc>
          <w:tcPr>
            <w:tcW w:w="1287" w:type="dxa"/>
            <w:tcBorders>
              <w:bottom w:val="single" w:sz="4" w:space="0" w:color="auto"/>
            </w:tcBorders>
            <w:vAlign w:val="bottom"/>
          </w:tcPr>
          <w:p w14:paraId="01781C88" w14:textId="46055F01" w:rsidR="002E2CDA" w:rsidRDefault="002E2CDA" w:rsidP="00A97A7B">
            <w:pPr>
              <w:pStyle w:val="Tabelltext"/>
              <w:keepNext/>
              <w:jc w:val="right"/>
            </w:pPr>
            <w:r>
              <w:t>14</w:t>
            </w:r>
          </w:p>
        </w:tc>
        <w:tc>
          <w:tcPr>
            <w:tcW w:w="1287" w:type="dxa"/>
            <w:tcBorders>
              <w:bottom w:val="single" w:sz="4" w:space="0" w:color="auto"/>
            </w:tcBorders>
            <w:vAlign w:val="bottom"/>
          </w:tcPr>
          <w:p w14:paraId="4F27694C" w14:textId="48FC072E" w:rsidR="002E2CDA" w:rsidRPr="00562E03" w:rsidRDefault="005C47E7" w:rsidP="005C47E7">
            <w:pPr>
              <w:pStyle w:val="Tabelltext"/>
              <w:keepNext/>
              <w:jc w:val="right"/>
            </w:pPr>
            <w:r w:rsidRPr="00562E03">
              <w:t>2</w:t>
            </w:r>
          </w:p>
        </w:tc>
      </w:tr>
    </w:tbl>
    <w:p w14:paraId="6DF266C5" w14:textId="167E494E" w:rsidR="00314A48" w:rsidRDefault="00314A48" w:rsidP="00A97A7B">
      <w:pPr>
        <w:pStyle w:val="ANormal"/>
        <w:keepNext/>
      </w:pPr>
    </w:p>
    <w:p w14:paraId="3F7D20B9" w14:textId="5AE79439" w:rsidR="009C7F21" w:rsidRDefault="00853903" w:rsidP="00C2051C">
      <w:pPr>
        <w:pStyle w:val="ANormal"/>
      </w:pPr>
      <w:r>
        <w:tab/>
      </w:r>
      <w:r w:rsidR="009C7F21">
        <w:t xml:space="preserve">Följande två tabeller visar </w:t>
      </w:r>
      <w:r w:rsidR="00314A48">
        <w:t>hur grundavdraget fördelar sig mellan de vanligaste hushållstyperna</w:t>
      </w:r>
      <w:r w:rsidR="009C7F21">
        <w:t xml:space="preserve">, den första enligt nu gällande lag (3 500 euro, </w:t>
      </w:r>
      <w:r w:rsidR="00497E12" w:rsidRPr="00562E03">
        <w:t>nedtrappningsgrad</w:t>
      </w:r>
      <w:r w:rsidR="009C7F21">
        <w:t xml:space="preserve"> 18) och den följande enligt förslaget (3 500 euro, </w:t>
      </w:r>
      <w:r w:rsidR="00497E12" w:rsidRPr="00562E03">
        <w:t>nedtrappningsgrad</w:t>
      </w:r>
      <w:r w:rsidR="009C7F21">
        <w:t xml:space="preserve"> 8,4).</w:t>
      </w:r>
      <w:r w:rsidR="00415370" w:rsidRPr="00415370">
        <w:t xml:space="preserve"> </w:t>
      </w:r>
      <w:r w:rsidR="00415370">
        <w:t>T</w:t>
      </w:r>
      <w:r w:rsidR="00415370" w:rsidRPr="00415370">
        <w:t>abell</w:t>
      </w:r>
      <w:r w:rsidR="00415370">
        <w:t>erna</w:t>
      </w:r>
      <w:r w:rsidR="00415370" w:rsidRPr="00415370">
        <w:t xml:space="preserve"> </w:t>
      </w:r>
      <w:r w:rsidR="00415370">
        <w:t>har tagits fram genom</w:t>
      </w:r>
      <w:r w:rsidR="00415370" w:rsidRPr="00415370">
        <w:t xml:space="preserve"> simuleringar i </w:t>
      </w:r>
      <w:r w:rsidR="00415370">
        <w:t xml:space="preserve">en </w:t>
      </w:r>
      <w:r w:rsidR="00415370" w:rsidRPr="00415370">
        <w:t>modell</w:t>
      </w:r>
      <w:r w:rsidR="00415370">
        <w:t xml:space="preserve"> där</w:t>
      </w:r>
      <w:r w:rsidR="00415370" w:rsidRPr="00415370">
        <w:t xml:space="preserve"> </w:t>
      </w:r>
      <w:r w:rsidR="00415370">
        <w:t>h</w:t>
      </w:r>
      <w:r w:rsidR="00415370" w:rsidRPr="00415370">
        <w:t xml:space="preserve">ushållens inkomster och avdrag (innehåller två års eftersläpning) simuleras utifrån beskattningsuppgifter och lagstiftning. </w:t>
      </w:r>
      <w:r w:rsidR="00FD4B28">
        <w:t>Det bör understrykas att r</w:t>
      </w:r>
      <w:r w:rsidR="001B7505">
        <w:t xml:space="preserve">esultaten av dessa </w:t>
      </w:r>
      <w:r w:rsidR="00415370">
        <w:t>simulerings</w:t>
      </w:r>
      <w:r w:rsidR="001B7505">
        <w:t xml:space="preserve">beräkningar närmast </w:t>
      </w:r>
      <w:r w:rsidR="00FD4B28">
        <w:t xml:space="preserve">ska </w:t>
      </w:r>
      <w:r w:rsidR="001B7505">
        <w:t>tolkas som uppskattningar där fokus ligger på procentuella fördelningar och generella förändringar till följd av förslaget snarare än eurobelopp.</w:t>
      </w:r>
    </w:p>
    <w:p w14:paraId="5EA02E30" w14:textId="4218C7B8" w:rsidR="009C7F21" w:rsidRDefault="009C7F21" w:rsidP="00C2051C">
      <w:pPr>
        <w:pStyle w:val="ANormal"/>
      </w:pPr>
    </w:p>
    <w:tbl>
      <w:tblPr>
        <w:tblStyle w:val="Tabellrutnt"/>
        <w:tblW w:w="0" w:type="auto"/>
        <w:tblLook w:val="04A0" w:firstRow="1" w:lastRow="0" w:firstColumn="1" w:lastColumn="0" w:noHBand="0" w:noVBand="1"/>
      </w:tblPr>
      <w:tblGrid>
        <w:gridCol w:w="1670"/>
        <w:gridCol w:w="1670"/>
        <w:gridCol w:w="1670"/>
        <w:gridCol w:w="1670"/>
      </w:tblGrid>
      <w:tr w:rsidR="009C7F21" w:rsidRPr="00520B0C" w14:paraId="6FE67DA7" w14:textId="77777777" w:rsidTr="003A0119">
        <w:trPr>
          <w:trHeight w:val="815"/>
        </w:trPr>
        <w:tc>
          <w:tcPr>
            <w:tcW w:w="1670" w:type="dxa"/>
            <w:vAlign w:val="center"/>
          </w:tcPr>
          <w:p w14:paraId="2EEA457E" w14:textId="469F0510" w:rsidR="009C7F21" w:rsidRPr="00520B0C" w:rsidRDefault="009C7F21" w:rsidP="003A0119">
            <w:pPr>
              <w:pStyle w:val="Tabelltext"/>
              <w:rPr>
                <w:b/>
                <w:bCs/>
              </w:rPr>
            </w:pPr>
            <w:r w:rsidRPr="00520B0C">
              <w:rPr>
                <w:b/>
                <w:bCs/>
              </w:rPr>
              <w:t>Grundavdrag 3 500 €, minskning 18 %</w:t>
            </w:r>
          </w:p>
        </w:tc>
        <w:tc>
          <w:tcPr>
            <w:tcW w:w="1670" w:type="dxa"/>
            <w:vAlign w:val="bottom"/>
          </w:tcPr>
          <w:p w14:paraId="6C78AD37" w14:textId="2EE673F9" w:rsidR="009C7F21" w:rsidRPr="00520B0C" w:rsidRDefault="009C7F21" w:rsidP="00520B0C">
            <w:pPr>
              <w:pStyle w:val="Tabelltext"/>
              <w:rPr>
                <w:b/>
                <w:bCs/>
              </w:rPr>
            </w:pPr>
            <w:r w:rsidRPr="00520B0C">
              <w:rPr>
                <w:b/>
                <w:bCs/>
              </w:rPr>
              <w:t>Beräknat antal personer som fått grundavdrag</w:t>
            </w:r>
          </w:p>
        </w:tc>
        <w:tc>
          <w:tcPr>
            <w:tcW w:w="1670" w:type="dxa"/>
            <w:vAlign w:val="bottom"/>
          </w:tcPr>
          <w:p w14:paraId="6C9A0AE4" w14:textId="1948B954" w:rsidR="009C7F21" w:rsidRPr="00520B0C" w:rsidRDefault="009C7F21" w:rsidP="00520B0C">
            <w:pPr>
              <w:pStyle w:val="Tabelltext"/>
              <w:rPr>
                <w:b/>
                <w:bCs/>
              </w:rPr>
            </w:pPr>
            <w:r w:rsidRPr="00520B0C">
              <w:rPr>
                <w:b/>
                <w:bCs/>
              </w:rPr>
              <w:t>Beräknat genomsnittligt avdrag, euro</w:t>
            </w:r>
          </w:p>
        </w:tc>
        <w:tc>
          <w:tcPr>
            <w:tcW w:w="1670" w:type="dxa"/>
            <w:vAlign w:val="bottom"/>
          </w:tcPr>
          <w:p w14:paraId="6CA0CD07" w14:textId="31A6DC7D" w:rsidR="009C7F21" w:rsidRPr="00520B0C" w:rsidRDefault="009C7F21" w:rsidP="00520B0C">
            <w:pPr>
              <w:pStyle w:val="Tabelltext"/>
              <w:rPr>
                <w:b/>
                <w:bCs/>
              </w:rPr>
            </w:pPr>
            <w:r w:rsidRPr="00520B0C">
              <w:rPr>
                <w:b/>
                <w:bCs/>
              </w:rPr>
              <w:t>Median förvärvs</w:t>
            </w:r>
            <w:r w:rsidR="001B7505">
              <w:rPr>
                <w:b/>
                <w:bCs/>
              </w:rPr>
              <w:t>-</w:t>
            </w:r>
            <w:r w:rsidRPr="00520B0C">
              <w:rPr>
                <w:b/>
                <w:bCs/>
              </w:rPr>
              <w:t>inkomst i hushållstypen, euro</w:t>
            </w:r>
          </w:p>
        </w:tc>
      </w:tr>
      <w:tr w:rsidR="009C7F21" w14:paraId="13DF6266" w14:textId="77777777" w:rsidTr="00520B0C">
        <w:trPr>
          <w:trHeight w:val="275"/>
        </w:trPr>
        <w:tc>
          <w:tcPr>
            <w:tcW w:w="1670" w:type="dxa"/>
            <w:vAlign w:val="bottom"/>
          </w:tcPr>
          <w:p w14:paraId="786F5019" w14:textId="1101DDCE" w:rsidR="009C7F21" w:rsidRDefault="009C7F21" w:rsidP="00520B0C">
            <w:pPr>
              <w:pStyle w:val="Tabelltext"/>
            </w:pPr>
            <w:r>
              <w:t>1 vuxen</w:t>
            </w:r>
          </w:p>
        </w:tc>
        <w:tc>
          <w:tcPr>
            <w:tcW w:w="1670" w:type="dxa"/>
            <w:vAlign w:val="bottom"/>
          </w:tcPr>
          <w:p w14:paraId="6160C697" w14:textId="59AF1611" w:rsidR="009C7F21" w:rsidRDefault="0018584B" w:rsidP="00520B0C">
            <w:pPr>
              <w:pStyle w:val="Tabelltext"/>
              <w:jc w:val="right"/>
            </w:pPr>
            <w:r>
              <w:t>2 565</w:t>
            </w:r>
          </w:p>
        </w:tc>
        <w:tc>
          <w:tcPr>
            <w:tcW w:w="1670" w:type="dxa"/>
            <w:vAlign w:val="bottom"/>
          </w:tcPr>
          <w:p w14:paraId="58AF8444" w14:textId="61FF2080" w:rsidR="009C7F21" w:rsidRDefault="0018584B" w:rsidP="00520B0C">
            <w:pPr>
              <w:pStyle w:val="Tabelltext"/>
              <w:jc w:val="right"/>
            </w:pPr>
            <w:r>
              <w:t>1 734</w:t>
            </w:r>
          </w:p>
        </w:tc>
        <w:tc>
          <w:tcPr>
            <w:tcW w:w="1670" w:type="dxa"/>
            <w:vAlign w:val="bottom"/>
          </w:tcPr>
          <w:p w14:paraId="607216BE" w14:textId="33790769" w:rsidR="009C7F21" w:rsidRDefault="007D134B" w:rsidP="00520B0C">
            <w:pPr>
              <w:pStyle w:val="Tabelltext"/>
              <w:jc w:val="right"/>
            </w:pPr>
            <w:r>
              <w:t>27 497</w:t>
            </w:r>
          </w:p>
        </w:tc>
      </w:tr>
      <w:tr w:rsidR="009C7F21" w14:paraId="7171AF99" w14:textId="77777777" w:rsidTr="00520B0C">
        <w:trPr>
          <w:trHeight w:val="275"/>
        </w:trPr>
        <w:tc>
          <w:tcPr>
            <w:tcW w:w="1670" w:type="dxa"/>
            <w:vAlign w:val="bottom"/>
          </w:tcPr>
          <w:p w14:paraId="7BCEA1B1" w14:textId="461788AE" w:rsidR="009C7F21" w:rsidRDefault="009C7F21" w:rsidP="00520B0C">
            <w:pPr>
              <w:pStyle w:val="Tabelltext"/>
            </w:pPr>
            <w:r>
              <w:t>2 vuxna</w:t>
            </w:r>
          </w:p>
        </w:tc>
        <w:tc>
          <w:tcPr>
            <w:tcW w:w="1670" w:type="dxa"/>
            <w:vAlign w:val="bottom"/>
          </w:tcPr>
          <w:p w14:paraId="411DFDCF" w14:textId="10A3DC3D" w:rsidR="009C7F21" w:rsidRDefault="0018584B" w:rsidP="00520B0C">
            <w:pPr>
              <w:pStyle w:val="Tabelltext"/>
              <w:jc w:val="right"/>
            </w:pPr>
            <w:r>
              <w:t>3 215</w:t>
            </w:r>
          </w:p>
        </w:tc>
        <w:tc>
          <w:tcPr>
            <w:tcW w:w="1670" w:type="dxa"/>
            <w:vAlign w:val="bottom"/>
          </w:tcPr>
          <w:p w14:paraId="369EC771" w14:textId="6A0A0444" w:rsidR="009C7F21" w:rsidRDefault="0018584B" w:rsidP="00520B0C">
            <w:pPr>
              <w:pStyle w:val="Tabelltext"/>
              <w:jc w:val="right"/>
            </w:pPr>
            <w:r>
              <w:t>1 675</w:t>
            </w:r>
          </w:p>
        </w:tc>
        <w:tc>
          <w:tcPr>
            <w:tcW w:w="1670" w:type="dxa"/>
            <w:vAlign w:val="bottom"/>
          </w:tcPr>
          <w:p w14:paraId="0455FA58" w14:textId="4F50E561" w:rsidR="009C7F21" w:rsidRDefault="007D134B" w:rsidP="00520B0C">
            <w:pPr>
              <w:pStyle w:val="Tabelltext"/>
              <w:jc w:val="right"/>
            </w:pPr>
            <w:r>
              <w:t>29 402</w:t>
            </w:r>
          </w:p>
        </w:tc>
      </w:tr>
      <w:tr w:rsidR="009C7F21" w14:paraId="1B3444D8" w14:textId="77777777" w:rsidTr="00520B0C">
        <w:trPr>
          <w:trHeight w:val="275"/>
        </w:trPr>
        <w:tc>
          <w:tcPr>
            <w:tcW w:w="1670" w:type="dxa"/>
            <w:vAlign w:val="bottom"/>
          </w:tcPr>
          <w:p w14:paraId="316A722D" w14:textId="4E738AED" w:rsidR="009C7F21" w:rsidRDefault="009C7F21" w:rsidP="00520B0C">
            <w:pPr>
              <w:pStyle w:val="Tabelltext"/>
            </w:pPr>
            <w:r>
              <w:t>1 vuxen, 1 barn</w:t>
            </w:r>
          </w:p>
        </w:tc>
        <w:tc>
          <w:tcPr>
            <w:tcW w:w="1670" w:type="dxa"/>
            <w:vAlign w:val="bottom"/>
          </w:tcPr>
          <w:p w14:paraId="5BAAE9E9" w14:textId="31FE27AA" w:rsidR="009C7F21" w:rsidRDefault="0018584B" w:rsidP="00520B0C">
            <w:pPr>
              <w:pStyle w:val="Tabelltext"/>
              <w:jc w:val="right"/>
            </w:pPr>
            <w:r>
              <w:t>477</w:t>
            </w:r>
          </w:p>
        </w:tc>
        <w:tc>
          <w:tcPr>
            <w:tcW w:w="1670" w:type="dxa"/>
            <w:vAlign w:val="bottom"/>
          </w:tcPr>
          <w:p w14:paraId="46DC6703" w14:textId="52078642" w:rsidR="009C7F21" w:rsidRDefault="0018584B" w:rsidP="00520B0C">
            <w:pPr>
              <w:pStyle w:val="Tabelltext"/>
              <w:jc w:val="right"/>
            </w:pPr>
            <w:r>
              <w:t>1 774</w:t>
            </w:r>
          </w:p>
        </w:tc>
        <w:tc>
          <w:tcPr>
            <w:tcW w:w="1670" w:type="dxa"/>
            <w:vAlign w:val="bottom"/>
          </w:tcPr>
          <w:p w14:paraId="1068AFFD" w14:textId="0D152DBC" w:rsidR="009C7F21" w:rsidRDefault="007D134B" w:rsidP="00520B0C">
            <w:pPr>
              <w:pStyle w:val="Tabelltext"/>
              <w:jc w:val="right"/>
            </w:pPr>
            <w:r>
              <w:t>25 576</w:t>
            </w:r>
          </w:p>
        </w:tc>
      </w:tr>
      <w:tr w:rsidR="009C7F21" w14:paraId="1B8CCE1E" w14:textId="77777777" w:rsidTr="00520B0C">
        <w:trPr>
          <w:trHeight w:val="275"/>
        </w:trPr>
        <w:tc>
          <w:tcPr>
            <w:tcW w:w="1670" w:type="dxa"/>
            <w:vAlign w:val="bottom"/>
          </w:tcPr>
          <w:p w14:paraId="3F41D455" w14:textId="4F6A9614" w:rsidR="009C7F21" w:rsidRDefault="009C7F21" w:rsidP="00520B0C">
            <w:pPr>
              <w:pStyle w:val="Tabelltext"/>
            </w:pPr>
            <w:r>
              <w:t>1 vuxen, 2 barn</w:t>
            </w:r>
          </w:p>
        </w:tc>
        <w:tc>
          <w:tcPr>
            <w:tcW w:w="1670" w:type="dxa"/>
            <w:vAlign w:val="bottom"/>
          </w:tcPr>
          <w:p w14:paraId="5B7B8DC1" w14:textId="6ECA8E85" w:rsidR="009C7F21" w:rsidRDefault="0018584B" w:rsidP="00520B0C">
            <w:pPr>
              <w:pStyle w:val="Tabelltext"/>
              <w:jc w:val="right"/>
            </w:pPr>
            <w:r>
              <w:t>207</w:t>
            </w:r>
          </w:p>
        </w:tc>
        <w:tc>
          <w:tcPr>
            <w:tcW w:w="1670" w:type="dxa"/>
            <w:vAlign w:val="bottom"/>
          </w:tcPr>
          <w:p w14:paraId="2DFA0CE4" w14:textId="39951E0E" w:rsidR="009C7F21" w:rsidRDefault="0018584B" w:rsidP="00520B0C">
            <w:pPr>
              <w:pStyle w:val="Tabelltext"/>
              <w:jc w:val="right"/>
            </w:pPr>
            <w:r>
              <w:t>1 799</w:t>
            </w:r>
          </w:p>
        </w:tc>
        <w:tc>
          <w:tcPr>
            <w:tcW w:w="1670" w:type="dxa"/>
            <w:vAlign w:val="bottom"/>
          </w:tcPr>
          <w:p w14:paraId="6CCD5041" w14:textId="573EC3E8" w:rsidR="009C7F21" w:rsidRDefault="007D134B" w:rsidP="00520B0C">
            <w:pPr>
              <w:pStyle w:val="Tabelltext"/>
              <w:jc w:val="right"/>
            </w:pPr>
            <w:r>
              <w:t>20 389</w:t>
            </w:r>
          </w:p>
        </w:tc>
      </w:tr>
      <w:tr w:rsidR="009C7F21" w14:paraId="6323DE7C" w14:textId="77777777" w:rsidTr="00520B0C">
        <w:trPr>
          <w:trHeight w:val="275"/>
        </w:trPr>
        <w:tc>
          <w:tcPr>
            <w:tcW w:w="1670" w:type="dxa"/>
            <w:vAlign w:val="bottom"/>
          </w:tcPr>
          <w:p w14:paraId="03CC1C29" w14:textId="4F22527E" w:rsidR="009C7F21" w:rsidRDefault="009C7F21" w:rsidP="00520B0C">
            <w:pPr>
              <w:pStyle w:val="Tabelltext"/>
            </w:pPr>
            <w:r>
              <w:t>2 vuxna, 1 barn</w:t>
            </w:r>
          </w:p>
        </w:tc>
        <w:tc>
          <w:tcPr>
            <w:tcW w:w="1670" w:type="dxa"/>
            <w:vAlign w:val="bottom"/>
          </w:tcPr>
          <w:p w14:paraId="4860FA68" w14:textId="0EF1C38B" w:rsidR="009C7F21" w:rsidRDefault="0018584B" w:rsidP="00520B0C">
            <w:pPr>
              <w:pStyle w:val="Tabelltext"/>
              <w:jc w:val="right"/>
            </w:pPr>
            <w:r>
              <w:t>1 191</w:t>
            </w:r>
          </w:p>
        </w:tc>
        <w:tc>
          <w:tcPr>
            <w:tcW w:w="1670" w:type="dxa"/>
            <w:vAlign w:val="bottom"/>
          </w:tcPr>
          <w:p w14:paraId="4B733362" w14:textId="6E577DA5" w:rsidR="009C7F21" w:rsidRDefault="0018584B" w:rsidP="00520B0C">
            <w:pPr>
              <w:pStyle w:val="Tabelltext"/>
              <w:jc w:val="right"/>
            </w:pPr>
            <w:r>
              <w:t>1 680</w:t>
            </w:r>
          </w:p>
        </w:tc>
        <w:tc>
          <w:tcPr>
            <w:tcW w:w="1670" w:type="dxa"/>
            <w:vAlign w:val="bottom"/>
          </w:tcPr>
          <w:p w14:paraId="1D871B02" w14:textId="3D06314C" w:rsidR="009C7F21" w:rsidRDefault="007D134B" w:rsidP="00520B0C">
            <w:pPr>
              <w:pStyle w:val="Tabelltext"/>
              <w:jc w:val="right"/>
            </w:pPr>
            <w:r>
              <w:t>32 513</w:t>
            </w:r>
          </w:p>
        </w:tc>
      </w:tr>
      <w:tr w:rsidR="009C7F21" w14:paraId="1AC8B2F4" w14:textId="77777777" w:rsidTr="00520B0C">
        <w:trPr>
          <w:trHeight w:val="275"/>
        </w:trPr>
        <w:tc>
          <w:tcPr>
            <w:tcW w:w="1670" w:type="dxa"/>
            <w:vAlign w:val="bottom"/>
          </w:tcPr>
          <w:p w14:paraId="721B352D" w14:textId="116B6BE5" w:rsidR="009C7F21" w:rsidRDefault="009C7F21" w:rsidP="00520B0C">
            <w:pPr>
              <w:pStyle w:val="Tabelltext"/>
            </w:pPr>
            <w:r>
              <w:t>2 vuxna, 2 barn</w:t>
            </w:r>
          </w:p>
        </w:tc>
        <w:tc>
          <w:tcPr>
            <w:tcW w:w="1670" w:type="dxa"/>
            <w:vAlign w:val="bottom"/>
          </w:tcPr>
          <w:p w14:paraId="18D40266" w14:textId="736574DC" w:rsidR="009C7F21" w:rsidRDefault="0018584B" w:rsidP="00520B0C">
            <w:pPr>
              <w:pStyle w:val="Tabelltext"/>
              <w:jc w:val="right"/>
            </w:pPr>
            <w:r>
              <w:t>1 160</w:t>
            </w:r>
          </w:p>
        </w:tc>
        <w:tc>
          <w:tcPr>
            <w:tcW w:w="1670" w:type="dxa"/>
            <w:vAlign w:val="bottom"/>
          </w:tcPr>
          <w:p w14:paraId="186CD10F" w14:textId="14184ECA" w:rsidR="009C7F21" w:rsidRDefault="0018584B" w:rsidP="00520B0C">
            <w:pPr>
              <w:pStyle w:val="Tabelltext"/>
              <w:jc w:val="right"/>
            </w:pPr>
            <w:r>
              <w:t>1 611</w:t>
            </w:r>
          </w:p>
        </w:tc>
        <w:tc>
          <w:tcPr>
            <w:tcW w:w="1670" w:type="dxa"/>
            <w:vAlign w:val="bottom"/>
          </w:tcPr>
          <w:p w14:paraId="219CE34D" w14:textId="5987A136" w:rsidR="009C7F21" w:rsidRDefault="007D134B" w:rsidP="00520B0C">
            <w:pPr>
              <w:pStyle w:val="Tabelltext"/>
              <w:jc w:val="right"/>
            </w:pPr>
            <w:r>
              <w:t>34 219</w:t>
            </w:r>
          </w:p>
        </w:tc>
      </w:tr>
      <w:tr w:rsidR="009C7F21" w14:paraId="6700DE62" w14:textId="77777777" w:rsidTr="00520B0C">
        <w:trPr>
          <w:trHeight w:val="275"/>
        </w:trPr>
        <w:tc>
          <w:tcPr>
            <w:tcW w:w="1670" w:type="dxa"/>
            <w:vAlign w:val="bottom"/>
          </w:tcPr>
          <w:p w14:paraId="613F2DF2" w14:textId="48B34891" w:rsidR="009C7F21" w:rsidRDefault="009C7F21" w:rsidP="00520B0C">
            <w:pPr>
              <w:pStyle w:val="Tabelltext"/>
            </w:pPr>
            <w:r>
              <w:t>2 vuxna, 3 barn</w:t>
            </w:r>
          </w:p>
        </w:tc>
        <w:tc>
          <w:tcPr>
            <w:tcW w:w="1670" w:type="dxa"/>
            <w:vAlign w:val="bottom"/>
          </w:tcPr>
          <w:p w14:paraId="4FD297A5" w14:textId="2DF63C33" w:rsidR="009C7F21" w:rsidRDefault="0018584B" w:rsidP="00520B0C">
            <w:pPr>
              <w:pStyle w:val="Tabelltext"/>
              <w:jc w:val="right"/>
            </w:pPr>
            <w:r>
              <w:t>425</w:t>
            </w:r>
          </w:p>
        </w:tc>
        <w:tc>
          <w:tcPr>
            <w:tcW w:w="1670" w:type="dxa"/>
            <w:vAlign w:val="bottom"/>
          </w:tcPr>
          <w:p w14:paraId="5D108302" w14:textId="5804CE5C" w:rsidR="009C7F21" w:rsidRDefault="0018584B" w:rsidP="00520B0C">
            <w:pPr>
              <w:pStyle w:val="Tabelltext"/>
              <w:jc w:val="right"/>
            </w:pPr>
            <w:r>
              <w:t>1 683</w:t>
            </w:r>
          </w:p>
        </w:tc>
        <w:tc>
          <w:tcPr>
            <w:tcW w:w="1670" w:type="dxa"/>
            <w:vAlign w:val="bottom"/>
          </w:tcPr>
          <w:p w14:paraId="5D7EDD69" w14:textId="29958018" w:rsidR="009C7F21" w:rsidRDefault="007D134B" w:rsidP="00520B0C">
            <w:pPr>
              <w:pStyle w:val="Tabelltext"/>
              <w:jc w:val="right"/>
            </w:pPr>
            <w:r>
              <w:t>31 800</w:t>
            </w:r>
          </w:p>
        </w:tc>
      </w:tr>
      <w:tr w:rsidR="009C7F21" w14:paraId="3EDC3D57" w14:textId="77777777" w:rsidTr="00520B0C">
        <w:trPr>
          <w:trHeight w:val="275"/>
        </w:trPr>
        <w:tc>
          <w:tcPr>
            <w:tcW w:w="1670" w:type="dxa"/>
            <w:vAlign w:val="bottom"/>
          </w:tcPr>
          <w:p w14:paraId="2085F40A" w14:textId="02503982" w:rsidR="009C7F21" w:rsidRDefault="009C7F21" w:rsidP="00520B0C">
            <w:pPr>
              <w:pStyle w:val="Tabelltext"/>
            </w:pPr>
            <w:r>
              <w:t>2 vuxna, 4+ barn</w:t>
            </w:r>
          </w:p>
        </w:tc>
        <w:tc>
          <w:tcPr>
            <w:tcW w:w="1670" w:type="dxa"/>
            <w:vAlign w:val="bottom"/>
          </w:tcPr>
          <w:p w14:paraId="4DEFDC5A" w14:textId="5014E4A5" w:rsidR="009C7F21" w:rsidRDefault="0018584B" w:rsidP="00520B0C">
            <w:pPr>
              <w:pStyle w:val="Tabelltext"/>
              <w:jc w:val="right"/>
            </w:pPr>
            <w:r>
              <w:t>157</w:t>
            </w:r>
          </w:p>
        </w:tc>
        <w:tc>
          <w:tcPr>
            <w:tcW w:w="1670" w:type="dxa"/>
            <w:vAlign w:val="bottom"/>
          </w:tcPr>
          <w:p w14:paraId="05E555CB" w14:textId="0554FA5D" w:rsidR="009C7F21" w:rsidRDefault="0018584B" w:rsidP="00520B0C">
            <w:pPr>
              <w:pStyle w:val="Tabelltext"/>
              <w:jc w:val="right"/>
            </w:pPr>
            <w:r>
              <w:t>1 671</w:t>
            </w:r>
          </w:p>
        </w:tc>
        <w:tc>
          <w:tcPr>
            <w:tcW w:w="1670" w:type="dxa"/>
            <w:vAlign w:val="bottom"/>
          </w:tcPr>
          <w:p w14:paraId="4A191234" w14:textId="6C4C4755" w:rsidR="009C7F21" w:rsidRDefault="007D134B" w:rsidP="00520B0C">
            <w:pPr>
              <w:pStyle w:val="Tabelltext"/>
              <w:jc w:val="right"/>
            </w:pPr>
            <w:r>
              <w:t>20 893</w:t>
            </w:r>
          </w:p>
        </w:tc>
      </w:tr>
    </w:tbl>
    <w:p w14:paraId="4BB2C758" w14:textId="77777777" w:rsidR="009C7F21" w:rsidRDefault="009C7F21" w:rsidP="00C2051C">
      <w:pPr>
        <w:pStyle w:val="ANormal"/>
      </w:pPr>
    </w:p>
    <w:tbl>
      <w:tblPr>
        <w:tblStyle w:val="Tabellrutnt"/>
        <w:tblW w:w="0" w:type="auto"/>
        <w:tblLook w:val="04A0" w:firstRow="1" w:lastRow="0" w:firstColumn="1" w:lastColumn="0" w:noHBand="0" w:noVBand="1"/>
      </w:tblPr>
      <w:tblGrid>
        <w:gridCol w:w="1670"/>
        <w:gridCol w:w="1670"/>
        <w:gridCol w:w="1670"/>
        <w:gridCol w:w="1670"/>
      </w:tblGrid>
      <w:tr w:rsidR="002B1B99" w:rsidRPr="00520B0C" w14:paraId="38FBDA59" w14:textId="77777777" w:rsidTr="003A0119">
        <w:trPr>
          <w:trHeight w:val="815"/>
        </w:trPr>
        <w:tc>
          <w:tcPr>
            <w:tcW w:w="1670" w:type="dxa"/>
            <w:vAlign w:val="center"/>
          </w:tcPr>
          <w:p w14:paraId="45904E55" w14:textId="5831745C" w:rsidR="002B1B99" w:rsidRPr="00520B0C" w:rsidRDefault="002B1B99" w:rsidP="003A0119">
            <w:pPr>
              <w:pStyle w:val="Tabelltext"/>
              <w:rPr>
                <w:b/>
                <w:bCs/>
              </w:rPr>
            </w:pPr>
            <w:r w:rsidRPr="00520B0C">
              <w:rPr>
                <w:b/>
                <w:bCs/>
              </w:rPr>
              <w:t>Grundavdrag 3 500 €, minskning 8</w:t>
            </w:r>
            <w:r>
              <w:rPr>
                <w:b/>
                <w:bCs/>
              </w:rPr>
              <w:t>,4</w:t>
            </w:r>
            <w:r w:rsidRPr="00520B0C">
              <w:rPr>
                <w:b/>
                <w:bCs/>
              </w:rPr>
              <w:t xml:space="preserve"> %</w:t>
            </w:r>
          </w:p>
        </w:tc>
        <w:tc>
          <w:tcPr>
            <w:tcW w:w="1670" w:type="dxa"/>
            <w:vAlign w:val="bottom"/>
          </w:tcPr>
          <w:p w14:paraId="4C19E094" w14:textId="77777777" w:rsidR="002B1B99" w:rsidRPr="00520B0C" w:rsidRDefault="002B1B99" w:rsidP="002463B7">
            <w:pPr>
              <w:pStyle w:val="Tabelltext"/>
              <w:rPr>
                <w:b/>
                <w:bCs/>
              </w:rPr>
            </w:pPr>
            <w:r w:rsidRPr="00520B0C">
              <w:rPr>
                <w:b/>
                <w:bCs/>
              </w:rPr>
              <w:t>Beräknat antal personer som fått grundavdrag</w:t>
            </w:r>
          </w:p>
        </w:tc>
        <w:tc>
          <w:tcPr>
            <w:tcW w:w="1670" w:type="dxa"/>
            <w:vAlign w:val="bottom"/>
          </w:tcPr>
          <w:p w14:paraId="17C97578" w14:textId="77777777" w:rsidR="002B1B99" w:rsidRPr="00520B0C" w:rsidRDefault="002B1B99" w:rsidP="002463B7">
            <w:pPr>
              <w:pStyle w:val="Tabelltext"/>
              <w:rPr>
                <w:b/>
                <w:bCs/>
              </w:rPr>
            </w:pPr>
            <w:r w:rsidRPr="00520B0C">
              <w:rPr>
                <w:b/>
                <w:bCs/>
              </w:rPr>
              <w:t>Beräknat genomsnittligt avdrag, euro</w:t>
            </w:r>
          </w:p>
        </w:tc>
        <w:tc>
          <w:tcPr>
            <w:tcW w:w="1670" w:type="dxa"/>
            <w:vAlign w:val="bottom"/>
          </w:tcPr>
          <w:p w14:paraId="26AC3F0F" w14:textId="1CD850F7" w:rsidR="002B1B99" w:rsidRPr="00520B0C" w:rsidRDefault="002B1B99" w:rsidP="002463B7">
            <w:pPr>
              <w:pStyle w:val="Tabelltext"/>
              <w:rPr>
                <w:b/>
                <w:bCs/>
              </w:rPr>
            </w:pPr>
            <w:r w:rsidRPr="00520B0C">
              <w:rPr>
                <w:b/>
                <w:bCs/>
              </w:rPr>
              <w:t>Median förvärvs</w:t>
            </w:r>
            <w:r w:rsidR="001B7505">
              <w:rPr>
                <w:b/>
                <w:bCs/>
              </w:rPr>
              <w:t>-</w:t>
            </w:r>
            <w:r w:rsidRPr="00520B0C">
              <w:rPr>
                <w:b/>
                <w:bCs/>
              </w:rPr>
              <w:t>inkomst i hushållstypen, euro</w:t>
            </w:r>
          </w:p>
        </w:tc>
      </w:tr>
      <w:tr w:rsidR="002B1B99" w14:paraId="534278E5" w14:textId="77777777" w:rsidTr="002463B7">
        <w:trPr>
          <w:trHeight w:val="275"/>
        </w:trPr>
        <w:tc>
          <w:tcPr>
            <w:tcW w:w="1670" w:type="dxa"/>
            <w:vAlign w:val="bottom"/>
          </w:tcPr>
          <w:p w14:paraId="30F44F24" w14:textId="77777777" w:rsidR="002B1B99" w:rsidRDefault="002B1B99" w:rsidP="002463B7">
            <w:pPr>
              <w:pStyle w:val="Tabelltext"/>
            </w:pPr>
            <w:r>
              <w:t>1 vuxen</w:t>
            </w:r>
          </w:p>
        </w:tc>
        <w:tc>
          <w:tcPr>
            <w:tcW w:w="1670" w:type="dxa"/>
            <w:vAlign w:val="bottom"/>
          </w:tcPr>
          <w:p w14:paraId="278CE482" w14:textId="6864AC68" w:rsidR="002B1B99" w:rsidRDefault="002B1B99" w:rsidP="002463B7">
            <w:pPr>
              <w:pStyle w:val="Tabelltext"/>
              <w:jc w:val="right"/>
            </w:pPr>
            <w:r>
              <w:t>4 804</w:t>
            </w:r>
          </w:p>
        </w:tc>
        <w:tc>
          <w:tcPr>
            <w:tcW w:w="1670" w:type="dxa"/>
            <w:vAlign w:val="bottom"/>
          </w:tcPr>
          <w:p w14:paraId="63270D31" w14:textId="24D2924A" w:rsidR="002B1B99" w:rsidRDefault="002B1B99" w:rsidP="002463B7">
            <w:pPr>
              <w:pStyle w:val="Tabelltext"/>
              <w:jc w:val="right"/>
            </w:pPr>
            <w:r>
              <w:t>1 </w:t>
            </w:r>
            <w:r w:rsidR="00465501">
              <w:t>876</w:t>
            </w:r>
          </w:p>
        </w:tc>
        <w:tc>
          <w:tcPr>
            <w:tcW w:w="1670" w:type="dxa"/>
            <w:vAlign w:val="bottom"/>
          </w:tcPr>
          <w:p w14:paraId="6C31F2F4" w14:textId="77777777" w:rsidR="002B1B99" w:rsidRDefault="002B1B99" w:rsidP="002463B7">
            <w:pPr>
              <w:pStyle w:val="Tabelltext"/>
              <w:jc w:val="right"/>
            </w:pPr>
            <w:r>
              <w:t>27 497</w:t>
            </w:r>
          </w:p>
        </w:tc>
      </w:tr>
      <w:tr w:rsidR="002B1B99" w14:paraId="472F3AA5" w14:textId="77777777" w:rsidTr="002463B7">
        <w:trPr>
          <w:trHeight w:val="275"/>
        </w:trPr>
        <w:tc>
          <w:tcPr>
            <w:tcW w:w="1670" w:type="dxa"/>
            <w:vAlign w:val="bottom"/>
          </w:tcPr>
          <w:p w14:paraId="3824C594" w14:textId="77777777" w:rsidR="002B1B99" w:rsidRDefault="002B1B99" w:rsidP="002463B7">
            <w:pPr>
              <w:pStyle w:val="Tabelltext"/>
            </w:pPr>
            <w:r>
              <w:t>2 vuxna</w:t>
            </w:r>
          </w:p>
        </w:tc>
        <w:tc>
          <w:tcPr>
            <w:tcW w:w="1670" w:type="dxa"/>
            <w:vAlign w:val="bottom"/>
          </w:tcPr>
          <w:p w14:paraId="75BC972E" w14:textId="0469DB15" w:rsidR="002B1B99" w:rsidRDefault="002B1B99" w:rsidP="002463B7">
            <w:pPr>
              <w:pStyle w:val="Tabelltext"/>
              <w:jc w:val="right"/>
            </w:pPr>
            <w:r>
              <w:t>6 460</w:t>
            </w:r>
          </w:p>
        </w:tc>
        <w:tc>
          <w:tcPr>
            <w:tcW w:w="1670" w:type="dxa"/>
            <w:vAlign w:val="bottom"/>
          </w:tcPr>
          <w:p w14:paraId="5F00A670" w14:textId="5685976E" w:rsidR="002B1B99" w:rsidRDefault="002B1B99" w:rsidP="002463B7">
            <w:pPr>
              <w:pStyle w:val="Tabelltext"/>
              <w:jc w:val="right"/>
            </w:pPr>
            <w:r>
              <w:t>1 </w:t>
            </w:r>
            <w:r w:rsidR="00465501">
              <w:t>812</w:t>
            </w:r>
          </w:p>
        </w:tc>
        <w:tc>
          <w:tcPr>
            <w:tcW w:w="1670" w:type="dxa"/>
            <w:vAlign w:val="bottom"/>
          </w:tcPr>
          <w:p w14:paraId="36FDF1BA" w14:textId="77777777" w:rsidR="002B1B99" w:rsidRDefault="002B1B99" w:rsidP="002463B7">
            <w:pPr>
              <w:pStyle w:val="Tabelltext"/>
              <w:jc w:val="right"/>
            </w:pPr>
            <w:r>
              <w:t>29 402</w:t>
            </w:r>
          </w:p>
        </w:tc>
      </w:tr>
      <w:tr w:rsidR="002B1B99" w14:paraId="197C37E7" w14:textId="77777777" w:rsidTr="002463B7">
        <w:trPr>
          <w:trHeight w:val="275"/>
        </w:trPr>
        <w:tc>
          <w:tcPr>
            <w:tcW w:w="1670" w:type="dxa"/>
            <w:vAlign w:val="bottom"/>
          </w:tcPr>
          <w:p w14:paraId="79E9B01E" w14:textId="77777777" w:rsidR="002B1B99" w:rsidRDefault="002B1B99" w:rsidP="002463B7">
            <w:pPr>
              <w:pStyle w:val="Tabelltext"/>
            </w:pPr>
            <w:r>
              <w:t>1 vuxen, 1 barn</w:t>
            </w:r>
          </w:p>
        </w:tc>
        <w:tc>
          <w:tcPr>
            <w:tcW w:w="1670" w:type="dxa"/>
            <w:vAlign w:val="bottom"/>
          </w:tcPr>
          <w:p w14:paraId="1516697C" w14:textId="66C601A9" w:rsidR="002B1B99" w:rsidRDefault="002B1B99" w:rsidP="002463B7">
            <w:pPr>
              <w:pStyle w:val="Tabelltext"/>
              <w:jc w:val="right"/>
            </w:pPr>
            <w:r>
              <w:t>805</w:t>
            </w:r>
          </w:p>
        </w:tc>
        <w:tc>
          <w:tcPr>
            <w:tcW w:w="1670" w:type="dxa"/>
            <w:vAlign w:val="bottom"/>
          </w:tcPr>
          <w:p w14:paraId="17D973D2" w14:textId="698545B0" w:rsidR="002B1B99" w:rsidRDefault="002B1B99" w:rsidP="002463B7">
            <w:pPr>
              <w:pStyle w:val="Tabelltext"/>
              <w:jc w:val="right"/>
            </w:pPr>
            <w:r>
              <w:t>1 </w:t>
            </w:r>
            <w:r w:rsidR="00465501">
              <w:t>853</w:t>
            </w:r>
          </w:p>
        </w:tc>
        <w:tc>
          <w:tcPr>
            <w:tcW w:w="1670" w:type="dxa"/>
            <w:vAlign w:val="bottom"/>
          </w:tcPr>
          <w:p w14:paraId="0C3CF47E" w14:textId="77777777" w:rsidR="002B1B99" w:rsidRDefault="002B1B99" w:rsidP="002463B7">
            <w:pPr>
              <w:pStyle w:val="Tabelltext"/>
              <w:jc w:val="right"/>
            </w:pPr>
            <w:r>
              <w:t>25 576</w:t>
            </w:r>
          </w:p>
        </w:tc>
      </w:tr>
      <w:tr w:rsidR="002B1B99" w14:paraId="41B740F0" w14:textId="77777777" w:rsidTr="002463B7">
        <w:trPr>
          <w:trHeight w:val="275"/>
        </w:trPr>
        <w:tc>
          <w:tcPr>
            <w:tcW w:w="1670" w:type="dxa"/>
            <w:vAlign w:val="bottom"/>
          </w:tcPr>
          <w:p w14:paraId="4D796040" w14:textId="77777777" w:rsidR="002B1B99" w:rsidRDefault="002B1B99" w:rsidP="002463B7">
            <w:pPr>
              <w:pStyle w:val="Tabelltext"/>
            </w:pPr>
            <w:r>
              <w:t>1 vuxen, 2 barn</w:t>
            </w:r>
          </w:p>
        </w:tc>
        <w:tc>
          <w:tcPr>
            <w:tcW w:w="1670" w:type="dxa"/>
            <w:vAlign w:val="bottom"/>
          </w:tcPr>
          <w:p w14:paraId="446E4E18" w14:textId="5E094FEE" w:rsidR="002B1B99" w:rsidRDefault="002B1B99" w:rsidP="002463B7">
            <w:pPr>
              <w:pStyle w:val="Tabelltext"/>
              <w:jc w:val="right"/>
            </w:pPr>
            <w:r>
              <w:t>335</w:t>
            </w:r>
          </w:p>
        </w:tc>
        <w:tc>
          <w:tcPr>
            <w:tcW w:w="1670" w:type="dxa"/>
            <w:vAlign w:val="bottom"/>
          </w:tcPr>
          <w:p w14:paraId="56B6B633" w14:textId="2AF4C066" w:rsidR="002B1B99" w:rsidRDefault="002B1B99" w:rsidP="002463B7">
            <w:pPr>
              <w:pStyle w:val="Tabelltext"/>
              <w:jc w:val="right"/>
            </w:pPr>
            <w:r>
              <w:t>1 </w:t>
            </w:r>
            <w:r w:rsidR="00465501">
              <w:t>869</w:t>
            </w:r>
          </w:p>
        </w:tc>
        <w:tc>
          <w:tcPr>
            <w:tcW w:w="1670" w:type="dxa"/>
            <w:vAlign w:val="bottom"/>
          </w:tcPr>
          <w:p w14:paraId="3A78A74E" w14:textId="77777777" w:rsidR="002B1B99" w:rsidRDefault="002B1B99" w:rsidP="002463B7">
            <w:pPr>
              <w:pStyle w:val="Tabelltext"/>
              <w:jc w:val="right"/>
            </w:pPr>
            <w:r>
              <w:t>20 389</w:t>
            </w:r>
          </w:p>
        </w:tc>
      </w:tr>
      <w:tr w:rsidR="002B1B99" w14:paraId="375243FA" w14:textId="77777777" w:rsidTr="002463B7">
        <w:trPr>
          <w:trHeight w:val="275"/>
        </w:trPr>
        <w:tc>
          <w:tcPr>
            <w:tcW w:w="1670" w:type="dxa"/>
            <w:vAlign w:val="bottom"/>
          </w:tcPr>
          <w:p w14:paraId="2E431CB7" w14:textId="77777777" w:rsidR="002B1B99" w:rsidRDefault="002B1B99" w:rsidP="002463B7">
            <w:pPr>
              <w:pStyle w:val="Tabelltext"/>
            </w:pPr>
            <w:r>
              <w:t>2 vuxna, 1 barn</w:t>
            </w:r>
          </w:p>
        </w:tc>
        <w:tc>
          <w:tcPr>
            <w:tcW w:w="1670" w:type="dxa"/>
            <w:vAlign w:val="bottom"/>
          </w:tcPr>
          <w:p w14:paraId="5FB1770A" w14:textId="4B34B5A8" w:rsidR="002B1B99" w:rsidRDefault="002B1B99" w:rsidP="002463B7">
            <w:pPr>
              <w:pStyle w:val="Tabelltext"/>
              <w:jc w:val="right"/>
            </w:pPr>
            <w:r>
              <w:t>2 417</w:t>
            </w:r>
          </w:p>
        </w:tc>
        <w:tc>
          <w:tcPr>
            <w:tcW w:w="1670" w:type="dxa"/>
            <w:vAlign w:val="bottom"/>
          </w:tcPr>
          <w:p w14:paraId="36309D50" w14:textId="477946BA" w:rsidR="002B1B99" w:rsidRDefault="002B1B99" w:rsidP="002463B7">
            <w:pPr>
              <w:pStyle w:val="Tabelltext"/>
              <w:jc w:val="right"/>
            </w:pPr>
            <w:r>
              <w:t>1 </w:t>
            </w:r>
            <w:r w:rsidR="00465501">
              <w:t>779</w:t>
            </w:r>
          </w:p>
        </w:tc>
        <w:tc>
          <w:tcPr>
            <w:tcW w:w="1670" w:type="dxa"/>
            <w:vAlign w:val="bottom"/>
          </w:tcPr>
          <w:p w14:paraId="020FE85F" w14:textId="77777777" w:rsidR="002B1B99" w:rsidRDefault="002B1B99" w:rsidP="002463B7">
            <w:pPr>
              <w:pStyle w:val="Tabelltext"/>
              <w:jc w:val="right"/>
            </w:pPr>
            <w:r>
              <w:t>32 513</w:t>
            </w:r>
          </w:p>
        </w:tc>
      </w:tr>
      <w:tr w:rsidR="002B1B99" w14:paraId="74FB9581" w14:textId="77777777" w:rsidTr="002463B7">
        <w:trPr>
          <w:trHeight w:val="275"/>
        </w:trPr>
        <w:tc>
          <w:tcPr>
            <w:tcW w:w="1670" w:type="dxa"/>
            <w:vAlign w:val="bottom"/>
          </w:tcPr>
          <w:p w14:paraId="6A06A1E4" w14:textId="77777777" w:rsidR="002B1B99" w:rsidRDefault="002B1B99" w:rsidP="002463B7">
            <w:pPr>
              <w:pStyle w:val="Tabelltext"/>
            </w:pPr>
            <w:r>
              <w:t>2 vuxna, 2 barn</w:t>
            </w:r>
          </w:p>
        </w:tc>
        <w:tc>
          <w:tcPr>
            <w:tcW w:w="1670" w:type="dxa"/>
            <w:vAlign w:val="bottom"/>
          </w:tcPr>
          <w:p w14:paraId="1B7D9108" w14:textId="36E5E7E1" w:rsidR="002B1B99" w:rsidRDefault="002B1B99" w:rsidP="002463B7">
            <w:pPr>
              <w:pStyle w:val="Tabelltext"/>
              <w:jc w:val="right"/>
            </w:pPr>
            <w:r>
              <w:t>2 475</w:t>
            </w:r>
          </w:p>
        </w:tc>
        <w:tc>
          <w:tcPr>
            <w:tcW w:w="1670" w:type="dxa"/>
            <w:vAlign w:val="bottom"/>
          </w:tcPr>
          <w:p w14:paraId="3B319448" w14:textId="264FF026" w:rsidR="002B1B99" w:rsidRDefault="002B1B99" w:rsidP="002463B7">
            <w:pPr>
              <w:pStyle w:val="Tabelltext"/>
              <w:jc w:val="right"/>
            </w:pPr>
            <w:r>
              <w:t>1 </w:t>
            </w:r>
            <w:r w:rsidR="00465501">
              <w:t>655</w:t>
            </w:r>
          </w:p>
        </w:tc>
        <w:tc>
          <w:tcPr>
            <w:tcW w:w="1670" w:type="dxa"/>
            <w:vAlign w:val="bottom"/>
          </w:tcPr>
          <w:p w14:paraId="781266B8" w14:textId="77777777" w:rsidR="002B1B99" w:rsidRDefault="002B1B99" w:rsidP="002463B7">
            <w:pPr>
              <w:pStyle w:val="Tabelltext"/>
              <w:jc w:val="right"/>
            </w:pPr>
            <w:r>
              <w:t>34 219</w:t>
            </w:r>
          </w:p>
        </w:tc>
      </w:tr>
      <w:tr w:rsidR="002B1B99" w14:paraId="616C4610" w14:textId="77777777" w:rsidTr="002463B7">
        <w:trPr>
          <w:trHeight w:val="275"/>
        </w:trPr>
        <w:tc>
          <w:tcPr>
            <w:tcW w:w="1670" w:type="dxa"/>
            <w:vAlign w:val="bottom"/>
          </w:tcPr>
          <w:p w14:paraId="72A36F05" w14:textId="77777777" w:rsidR="002B1B99" w:rsidRDefault="002B1B99" w:rsidP="002463B7">
            <w:pPr>
              <w:pStyle w:val="Tabelltext"/>
            </w:pPr>
            <w:r>
              <w:t>2 vuxna, 3 barn</w:t>
            </w:r>
          </w:p>
        </w:tc>
        <w:tc>
          <w:tcPr>
            <w:tcW w:w="1670" w:type="dxa"/>
            <w:vAlign w:val="bottom"/>
          </w:tcPr>
          <w:p w14:paraId="02E70815" w14:textId="047DB130" w:rsidR="002B1B99" w:rsidRDefault="002B1B99" w:rsidP="002463B7">
            <w:pPr>
              <w:pStyle w:val="Tabelltext"/>
              <w:jc w:val="right"/>
            </w:pPr>
            <w:r>
              <w:t>813</w:t>
            </w:r>
          </w:p>
        </w:tc>
        <w:tc>
          <w:tcPr>
            <w:tcW w:w="1670" w:type="dxa"/>
            <w:vAlign w:val="bottom"/>
          </w:tcPr>
          <w:p w14:paraId="742DCB71" w14:textId="1DB82A5C" w:rsidR="002B1B99" w:rsidRDefault="002B1B99" w:rsidP="002463B7">
            <w:pPr>
              <w:pStyle w:val="Tabelltext"/>
              <w:jc w:val="right"/>
            </w:pPr>
            <w:r>
              <w:t>1 </w:t>
            </w:r>
            <w:r w:rsidR="00465501">
              <w:t>745</w:t>
            </w:r>
          </w:p>
        </w:tc>
        <w:tc>
          <w:tcPr>
            <w:tcW w:w="1670" w:type="dxa"/>
            <w:vAlign w:val="bottom"/>
          </w:tcPr>
          <w:p w14:paraId="1BE2A8A3" w14:textId="77777777" w:rsidR="002B1B99" w:rsidRDefault="002B1B99" w:rsidP="002463B7">
            <w:pPr>
              <w:pStyle w:val="Tabelltext"/>
              <w:jc w:val="right"/>
            </w:pPr>
            <w:r>
              <w:t>31 800</w:t>
            </w:r>
          </w:p>
        </w:tc>
      </w:tr>
      <w:tr w:rsidR="002B1B99" w14:paraId="72441031" w14:textId="77777777" w:rsidTr="002463B7">
        <w:trPr>
          <w:trHeight w:val="275"/>
        </w:trPr>
        <w:tc>
          <w:tcPr>
            <w:tcW w:w="1670" w:type="dxa"/>
            <w:vAlign w:val="bottom"/>
          </w:tcPr>
          <w:p w14:paraId="11C8AD48" w14:textId="77777777" w:rsidR="002B1B99" w:rsidRDefault="002B1B99" w:rsidP="002463B7">
            <w:pPr>
              <w:pStyle w:val="Tabelltext"/>
            </w:pPr>
            <w:r>
              <w:t>2 vuxna, 4+ barn</w:t>
            </w:r>
          </w:p>
        </w:tc>
        <w:tc>
          <w:tcPr>
            <w:tcW w:w="1670" w:type="dxa"/>
            <w:vAlign w:val="bottom"/>
          </w:tcPr>
          <w:p w14:paraId="5AAC51FC" w14:textId="6EF7D6BF" w:rsidR="002B1B99" w:rsidRDefault="002B1B99" w:rsidP="002463B7">
            <w:pPr>
              <w:pStyle w:val="Tabelltext"/>
              <w:jc w:val="right"/>
            </w:pPr>
            <w:r>
              <w:t>239</w:t>
            </w:r>
          </w:p>
        </w:tc>
        <w:tc>
          <w:tcPr>
            <w:tcW w:w="1670" w:type="dxa"/>
            <w:vAlign w:val="bottom"/>
          </w:tcPr>
          <w:p w14:paraId="1FD21E8B" w14:textId="598CC31F" w:rsidR="002B1B99" w:rsidRDefault="002B1B99" w:rsidP="002463B7">
            <w:pPr>
              <w:pStyle w:val="Tabelltext"/>
              <w:jc w:val="right"/>
            </w:pPr>
            <w:r>
              <w:t>1 </w:t>
            </w:r>
            <w:r w:rsidR="00465501">
              <w:t>827</w:t>
            </w:r>
          </w:p>
        </w:tc>
        <w:tc>
          <w:tcPr>
            <w:tcW w:w="1670" w:type="dxa"/>
            <w:vAlign w:val="bottom"/>
          </w:tcPr>
          <w:p w14:paraId="5AEA86D9" w14:textId="77777777" w:rsidR="002B1B99" w:rsidRDefault="002B1B99" w:rsidP="002463B7">
            <w:pPr>
              <w:pStyle w:val="Tabelltext"/>
              <w:jc w:val="right"/>
            </w:pPr>
            <w:r>
              <w:t>20 893</w:t>
            </w:r>
          </w:p>
        </w:tc>
      </w:tr>
    </w:tbl>
    <w:p w14:paraId="1711F554" w14:textId="77777777" w:rsidR="009C7F21" w:rsidRDefault="009C7F21" w:rsidP="00C2051C">
      <w:pPr>
        <w:pStyle w:val="ANormal"/>
      </w:pPr>
    </w:p>
    <w:p w14:paraId="45357416" w14:textId="393EAA60" w:rsidR="001B7505" w:rsidRDefault="001B7505" w:rsidP="001B7505">
      <w:pPr>
        <w:pStyle w:val="ANormal"/>
      </w:pPr>
      <w:r>
        <w:tab/>
        <w:t>Slutligen visas</w:t>
      </w:r>
      <w:r w:rsidR="00BE2194">
        <w:t xml:space="preserve"> nedan</w:t>
      </w:r>
      <w:r>
        <w:t xml:space="preserve"> en kalkyl </w:t>
      </w:r>
      <w:r w:rsidR="00314A48">
        <w:t xml:space="preserve">för hur förslaget faller ut i olika </w:t>
      </w:r>
      <w:proofErr w:type="spellStart"/>
      <w:r w:rsidR="00314A48">
        <w:t>inkomstdeciler</w:t>
      </w:r>
      <w:proofErr w:type="spellEnd"/>
      <w:r w:rsidR="00314A48">
        <w:t xml:space="preserve"> i inkomstbeskattningen.</w:t>
      </w:r>
      <w:r>
        <w:t xml:space="preserve"> Med </w:t>
      </w:r>
      <w:proofErr w:type="spellStart"/>
      <w:r>
        <w:t>deciler</w:t>
      </w:r>
      <w:proofErr w:type="spellEnd"/>
      <w:r>
        <w:t xml:space="preserve"> avses att inkomsttagarna rangordnas efter inkomst och delas in i tio lika stora grupper. Varje </w:t>
      </w:r>
      <w:proofErr w:type="spellStart"/>
      <w:r>
        <w:t>inkomstdecil</w:t>
      </w:r>
      <w:proofErr w:type="spellEnd"/>
      <w:r>
        <w:t xml:space="preserve"> omfattar således tio procent av inkomsttagarna. Till den första </w:t>
      </w:r>
      <w:proofErr w:type="spellStart"/>
      <w:r>
        <w:t>decilen</w:t>
      </w:r>
      <w:proofErr w:type="spellEnd"/>
      <w:r>
        <w:t xml:space="preserve"> hör </w:t>
      </w:r>
      <w:r>
        <w:lastRenderedPageBreak/>
        <w:t xml:space="preserve">den tiondel som har de lägsta inkomsterna och till den sista </w:t>
      </w:r>
      <w:proofErr w:type="spellStart"/>
      <w:r>
        <w:t>decilen</w:t>
      </w:r>
      <w:proofErr w:type="spellEnd"/>
      <w:r>
        <w:t xml:space="preserve"> den tiondel som har de högsta inkomsterna. Inkomsterna omfattar </w:t>
      </w:r>
      <w:r w:rsidR="00BE2194">
        <w:t>i det här fallet</w:t>
      </w:r>
      <w:r>
        <w:t xml:space="preserve"> så</w:t>
      </w:r>
      <w:r w:rsidR="00BE2194">
        <w:softHyphen/>
      </w:r>
      <w:r>
        <w:t xml:space="preserve">väl förvärvsinkomster (löneinkomster, pensionsinkomster och skattepliktiga socialförmåner, exempelvis arbetslöshetsdagpenningar och föräldrapenningar) </w:t>
      </w:r>
      <w:r w:rsidR="00BE2194">
        <w:t>som</w:t>
      </w:r>
      <w:r>
        <w:t xml:space="preserve"> kapitalinkomster (inkomster från tillgångar, till exempel hyresinkomster, överlåtelsevinster, dividender, vissa ränteinkomster, livförsäkringar och vinstandelar samt kapitalinkomstandelen av företagsinkomst). Kapitalinkomstskatten är en statsskatt.</w:t>
      </w:r>
    </w:p>
    <w:p w14:paraId="2EB357FE" w14:textId="0E3CCB19" w:rsidR="001B7505" w:rsidRDefault="001B7505" w:rsidP="001B7505">
      <w:pPr>
        <w:pStyle w:val="ANormal"/>
      </w:pPr>
      <w:r>
        <w:tab/>
      </w:r>
      <w:r w:rsidR="00BE2194">
        <w:t>I tabellen</w:t>
      </w:r>
      <w:r>
        <w:t xml:space="preserve"> presenteras en beräknad fördelning av grundavdraget på respektive decil enligt gällande lagstiftning samt enligt förslaget med utökat avdrag. Beräkningen belyser att även om antalet personer som beviljas avdraget ökar åtminstone något i alla </w:t>
      </w:r>
      <w:proofErr w:type="spellStart"/>
      <w:r>
        <w:t>inkomstdeciler</w:t>
      </w:r>
      <w:proofErr w:type="spellEnd"/>
      <w:r>
        <w:t xml:space="preserve"> ökar antalet personer som beviljas avdraget mest i de fem högsta decilerna. På liknande sätt ökar beloppet för det beräknade avdraget i alla tio </w:t>
      </w:r>
      <w:proofErr w:type="spellStart"/>
      <w:r>
        <w:t>deciler</w:t>
      </w:r>
      <w:proofErr w:type="spellEnd"/>
      <w:r>
        <w:t>, avdraget ökar dock i genomsnitt mer i de fem högsta inkomstdecilerna. Kapitalinkomsterna, som inte påverkar avdragets storlek, utgör en relativt stor andel av inkomsterna i de högre inkomstdecilerna.</w:t>
      </w:r>
    </w:p>
    <w:p w14:paraId="565ACFC2" w14:textId="3143899C" w:rsidR="00E24DEA" w:rsidRDefault="00E24DEA" w:rsidP="00C2051C">
      <w:pPr>
        <w:pStyle w:val="ANormal"/>
      </w:pPr>
    </w:p>
    <w:tbl>
      <w:tblPr>
        <w:tblStyle w:val="Tabellrutnt"/>
        <w:tblW w:w="0" w:type="auto"/>
        <w:tblLook w:val="04A0" w:firstRow="1" w:lastRow="0" w:firstColumn="1" w:lastColumn="0" w:noHBand="0" w:noVBand="1"/>
      </w:tblPr>
      <w:tblGrid>
        <w:gridCol w:w="1336"/>
        <w:gridCol w:w="1336"/>
        <w:gridCol w:w="1336"/>
        <w:gridCol w:w="1336"/>
        <w:gridCol w:w="1336"/>
      </w:tblGrid>
      <w:tr w:rsidR="00D1287D" w:rsidRPr="002155F5" w14:paraId="70F379CC" w14:textId="77777777" w:rsidTr="002155F5">
        <w:trPr>
          <w:trHeight w:val="581"/>
        </w:trPr>
        <w:tc>
          <w:tcPr>
            <w:tcW w:w="1336" w:type="dxa"/>
            <w:vMerge w:val="restart"/>
            <w:vAlign w:val="bottom"/>
          </w:tcPr>
          <w:p w14:paraId="53A0D668" w14:textId="4DD886FC" w:rsidR="00D1287D" w:rsidRPr="002155F5" w:rsidRDefault="00B102EB" w:rsidP="002155F5">
            <w:pPr>
              <w:pStyle w:val="Tabelltext"/>
              <w:rPr>
                <w:b/>
                <w:bCs/>
              </w:rPr>
            </w:pPr>
            <w:r w:rsidRPr="002155F5">
              <w:rPr>
                <w:b/>
                <w:bCs/>
              </w:rPr>
              <w:t>Inkomst vid personbeskattningen</w:t>
            </w:r>
          </w:p>
        </w:tc>
        <w:tc>
          <w:tcPr>
            <w:tcW w:w="2672" w:type="dxa"/>
            <w:gridSpan w:val="2"/>
            <w:vAlign w:val="bottom"/>
          </w:tcPr>
          <w:p w14:paraId="3CBD8F81" w14:textId="67B7F950" w:rsidR="00D1287D" w:rsidRPr="002155F5" w:rsidRDefault="00B102EB" w:rsidP="002155F5">
            <w:pPr>
              <w:pStyle w:val="Tabelltext"/>
              <w:rPr>
                <w:b/>
                <w:bCs/>
              </w:rPr>
            </w:pPr>
            <w:r w:rsidRPr="002155F5">
              <w:rPr>
                <w:b/>
                <w:bCs/>
              </w:rPr>
              <w:t>Beräknat antal personer som gör grundavdrag</w:t>
            </w:r>
          </w:p>
        </w:tc>
        <w:tc>
          <w:tcPr>
            <w:tcW w:w="2672" w:type="dxa"/>
            <w:gridSpan w:val="2"/>
            <w:vAlign w:val="bottom"/>
          </w:tcPr>
          <w:p w14:paraId="26039E68" w14:textId="77777777" w:rsidR="00874E3E" w:rsidRDefault="00B102EB" w:rsidP="002155F5">
            <w:pPr>
              <w:pStyle w:val="Tabelltext"/>
              <w:rPr>
                <w:b/>
                <w:bCs/>
              </w:rPr>
            </w:pPr>
            <w:r w:rsidRPr="002155F5">
              <w:rPr>
                <w:b/>
                <w:bCs/>
              </w:rPr>
              <w:t>Fördelning av grund</w:t>
            </w:r>
            <w:r w:rsidR="00874E3E">
              <w:rPr>
                <w:b/>
                <w:bCs/>
              </w:rPr>
              <w:t>-</w:t>
            </w:r>
          </w:p>
          <w:p w14:paraId="120BFCF2" w14:textId="2DEADBEB" w:rsidR="00D1287D" w:rsidRPr="002155F5" w:rsidRDefault="00B102EB" w:rsidP="002155F5">
            <w:pPr>
              <w:pStyle w:val="Tabelltext"/>
              <w:rPr>
                <w:b/>
                <w:bCs/>
              </w:rPr>
            </w:pPr>
            <w:r w:rsidRPr="002155F5">
              <w:rPr>
                <w:b/>
                <w:bCs/>
              </w:rPr>
              <w:t>avdraget, %</w:t>
            </w:r>
          </w:p>
        </w:tc>
      </w:tr>
      <w:tr w:rsidR="00D1287D" w14:paraId="0431B7FC" w14:textId="77777777" w:rsidTr="00874E3E">
        <w:trPr>
          <w:trHeight w:val="561"/>
        </w:trPr>
        <w:tc>
          <w:tcPr>
            <w:tcW w:w="1336" w:type="dxa"/>
            <w:vMerge/>
            <w:vAlign w:val="bottom"/>
          </w:tcPr>
          <w:p w14:paraId="4794758E" w14:textId="77777777" w:rsidR="00D1287D" w:rsidRDefault="00D1287D" w:rsidP="002155F5">
            <w:pPr>
              <w:pStyle w:val="Tabelltext"/>
            </w:pPr>
          </w:p>
        </w:tc>
        <w:tc>
          <w:tcPr>
            <w:tcW w:w="1336" w:type="dxa"/>
            <w:vAlign w:val="bottom"/>
          </w:tcPr>
          <w:p w14:paraId="1836DA8C" w14:textId="341AFF17" w:rsidR="00874E3E" w:rsidRDefault="00874E3E" w:rsidP="002155F5">
            <w:pPr>
              <w:pStyle w:val="Tabelltext"/>
              <w:rPr>
                <w:b/>
                <w:bCs/>
              </w:rPr>
            </w:pPr>
            <w:r>
              <w:rPr>
                <w:b/>
                <w:bCs/>
              </w:rPr>
              <w:t>Enligt</w:t>
            </w:r>
          </w:p>
          <w:p w14:paraId="256E9889" w14:textId="0B9CC4CE" w:rsidR="00D1287D" w:rsidRPr="002155F5" w:rsidRDefault="00BE1F82" w:rsidP="002155F5">
            <w:pPr>
              <w:pStyle w:val="Tabelltext"/>
              <w:rPr>
                <w:b/>
                <w:bCs/>
              </w:rPr>
            </w:pPr>
            <w:r w:rsidRPr="002155F5">
              <w:rPr>
                <w:b/>
                <w:bCs/>
              </w:rPr>
              <w:t>gällande lag</w:t>
            </w:r>
          </w:p>
        </w:tc>
        <w:tc>
          <w:tcPr>
            <w:tcW w:w="1336" w:type="dxa"/>
            <w:vAlign w:val="bottom"/>
          </w:tcPr>
          <w:p w14:paraId="5824BBFD" w14:textId="0AB8E382" w:rsidR="00874E3E" w:rsidRDefault="00874E3E" w:rsidP="002155F5">
            <w:pPr>
              <w:pStyle w:val="Tabelltext"/>
              <w:rPr>
                <w:b/>
                <w:bCs/>
              </w:rPr>
            </w:pPr>
            <w:r>
              <w:rPr>
                <w:b/>
                <w:bCs/>
              </w:rPr>
              <w:t>Enligt</w:t>
            </w:r>
          </w:p>
          <w:p w14:paraId="1EDE9258" w14:textId="339E3A06" w:rsidR="00D1287D" w:rsidRPr="002155F5" w:rsidRDefault="00BE1F82" w:rsidP="002155F5">
            <w:pPr>
              <w:pStyle w:val="Tabelltext"/>
              <w:rPr>
                <w:b/>
                <w:bCs/>
              </w:rPr>
            </w:pPr>
            <w:r w:rsidRPr="002155F5">
              <w:rPr>
                <w:b/>
                <w:bCs/>
              </w:rPr>
              <w:t>förslag</w:t>
            </w:r>
          </w:p>
        </w:tc>
        <w:tc>
          <w:tcPr>
            <w:tcW w:w="1336" w:type="dxa"/>
            <w:vAlign w:val="bottom"/>
          </w:tcPr>
          <w:p w14:paraId="0D5BC517" w14:textId="71FCB702" w:rsidR="00874E3E" w:rsidRDefault="00874E3E" w:rsidP="002155F5">
            <w:pPr>
              <w:pStyle w:val="Tabelltext"/>
              <w:rPr>
                <w:b/>
                <w:bCs/>
              </w:rPr>
            </w:pPr>
            <w:r>
              <w:rPr>
                <w:b/>
                <w:bCs/>
              </w:rPr>
              <w:t>Enligt</w:t>
            </w:r>
          </w:p>
          <w:p w14:paraId="5BA0F3E3" w14:textId="12742929" w:rsidR="00D1287D" w:rsidRPr="002155F5" w:rsidRDefault="00BE1F82" w:rsidP="002155F5">
            <w:pPr>
              <w:pStyle w:val="Tabelltext"/>
              <w:rPr>
                <w:b/>
                <w:bCs/>
              </w:rPr>
            </w:pPr>
            <w:r w:rsidRPr="002155F5">
              <w:rPr>
                <w:b/>
                <w:bCs/>
              </w:rPr>
              <w:t>gällande lag</w:t>
            </w:r>
          </w:p>
        </w:tc>
        <w:tc>
          <w:tcPr>
            <w:tcW w:w="1336" w:type="dxa"/>
            <w:vAlign w:val="bottom"/>
          </w:tcPr>
          <w:p w14:paraId="6B1E7907" w14:textId="0705BE31" w:rsidR="00874E3E" w:rsidRDefault="00874E3E" w:rsidP="002155F5">
            <w:pPr>
              <w:pStyle w:val="Tabelltext"/>
              <w:rPr>
                <w:b/>
                <w:bCs/>
              </w:rPr>
            </w:pPr>
            <w:r>
              <w:rPr>
                <w:b/>
                <w:bCs/>
              </w:rPr>
              <w:t>Enligt</w:t>
            </w:r>
          </w:p>
          <w:p w14:paraId="48B934F7" w14:textId="60EC7A58" w:rsidR="00D1287D" w:rsidRPr="002155F5" w:rsidRDefault="00BE1F82" w:rsidP="002155F5">
            <w:pPr>
              <w:pStyle w:val="Tabelltext"/>
              <w:rPr>
                <w:b/>
                <w:bCs/>
              </w:rPr>
            </w:pPr>
            <w:r w:rsidRPr="002155F5">
              <w:rPr>
                <w:b/>
                <w:bCs/>
              </w:rPr>
              <w:t>förslag</w:t>
            </w:r>
          </w:p>
        </w:tc>
      </w:tr>
      <w:tr w:rsidR="00D1287D" w14:paraId="0D26E236" w14:textId="77777777" w:rsidTr="002155F5">
        <w:trPr>
          <w:trHeight w:val="271"/>
        </w:trPr>
        <w:tc>
          <w:tcPr>
            <w:tcW w:w="1336" w:type="dxa"/>
            <w:vAlign w:val="bottom"/>
          </w:tcPr>
          <w:p w14:paraId="026BE045" w14:textId="73F94744" w:rsidR="00D1287D" w:rsidRDefault="00BE1F82" w:rsidP="002155F5">
            <w:pPr>
              <w:pStyle w:val="Tabelltext"/>
            </w:pPr>
            <w:r>
              <w:t>1 decil</w:t>
            </w:r>
          </w:p>
        </w:tc>
        <w:tc>
          <w:tcPr>
            <w:tcW w:w="1336" w:type="dxa"/>
            <w:vAlign w:val="bottom"/>
          </w:tcPr>
          <w:p w14:paraId="7F876080" w14:textId="7FB8B6DA" w:rsidR="00D1287D" w:rsidRDefault="00BE1F82" w:rsidP="002155F5">
            <w:pPr>
              <w:pStyle w:val="Tabelltext"/>
              <w:jc w:val="right"/>
            </w:pPr>
            <w:r>
              <w:t>1 100</w:t>
            </w:r>
          </w:p>
        </w:tc>
        <w:tc>
          <w:tcPr>
            <w:tcW w:w="1336" w:type="dxa"/>
            <w:vAlign w:val="bottom"/>
          </w:tcPr>
          <w:p w14:paraId="078DF981" w14:textId="42D8E291" w:rsidR="00D1287D" w:rsidRDefault="00BE1F82" w:rsidP="002155F5">
            <w:pPr>
              <w:pStyle w:val="Tabelltext"/>
              <w:jc w:val="right"/>
            </w:pPr>
            <w:r>
              <w:t>1 100</w:t>
            </w:r>
          </w:p>
        </w:tc>
        <w:tc>
          <w:tcPr>
            <w:tcW w:w="1336" w:type="dxa"/>
            <w:vAlign w:val="bottom"/>
          </w:tcPr>
          <w:p w14:paraId="6CA97CBD" w14:textId="13693F86" w:rsidR="00D1287D" w:rsidRDefault="00C43681" w:rsidP="002155F5">
            <w:pPr>
              <w:pStyle w:val="Tabelltext"/>
              <w:jc w:val="right"/>
            </w:pPr>
            <w:r>
              <w:t>15</w:t>
            </w:r>
          </w:p>
        </w:tc>
        <w:tc>
          <w:tcPr>
            <w:tcW w:w="1336" w:type="dxa"/>
            <w:vAlign w:val="bottom"/>
          </w:tcPr>
          <w:p w14:paraId="3D234550" w14:textId="5251293D" w:rsidR="00D1287D" w:rsidRDefault="00C43681" w:rsidP="002155F5">
            <w:pPr>
              <w:pStyle w:val="Tabelltext"/>
              <w:jc w:val="right"/>
            </w:pPr>
            <w:r>
              <w:t>8</w:t>
            </w:r>
          </w:p>
        </w:tc>
      </w:tr>
      <w:tr w:rsidR="00D1287D" w14:paraId="15E831F0" w14:textId="77777777" w:rsidTr="002155F5">
        <w:trPr>
          <w:trHeight w:val="271"/>
        </w:trPr>
        <w:tc>
          <w:tcPr>
            <w:tcW w:w="1336" w:type="dxa"/>
            <w:vAlign w:val="bottom"/>
          </w:tcPr>
          <w:p w14:paraId="27C0E46C" w14:textId="2EE44E99" w:rsidR="00D1287D" w:rsidRDefault="00BE1F82" w:rsidP="002155F5">
            <w:pPr>
              <w:pStyle w:val="Tabelltext"/>
            </w:pPr>
            <w:r>
              <w:t>2 decil</w:t>
            </w:r>
          </w:p>
        </w:tc>
        <w:tc>
          <w:tcPr>
            <w:tcW w:w="1336" w:type="dxa"/>
            <w:vAlign w:val="bottom"/>
          </w:tcPr>
          <w:p w14:paraId="2E07BC8E" w14:textId="501D4CA7" w:rsidR="00D1287D" w:rsidRDefault="00BE1F82" w:rsidP="002155F5">
            <w:pPr>
              <w:pStyle w:val="Tabelltext"/>
              <w:jc w:val="right"/>
            </w:pPr>
            <w:r>
              <w:t>1 100</w:t>
            </w:r>
          </w:p>
        </w:tc>
        <w:tc>
          <w:tcPr>
            <w:tcW w:w="1336" w:type="dxa"/>
            <w:vAlign w:val="bottom"/>
          </w:tcPr>
          <w:p w14:paraId="79D96BB3" w14:textId="152029C3" w:rsidR="00D1287D" w:rsidRDefault="00BE1F82" w:rsidP="002155F5">
            <w:pPr>
              <w:pStyle w:val="Tabelltext"/>
              <w:jc w:val="right"/>
            </w:pPr>
            <w:r>
              <w:t>1 200</w:t>
            </w:r>
          </w:p>
        </w:tc>
        <w:tc>
          <w:tcPr>
            <w:tcW w:w="1336" w:type="dxa"/>
            <w:vAlign w:val="bottom"/>
          </w:tcPr>
          <w:p w14:paraId="2505A33F" w14:textId="44809E56" w:rsidR="00D1287D" w:rsidRDefault="00C43681" w:rsidP="002155F5">
            <w:pPr>
              <w:pStyle w:val="Tabelltext"/>
              <w:jc w:val="right"/>
            </w:pPr>
            <w:r>
              <w:t>13</w:t>
            </w:r>
          </w:p>
        </w:tc>
        <w:tc>
          <w:tcPr>
            <w:tcW w:w="1336" w:type="dxa"/>
            <w:vAlign w:val="bottom"/>
          </w:tcPr>
          <w:p w14:paraId="64546D0B" w14:textId="0EA7DDDF" w:rsidR="00D1287D" w:rsidRDefault="00C43681" w:rsidP="002155F5">
            <w:pPr>
              <w:pStyle w:val="Tabelltext"/>
              <w:jc w:val="right"/>
            </w:pPr>
            <w:r>
              <w:t>8</w:t>
            </w:r>
          </w:p>
        </w:tc>
      </w:tr>
      <w:tr w:rsidR="00D1287D" w14:paraId="6300C8E3" w14:textId="77777777" w:rsidTr="002155F5">
        <w:trPr>
          <w:trHeight w:val="271"/>
        </w:trPr>
        <w:tc>
          <w:tcPr>
            <w:tcW w:w="1336" w:type="dxa"/>
            <w:vAlign w:val="bottom"/>
          </w:tcPr>
          <w:p w14:paraId="07D09018" w14:textId="57C898FF" w:rsidR="00D1287D" w:rsidRDefault="00BE1F82" w:rsidP="002155F5">
            <w:pPr>
              <w:pStyle w:val="Tabelltext"/>
            </w:pPr>
            <w:r>
              <w:t>3 decil</w:t>
            </w:r>
          </w:p>
        </w:tc>
        <w:tc>
          <w:tcPr>
            <w:tcW w:w="1336" w:type="dxa"/>
            <w:vAlign w:val="bottom"/>
          </w:tcPr>
          <w:p w14:paraId="67349C44" w14:textId="0B5C80A5" w:rsidR="00D1287D" w:rsidRDefault="00BE1F82" w:rsidP="002155F5">
            <w:pPr>
              <w:pStyle w:val="Tabelltext"/>
              <w:jc w:val="right"/>
            </w:pPr>
            <w:r>
              <w:t>1 300</w:t>
            </w:r>
          </w:p>
        </w:tc>
        <w:tc>
          <w:tcPr>
            <w:tcW w:w="1336" w:type="dxa"/>
            <w:vAlign w:val="bottom"/>
          </w:tcPr>
          <w:p w14:paraId="685BDBB4" w14:textId="4C8ED947" w:rsidR="00D1287D" w:rsidRDefault="00BE1F82" w:rsidP="002155F5">
            <w:pPr>
              <w:pStyle w:val="Tabelltext"/>
              <w:jc w:val="right"/>
            </w:pPr>
            <w:r>
              <w:t>1 450</w:t>
            </w:r>
          </w:p>
        </w:tc>
        <w:tc>
          <w:tcPr>
            <w:tcW w:w="1336" w:type="dxa"/>
            <w:vAlign w:val="bottom"/>
          </w:tcPr>
          <w:p w14:paraId="27088406" w14:textId="628D2BA8" w:rsidR="00D1287D" w:rsidRDefault="00C43681" w:rsidP="002155F5">
            <w:pPr>
              <w:pStyle w:val="Tabelltext"/>
              <w:jc w:val="right"/>
            </w:pPr>
            <w:r>
              <w:t>13</w:t>
            </w:r>
          </w:p>
        </w:tc>
        <w:tc>
          <w:tcPr>
            <w:tcW w:w="1336" w:type="dxa"/>
            <w:vAlign w:val="bottom"/>
          </w:tcPr>
          <w:p w14:paraId="0CBDA8C8" w14:textId="2566E24D" w:rsidR="00D1287D" w:rsidRDefault="00C43681" w:rsidP="002155F5">
            <w:pPr>
              <w:pStyle w:val="Tabelltext"/>
              <w:jc w:val="right"/>
            </w:pPr>
            <w:r>
              <w:t>10</w:t>
            </w:r>
          </w:p>
        </w:tc>
      </w:tr>
      <w:tr w:rsidR="00D1287D" w14:paraId="32A7741D" w14:textId="77777777" w:rsidTr="002155F5">
        <w:trPr>
          <w:trHeight w:val="271"/>
        </w:trPr>
        <w:tc>
          <w:tcPr>
            <w:tcW w:w="1336" w:type="dxa"/>
            <w:vAlign w:val="bottom"/>
          </w:tcPr>
          <w:p w14:paraId="30278A34" w14:textId="7F6DFF39" w:rsidR="00D1287D" w:rsidRDefault="00BE1F82" w:rsidP="002155F5">
            <w:pPr>
              <w:pStyle w:val="Tabelltext"/>
            </w:pPr>
            <w:r>
              <w:t>4 decil</w:t>
            </w:r>
          </w:p>
        </w:tc>
        <w:tc>
          <w:tcPr>
            <w:tcW w:w="1336" w:type="dxa"/>
            <w:vAlign w:val="bottom"/>
          </w:tcPr>
          <w:p w14:paraId="77EDA948" w14:textId="7B12FED0" w:rsidR="00D1287D" w:rsidRDefault="00BE1F82" w:rsidP="002155F5">
            <w:pPr>
              <w:pStyle w:val="Tabelltext"/>
              <w:jc w:val="right"/>
            </w:pPr>
            <w:r>
              <w:t>1 200</w:t>
            </w:r>
          </w:p>
        </w:tc>
        <w:tc>
          <w:tcPr>
            <w:tcW w:w="1336" w:type="dxa"/>
            <w:vAlign w:val="bottom"/>
          </w:tcPr>
          <w:p w14:paraId="7384186D" w14:textId="4D2B9112" w:rsidR="00D1287D" w:rsidRDefault="00BE1F82" w:rsidP="002155F5">
            <w:pPr>
              <w:pStyle w:val="Tabelltext"/>
              <w:jc w:val="right"/>
            </w:pPr>
            <w:r>
              <w:t>1 550</w:t>
            </w:r>
          </w:p>
        </w:tc>
        <w:tc>
          <w:tcPr>
            <w:tcW w:w="1336" w:type="dxa"/>
            <w:vAlign w:val="bottom"/>
          </w:tcPr>
          <w:p w14:paraId="2DAA15BE" w14:textId="4D9D34FB" w:rsidR="00D1287D" w:rsidRDefault="00C43681" w:rsidP="002155F5">
            <w:pPr>
              <w:pStyle w:val="Tabelltext"/>
              <w:jc w:val="right"/>
            </w:pPr>
            <w:r>
              <w:t>10</w:t>
            </w:r>
          </w:p>
        </w:tc>
        <w:tc>
          <w:tcPr>
            <w:tcW w:w="1336" w:type="dxa"/>
            <w:vAlign w:val="bottom"/>
          </w:tcPr>
          <w:p w14:paraId="7110F582" w14:textId="770469A7" w:rsidR="00D1287D" w:rsidRDefault="00C43681" w:rsidP="002155F5">
            <w:pPr>
              <w:pStyle w:val="Tabelltext"/>
              <w:jc w:val="right"/>
            </w:pPr>
            <w:r>
              <w:t>9</w:t>
            </w:r>
          </w:p>
        </w:tc>
      </w:tr>
      <w:tr w:rsidR="00D1287D" w14:paraId="10B7879C" w14:textId="77777777" w:rsidTr="002155F5">
        <w:trPr>
          <w:trHeight w:val="271"/>
        </w:trPr>
        <w:tc>
          <w:tcPr>
            <w:tcW w:w="1336" w:type="dxa"/>
            <w:vAlign w:val="bottom"/>
          </w:tcPr>
          <w:p w14:paraId="5D1E47FD" w14:textId="7FE8987A" w:rsidR="00D1287D" w:rsidRDefault="00BE1F82" w:rsidP="002155F5">
            <w:pPr>
              <w:pStyle w:val="Tabelltext"/>
            </w:pPr>
            <w:r>
              <w:t>5 decil</w:t>
            </w:r>
          </w:p>
        </w:tc>
        <w:tc>
          <w:tcPr>
            <w:tcW w:w="1336" w:type="dxa"/>
            <w:vAlign w:val="bottom"/>
          </w:tcPr>
          <w:p w14:paraId="6DBC8B60" w14:textId="1E749F61" w:rsidR="00D1287D" w:rsidRDefault="00BE1F82" w:rsidP="002155F5">
            <w:pPr>
              <w:pStyle w:val="Tabelltext"/>
              <w:jc w:val="right"/>
            </w:pPr>
            <w:r>
              <w:t>1 100</w:t>
            </w:r>
          </w:p>
        </w:tc>
        <w:tc>
          <w:tcPr>
            <w:tcW w:w="1336" w:type="dxa"/>
            <w:vAlign w:val="bottom"/>
          </w:tcPr>
          <w:p w14:paraId="753BD33D" w14:textId="1F4F77EA" w:rsidR="00D1287D" w:rsidRDefault="00BE1F82" w:rsidP="002155F5">
            <w:pPr>
              <w:pStyle w:val="Tabelltext"/>
              <w:jc w:val="right"/>
            </w:pPr>
            <w:r>
              <w:t>1 900</w:t>
            </w:r>
          </w:p>
        </w:tc>
        <w:tc>
          <w:tcPr>
            <w:tcW w:w="1336" w:type="dxa"/>
            <w:vAlign w:val="bottom"/>
          </w:tcPr>
          <w:p w14:paraId="1323C49F" w14:textId="489387AF" w:rsidR="00D1287D" w:rsidRDefault="00C43681" w:rsidP="002155F5">
            <w:pPr>
              <w:pStyle w:val="Tabelltext"/>
              <w:jc w:val="right"/>
            </w:pPr>
            <w:r>
              <w:t>10</w:t>
            </w:r>
          </w:p>
        </w:tc>
        <w:tc>
          <w:tcPr>
            <w:tcW w:w="1336" w:type="dxa"/>
            <w:vAlign w:val="bottom"/>
          </w:tcPr>
          <w:p w14:paraId="5E3ACC2B" w14:textId="2770A0AD" w:rsidR="00D1287D" w:rsidRDefault="00C43681" w:rsidP="002155F5">
            <w:pPr>
              <w:pStyle w:val="Tabelltext"/>
              <w:jc w:val="right"/>
            </w:pPr>
            <w:r>
              <w:t>11</w:t>
            </w:r>
          </w:p>
        </w:tc>
      </w:tr>
      <w:tr w:rsidR="00D1287D" w14:paraId="6278A56F" w14:textId="77777777" w:rsidTr="002155F5">
        <w:trPr>
          <w:trHeight w:val="271"/>
        </w:trPr>
        <w:tc>
          <w:tcPr>
            <w:tcW w:w="1336" w:type="dxa"/>
            <w:vAlign w:val="bottom"/>
          </w:tcPr>
          <w:p w14:paraId="6BDA140E" w14:textId="2B2A14B7" w:rsidR="00D1287D" w:rsidRDefault="00BE1F82" w:rsidP="002155F5">
            <w:pPr>
              <w:pStyle w:val="Tabelltext"/>
            </w:pPr>
            <w:r>
              <w:t>6 decil</w:t>
            </w:r>
          </w:p>
        </w:tc>
        <w:tc>
          <w:tcPr>
            <w:tcW w:w="1336" w:type="dxa"/>
            <w:vAlign w:val="bottom"/>
          </w:tcPr>
          <w:p w14:paraId="2840599E" w14:textId="28EC92F4" w:rsidR="00D1287D" w:rsidRDefault="00BE1F82" w:rsidP="002155F5">
            <w:pPr>
              <w:pStyle w:val="Tabelltext"/>
              <w:jc w:val="right"/>
            </w:pPr>
            <w:r>
              <w:t>1 000</w:t>
            </w:r>
          </w:p>
        </w:tc>
        <w:tc>
          <w:tcPr>
            <w:tcW w:w="1336" w:type="dxa"/>
            <w:vAlign w:val="bottom"/>
          </w:tcPr>
          <w:p w14:paraId="47BAD80B" w14:textId="5B8AF9C1" w:rsidR="00D1287D" w:rsidRDefault="00BE1F82" w:rsidP="002155F5">
            <w:pPr>
              <w:pStyle w:val="Tabelltext"/>
              <w:jc w:val="right"/>
            </w:pPr>
            <w:r>
              <w:t>2 300</w:t>
            </w:r>
          </w:p>
        </w:tc>
        <w:tc>
          <w:tcPr>
            <w:tcW w:w="1336" w:type="dxa"/>
            <w:vAlign w:val="bottom"/>
          </w:tcPr>
          <w:p w14:paraId="65FEE912" w14:textId="5EC9223C" w:rsidR="00D1287D" w:rsidRDefault="00C43681" w:rsidP="002155F5">
            <w:pPr>
              <w:pStyle w:val="Tabelltext"/>
              <w:jc w:val="right"/>
            </w:pPr>
            <w:r>
              <w:t>9</w:t>
            </w:r>
          </w:p>
        </w:tc>
        <w:tc>
          <w:tcPr>
            <w:tcW w:w="1336" w:type="dxa"/>
            <w:vAlign w:val="bottom"/>
          </w:tcPr>
          <w:p w14:paraId="7F4057E3" w14:textId="32E4B103" w:rsidR="00D1287D" w:rsidRDefault="00C43681" w:rsidP="002155F5">
            <w:pPr>
              <w:pStyle w:val="Tabelltext"/>
              <w:jc w:val="right"/>
            </w:pPr>
            <w:r>
              <w:t>12</w:t>
            </w:r>
          </w:p>
        </w:tc>
      </w:tr>
      <w:tr w:rsidR="00D1287D" w14:paraId="4D2D4469" w14:textId="77777777" w:rsidTr="002155F5">
        <w:trPr>
          <w:trHeight w:val="271"/>
        </w:trPr>
        <w:tc>
          <w:tcPr>
            <w:tcW w:w="1336" w:type="dxa"/>
            <w:vAlign w:val="bottom"/>
          </w:tcPr>
          <w:p w14:paraId="0EF84064" w14:textId="196500DD" w:rsidR="00D1287D" w:rsidRDefault="00BE1F82" w:rsidP="002155F5">
            <w:pPr>
              <w:pStyle w:val="Tabelltext"/>
            </w:pPr>
            <w:r>
              <w:t>7 decil</w:t>
            </w:r>
          </w:p>
        </w:tc>
        <w:tc>
          <w:tcPr>
            <w:tcW w:w="1336" w:type="dxa"/>
            <w:vAlign w:val="bottom"/>
          </w:tcPr>
          <w:p w14:paraId="64CAE2EA" w14:textId="6022816A" w:rsidR="00D1287D" w:rsidRDefault="00BE1F82" w:rsidP="002155F5">
            <w:pPr>
              <w:pStyle w:val="Tabelltext"/>
              <w:jc w:val="right"/>
            </w:pPr>
            <w:r>
              <w:t>1 000</w:t>
            </w:r>
          </w:p>
        </w:tc>
        <w:tc>
          <w:tcPr>
            <w:tcW w:w="1336" w:type="dxa"/>
            <w:vAlign w:val="bottom"/>
          </w:tcPr>
          <w:p w14:paraId="567019C0" w14:textId="683BD235" w:rsidR="00D1287D" w:rsidRDefault="00BE1F82" w:rsidP="002155F5">
            <w:pPr>
              <w:pStyle w:val="Tabelltext"/>
              <w:jc w:val="right"/>
            </w:pPr>
            <w:r>
              <w:t>2 600</w:t>
            </w:r>
          </w:p>
        </w:tc>
        <w:tc>
          <w:tcPr>
            <w:tcW w:w="1336" w:type="dxa"/>
            <w:vAlign w:val="bottom"/>
          </w:tcPr>
          <w:p w14:paraId="2598C66D" w14:textId="65333395" w:rsidR="00D1287D" w:rsidRDefault="00C43681" w:rsidP="002155F5">
            <w:pPr>
              <w:pStyle w:val="Tabelltext"/>
              <w:jc w:val="right"/>
            </w:pPr>
            <w:r>
              <w:t>9</w:t>
            </w:r>
          </w:p>
        </w:tc>
        <w:tc>
          <w:tcPr>
            <w:tcW w:w="1336" w:type="dxa"/>
            <w:vAlign w:val="bottom"/>
          </w:tcPr>
          <w:p w14:paraId="7100F7BF" w14:textId="43AB8F95" w:rsidR="00D1287D" w:rsidRDefault="00C43681" w:rsidP="002155F5">
            <w:pPr>
              <w:pStyle w:val="Tabelltext"/>
              <w:jc w:val="right"/>
            </w:pPr>
            <w:r>
              <w:t>12</w:t>
            </w:r>
          </w:p>
        </w:tc>
      </w:tr>
      <w:tr w:rsidR="00D1287D" w14:paraId="227C28E3" w14:textId="77777777" w:rsidTr="002155F5">
        <w:trPr>
          <w:trHeight w:val="271"/>
        </w:trPr>
        <w:tc>
          <w:tcPr>
            <w:tcW w:w="1336" w:type="dxa"/>
            <w:vAlign w:val="bottom"/>
          </w:tcPr>
          <w:p w14:paraId="2C26104C" w14:textId="75E4A9F0" w:rsidR="00D1287D" w:rsidRDefault="00BE1F82" w:rsidP="002155F5">
            <w:pPr>
              <w:pStyle w:val="Tabelltext"/>
            </w:pPr>
            <w:r>
              <w:t>8 decil</w:t>
            </w:r>
          </w:p>
        </w:tc>
        <w:tc>
          <w:tcPr>
            <w:tcW w:w="1336" w:type="dxa"/>
            <w:vAlign w:val="bottom"/>
          </w:tcPr>
          <w:p w14:paraId="4B4C0B46" w14:textId="57397574" w:rsidR="00D1287D" w:rsidRDefault="00BE1F82" w:rsidP="002155F5">
            <w:pPr>
              <w:pStyle w:val="Tabelltext"/>
              <w:jc w:val="right"/>
            </w:pPr>
            <w:r>
              <w:t>900</w:t>
            </w:r>
          </w:p>
        </w:tc>
        <w:tc>
          <w:tcPr>
            <w:tcW w:w="1336" w:type="dxa"/>
            <w:vAlign w:val="bottom"/>
          </w:tcPr>
          <w:p w14:paraId="3F596A33" w14:textId="14C7EFF6" w:rsidR="00D1287D" w:rsidRDefault="00BE1F82" w:rsidP="002155F5">
            <w:pPr>
              <w:pStyle w:val="Tabelltext"/>
              <w:jc w:val="right"/>
            </w:pPr>
            <w:r>
              <w:t>2 700</w:t>
            </w:r>
          </w:p>
        </w:tc>
        <w:tc>
          <w:tcPr>
            <w:tcW w:w="1336" w:type="dxa"/>
            <w:vAlign w:val="bottom"/>
          </w:tcPr>
          <w:p w14:paraId="644C0456" w14:textId="784EC885" w:rsidR="00D1287D" w:rsidRDefault="00C43681" w:rsidP="002155F5">
            <w:pPr>
              <w:pStyle w:val="Tabelltext"/>
              <w:jc w:val="right"/>
            </w:pPr>
            <w:r>
              <w:t>8</w:t>
            </w:r>
          </w:p>
        </w:tc>
        <w:tc>
          <w:tcPr>
            <w:tcW w:w="1336" w:type="dxa"/>
            <w:vAlign w:val="bottom"/>
          </w:tcPr>
          <w:p w14:paraId="534F40F7" w14:textId="06DF6139" w:rsidR="00D1287D" w:rsidRDefault="00C43681" w:rsidP="002155F5">
            <w:pPr>
              <w:pStyle w:val="Tabelltext"/>
              <w:jc w:val="right"/>
            </w:pPr>
            <w:r>
              <w:t>11</w:t>
            </w:r>
          </w:p>
        </w:tc>
      </w:tr>
      <w:tr w:rsidR="00D1287D" w14:paraId="160EDCCB" w14:textId="77777777" w:rsidTr="002155F5">
        <w:trPr>
          <w:trHeight w:val="271"/>
        </w:trPr>
        <w:tc>
          <w:tcPr>
            <w:tcW w:w="1336" w:type="dxa"/>
            <w:vAlign w:val="bottom"/>
          </w:tcPr>
          <w:p w14:paraId="4E198141" w14:textId="25D8B214" w:rsidR="00D1287D" w:rsidRDefault="00BE1F82" w:rsidP="002155F5">
            <w:pPr>
              <w:pStyle w:val="Tabelltext"/>
            </w:pPr>
            <w:r>
              <w:t>9 decil</w:t>
            </w:r>
          </w:p>
        </w:tc>
        <w:tc>
          <w:tcPr>
            <w:tcW w:w="1336" w:type="dxa"/>
            <w:vAlign w:val="bottom"/>
          </w:tcPr>
          <w:p w14:paraId="43807760" w14:textId="0C6A313E" w:rsidR="00D1287D" w:rsidRDefault="00BE1F82" w:rsidP="002155F5">
            <w:pPr>
              <w:pStyle w:val="Tabelltext"/>
              <w:jc w:val="right"/>
            </w:pPr>
            <w:r>
              <w:t>850</w:t>
            </w:r>
          </w:p>
        </w:tc>
        <w:tc>
          <w:tcPr>
            <w:tcW w:w="1336" w:type="dxa"/>
            <w:vAlign w:val="bottom"/>
          </w:tcPr>
          <w:p w14:paraId="327072C5" w14:textId="6B7C5DBA" w:rsidR="00D1287D" w:rsidRDefault="00F4138F" w:rsidP="002155F5">
            <w:pPr>
              <w:pStyle w:val="Tabelltext"/>
              <w:jc w:val="right"/>
            </w:pPr>
            <w:r>
              <w:t>2 900</w:t>
            </w:r>
          </w:p>
        </w:tc>
        <w:tc>
          <w:tcPr>
            <w:tcW w:w="1336" w:type="dxa"/>
            <w:vAlign w:val="bottom"/>
          </w:tcPr>
          <w:p w14:paraId="1EEFC1B1" w14:textId="016F9E04" w:rsidR="00D1287D" w:rsidRDefault="00C43681" w:rsidP="002155F5">
            <w:pPr>
              <w:pStyle w:val="Tabelltext"/>
              <w:jc w:val="right"/>
            </w:pPr>
            <w:r>
              <w:t>7</w:t>
            </w:r>
          </w:p>
        </w:tc>
        <w:tc>
          <w:tcPr>
            <w:tcW w:w="1336" w:type="dxa"/>
            <w:vAlign w:val="bottom"/>
          </w:tcPr>
          <w:p w14:paraId="6EE659C5" w14:textId="2221D46F" w:rsidR="00D1287D" w:rsidRDefault="00C43681" w:rsidP="002155F5">
            <w:pPr>
              <w:pStyle w:val="Tabelltext"/>
              <w:jc w:val="right"/>
            </w:pPr>
            <w:r>
              <w:t>11</w:t>
            </w:r>
          </w:p>
        </w:tc>
      </w:tr>
      <w:tr w:rsidR="00D1287D" w14:paraId="4B2508E3" w14:textId="77777777" w:rsidTr="002155F5">
        <w:trPr>
          <w:trHeight w:val="271"/>
        </w:trPr>
        <w:tc>
          <w:tcPr>
            <w:tcW w:w="1336" w:type="dxa"/>
            <w:vAlign w:val="bottom"/>
          </w:tcPr>
          <w:p w14:paraId="47F62DF4" w14:textId="5F216C46" w:rsidR="00D1287D" w:rsidRDefault="00BE1F82" w:rsidP="002155F5">
            <w:pPr>
              <w:pStyle w:val="Tabelltext"/>
            </w:pPr>
            <w:r>
              <w:t>10 decil</w:t>
            </w:r>
          </w:p>
        </w:tc>
        <w:tc>
          <w:tcPr>
            <w:tcW w:w="1336" w:type="dxa"/>
            <w:vAlign w:val="bottom"/>
          </w:tcPr>
          <w:p w14:paraId="4A4DB398" w14:textId="2C84083F" w:rsidR="00D1287D" w:rsidRDefault="00BE1F82" w:rsidP="002155F5">
            <w:pPr>
              <w:pStyle w:val="Tabelltext"/>
              <w:jc w:val="right"/>
            </w:pPr>
            <w:r>
              <w:t>700</w:t>
            </w:r>
          </w:p>
        </w:tc>
        <w:tc>
          <w:tcPr>
            <w:tcW w:w="1336" w:type="dxa"/>
            <w:vAlign w:val="bottom"/>
          </w:tcPr>
          <w:p w14:paraId="21EFB2C6" w14:textId="726528AE" w:rsidR="00D1287D" w:rsidRDefault="00F4138F" w:rsidP="002155F5">
            <w:pPr>
              <w:pStyle w:val="Tabelltext"/>
              <w:jc w:val="right"/>
            </w:pPr>
            <w:r>
              <w:t>2 100</w:t>
            </w:r>
          </w:p>
        </w:tc>
        <w:tc>
          <w:tcPr>
            <w:tcW w:w="1336" w:type="dxa"/>
            <w:vAlign w:val="bottom"/>
          </w:tcPr>
          <w:p w14:paraId="03AA26A2" w14:textId="320DB122" w:rsidR="00D1287D" w:rsidRDefault="00C43681" w:rsidP="002155F5">
            <w:pPr>
              <w:pStyle w:val="Tabelltext"/>
              <w:jc w:val="right"/>
            </w:pPr>
            <w:r>
              <w:t>7</w:t>
            </w:r>
          </w:p>
        </w:tc>
        <w:tc>
          <w:tcPr>
            <w:tcW w:w="1336" w:type="dxa"/>
            <w:vAlign w:val="bottom"/>
          </w:tcPr>
          <w:p w14:paraId="3198BA04" w14:textId="42A17257" w:rsidR="00D1287D" w:rsidRDefault="00C43681" w:rsidP="002155F5">
            <w:pPr>
              <w:pStyle w:val="Tabelltext"/>
              <w:jc w:val="right"/>
            </w:pPr>
            <w:r>
              <w:t>8</w:t>
            </w:r>
          </w:p>
        </w:tc>
      </w:tr>
    </w:tbl>
    <w:p w14:paraId="7E2D190E" w14:textId="59A52176" w:rsidR="00E24DEA" w:rsidRDefault="00E24DEA" w:rsidP="00C2051C">
      <w:pPr>
        <w:pStyle w:val="ANormal"/>
      </w:pPr>
    </w:p>
    <w:p w14:paraId="6853ED95" w14:textId="35F049C0" w:rsidR="00BE2194" w:rsidRDefault="00BE2194" w:rsidP="00BE2194">
      <w:pPr>
        <w:pStyle w:val="RubrikD"/>
      </w:pPr>
      <w:r>
        <w:t>Ändringen av hushållsavdraget</w:t>
      </w:r>
    </w:p>
    <w:p w14:paraId="5E4A1F91" w14:textId="77777777" w:rsidR="00BE2194" w:rsidRPr="00BE2194" w:rsidRDefault="00BE2194" w:rsidP="00BE2194">
      <w:pPr>
        <w:pStyle w:val="Rubrikmellanrum"/>
      </w:pPr>
    </w:p>
    <w:p w14:paraId="0DEF5755" w14:textId="69ACA86B" w:rsidR="001007DC" w:rsidRDefault="001007DC" w:rsidP="001007DC">
      <w:pPr>
        <w:pStyle w:val="ANormal"/>
      </w:pPr>
      <w:r>
        <w:t xml:space="preserve">När det gäller de föreslagna ändringarna av hushållsavdraget är det värt att </w:t>
      </w:r>
      <w:r w:rsidR="00E21C40">
        <w:t>notera</w:t>
      </w:r>
      <w:r>
        <w:t xml:space="preserve"> att detta </w:t>
      </w:r>
      <w:r w:rsidR="00E21C40">
        <w:t>lag</w:t>
      </w:r>
      <w:r>
        <w:t>förslag enbart rör den del av avdraget som görs från kommunalskatten. Primärt görs hushållsavdraget från statsskatten och regler</w:t>
      </w:r>
      <w:r w:rsidR="00E21C40">
        <w:t>n</w:t>
      </w:r>
      <w:r>
        <w:t>a i inkomstskattelagen</w:t>
      </w:r>
      <w:r w:rsidR="00E21C40">
        <w:t xml:space="preserve"> tillämpas</w:t>
      </w:r>
      <w:r>
        <w:t xml:space="preserve"> </w:t>
      </w:r>
      <w:r w:rsidR="00E21C40">
        <w:t>till den delen på Åland oberoende av lagtingets lagstiftningsåtgärder.</w:t>
      </w:r>
    </w:p>
    <w:p w14:paraId="29E1A8CC" w14:textId="302BC2C9" w:rsidR="003C312C" w:rsidRDefault="001007DC" w:rsidP="00C2051C">
      <w:pPr>
        <w:pStyle w:val="ANormal"/>
      </w:pPr>
      <w:r>
        <w:tab/>
      </w:r>
      <w:r w:rsidR="003C312C">
        <w:t>Det särskilda hushållsavdraget på basis av elenergiräkningar innebär större avdragsmöjligheter för skattskyldiga med höga elkostnader under årets fyra första månader. Enligt RP 204/2022</w:t>
      </w:r>
      <w:r w:rsidR="004D3F5E">
        <w:t xml:space="preserve"> uppskattas att avdraget i euro räknat till 96</w:t>
      </w:r>
      <w:r w:rsidR="0059641A">
        <w:t xml:space="preserve"> </w:t>
      </w:r>
      <w:r w:rsidR="004D3F5E">
        <w:t xml:space="preserve">procent riktar sig till eluppvärmning. </w:t>
      </w:r>
      <w:r w:rsidR="00E21C40">
        <w:t xml:space="preserve">På Åland </w:t>
      </w:r>
      <w:r w:rsidR="003C312C">
        <w:t xml:space="preserve">har omkring en tredjedel av bostadsbyggnaderna el som </w:t>
      </w:r>
      <w:r w:rsidR="004D3F5E">
        <w:t xml:space="preserve">huvudsaklig </w:t>
      </w:r>
      <w:r w:rsidR="003C312C">
        <w:t>värmekälla</w:t>
      </w:r>
      <w:r w:rsidR="004D3F5E">
        <w:t xml:space="preserve"> (Statistisk årsbok 2022)</w:t>
      </w:r>
      <w:r w:rsidR="003C312C">
        <w:t>.</w:t>
      </w:r>
    </w:p>
    <w:p w14:paraId="5155FE12" w14:textId="1AC899C0" w:rsidR="00262F90" w:rsidRDefault="00701B8C" w:rsidP="00262F90">
      <w:pPr>
        <w:pStyle w:val="ANormal"/>
      </w:pPr>
      <w:r>
        <w:tab/>
        <w:t>Enligt bedömningen i den nämnda propositionen</w:t>
      </w:r>
      <w:r w:rsidRPr="00701B8C">
        <w:t xml:space="preserve"> </w:t>
      </w:r>
      <w:r>
        <w:t xml:space="preserve">beräknas </w:t>
      </w:r>
      <w:r w:rsidR="00A23791">
        <w:t>det särskilda hushålls</w:t>
      </w:r>
      <w:r>
        <w:t xml:space="preserve">avdraget </w:t>
      </w:r>
      <w:r w:rsidR="00A23791">
        <w:t xml:space="preserve">på basis av elenergiräkningar </w:t>
      </w:r>
      <w:r w:rsidR="00262F90">
        <w:t>uppgå till i genomsnitt cirk</w:t>
      </w:r>
      <w:r w:rsidR="00A23791">
        <w:t>a</w:t>
      </w:r>
      <w:r w:rsidR="00262F90">
        <w:t xml:space="preserve"> 1</w:t>
      </w:r>
      <w:r w:rsidR="0059641A">
        <w:t> </w:t>
      </w:r>
      <w:r w:rsidR="00262F90">
        <w:t>000 euro per hushåll. Bland</w:t>
      </w:r>
      <w:r w:rsidR="00F67E7F">
        <w:t xml:space="preserve"> </w:t>
      </w:r>
      <w:r w:rsidR="00262F90">
        <w:t xml:space="preserve">dem som </w:t>
      </w:r>
      <w:r>
        <w:t>kan dra nytta av</w:t>
      </w:r>
      <w:r w:rsidR="00262F90">
        <w:t xml:space="preserve"> avdraget bedöms det finnas mycket få hushåll i de lägsta inkomstdecilerna,</w:t>
      </w:r>
      <w:r w:rsidR="00F67E7F">
        <w:t xml:space="preserve"> </w:t>
      </w:r>
      <w:r w:rsidR="00262F90">
        <w:t xml:space="preserve">eftersom det krävs </w:t>
      </w:r>
      <w:r>
        <w:t xml:space="preserve">skatter till </w:t>
      </w:r>
      <w:r w:rsidR="00262F90">
        <w:t xml:space="preserve">tillräckligt </w:t>
      </w:r>
      <w:r>
        <w:t>höga belopp</w:t>
      </w:r>
      <w:r w:rsidR="00262F90">
        <w:t xml:space="preserve"> för att avdraget ska kunna utnyttjas. Största</w:t>
      </w:r>
      <w:r w:rsidR="00F67E7F">
        <w:t xml:space="preserve"> </w:t>
      </w:r>
      <w:r w:rsidR="00262F90">
        <w:t>delen av avdraget bedöms vara till nytta för hushåll i de högsta decilerna, eftersom det uppskattas att det i dem finns flest</w:t>
      </w:r>
      <w:r>
        <w:t xml:space="preserve"> antal</w:t>
      </w:r>
      <w:r w:rsidR="00262F90">
        <w:t xml:space="preserve"> hushåll som omfattas av avdraget.</w:t>
      </w:r>
      <w:r>
        <w:t xml:space="preserve"> Dessa bedömningar har inte gjorts specifikt för Åland utan gäller för hela Finland.</w:t>
      </w:r>
    </w:p>
    <w:p w14:paraId="5D1DE7ED" w14:textId="1CBF2455" w:rsidR="00262F90" w:rsidRDefault="00F67E7F" w:rsidP="00262F90">
      <w:pPr>
        <w:pStyle w:val="ANormal"/>
      </w:pPr>
      <w:r>
        <w:lastRenderedPageBreak/>
        <w:tab/>
      </w:r>
      <w:r w:rsidR="00262F90">
        <w:t>Hushållsavdrag är ett avdrag från skatt</w:t>
      </w:r>
      <w:r w:rsidR="00701B8C">
        <w:t>en</w:t>
      </w:r>
      <w:r w:rsidR="00262F90">
        <w:t xml:space="preserve">, </w:t>
      </w:r>
      <w:r w:rsidR="00701B8C">
        <w:t xml:space="preserve">i första hand från statsskatten och i andra hand från kommunalskatten. </w:t>
      </w:r>
      <w:r w:rsidR="00262F90">
        <w:t>Avdragets belopp i euro</w:t>
      </w:r>
      <w:r>
        <w:t xml:space="preserve"> </w:t>
      </w:r>
      <w:r w:rsidR="00262F90">
        <w:t xml:space="preserve">motsvarar således den nytta i euro som den skattskyldige får genom avdraget. </w:t>
      </w:r>
      <w:r w:rsidR="00E21C40">
        <w:t xml:space="preserve">Den som har </w:t>
      </w:r>
      <w:proofErr w:type="gramStart"/>
      <w:r w:rsidR="00E21C40">
        <w:t>låg inkomst</w:t>
      </w:r>
      <w:proofErr w:type="gramEnd"/>
      <w:r w:rsidR="00E21C40">
        <w:t xml:space="preserve"> och därmed låg skatt</w:t>
      </w:r>
      <w:r w:rsidR="004A3508">
        <w:t xml:space="preserve"> kommer därmed inte att kunna dra nytta av avdraget. Här kan nämnas att </w:t>
      </w:r>
      <w:r w:rsidR="00262F90">
        <w:t xml:space="preserve">hushåll som inte har möjlighet att utnyttja </w:t>
      </w:r>
      <w:r w:rsidR="00A23791">
        <w:t>det särskilda hushålls</w:t>
      </w:r>
      <w:r w:rsidR="00262F90">
        <w:t xml:space="preserve">avdraget </w:t>
      </w:r>
      <w:r w:rsidR="00A23791">
        <w:t xml:space="preserve">på basis av elenergiräkningar </w:t>
      </w:r>
      <w:r w:rsidR="00262F90">
        <w:t>fullt ut</w:t>
      </w:r>
      <w:r>
        <w:t xml:space="preserve"> </w:t>
      </w:r>
      <w:r w:rsidR="004A3508">
        <w:t>kommer att kunna</w:t>
      </w:r>
      <w:r w:rsidR="00262F90">
        <w:t xml:space="preserve"> ansöka om </w:t>
      </w:r>
      <w:r w:rsidR="004A3508">
        <w:t>ett</w:t>
      </w:r>
      <w:r w:rsidR="00262F90">
        <w:t xml:space="preserve"> </w:t>
      </w:r>
      <w:r w:rsidR="00262F90" w:rsidRPr="008E5F42">
        <w:t>elstöd</w:t>
      </w:r>
      <w:r w:rsidR="00E21C40">
        <w:t>.</w:t>
      </w:r>
      <w:r w:rsidR="00262F90">
        <w:t xml:space="preserve"> </w:t>
      </w:r>
      <w:r w:rsidR="00E21C40">
        <w:t>Stödet</w:t>
      </w:r>
      <w:r w:rsidR="00262F90">
        <w:t xml:space="preserve"> är</w:t>
      </w:r>
      <w:r w:rsidR="00E21C40">
        <w:t xml:space="preserve"> för närvarande</w:t>
      </w:r>
      <w:r w:rsidR="00262F90">
        <w:t xml:space="preserve"> under </w:t>
      </w:r>
      <w:r w:rsidR="004A3508">
        <w:t>behandling i riksdagen</w:t>
      </w:r>
      <w:r w:rsidR="00942560">
        <w:t xml:space="preserve"> (se RP 234/2022)</w:t>
      </w:r>
      <w:r w:rsidR="008E5F42">
        <w:t>.</w:t>
      </w:r>
      <w:r w:rsidR="00C41274">
        <w:t xml:space="preserve"> </w:t>
      </w:r>
      <w:r w:rsidR="008E5F42">
        <w:t>D</w:t>
      </w:r>
      <w:r w:rsidR="00C41274">
        <w:t xml:space="preserve">et kommer att </w:t>
      </w:r>
      <w:r w:rsidR="00262F90">
        <w:t>beviljas av Folkpensionsanstalten</w:t>
      </w:r>
      <w:r w:rsidR="00C41274">
        <w:t xml:space="preserve"> och</w:t>
      </w:r>
      <w:r w:rsidR="004A3508">
        <w:t xml:space="preserve"> </w:t>
      </w:r>
      <w:r w:rsidR="00C41274">
        <w:t>omfattar</w:t>
      </w:r>
      <w:r w:rsidR="004A3508">
        <w:t xml:space="preserve"> </w:t>
      </w:r>
      <w:r w:rsidR="00C41274">
        <w:t xml:space="preserve">också dem som bor </w:t>
      </w:r>
      <w:r w:rsidR="004A3508">
        <w:t>på Åland</w:t>
      </w:r>
      <w:r w:rsidR="008E5F42">
        <w:t xml:space="preserve"> </w:t>
      </w:r>
      <w:r w:rsidR="008E5F42" w:rsidRPr="00562E03">
        <w:t>under förutsättning att det särskilda hushållsavdraget införs vid kommunalbeskattningen</w:t>
      </w:r>
      <w:r w:rsidR="008E5F42">
        <w:t>.</w:t>
      </w:r>
    </w:p>
    <w:p w14:paraId="7D9E31E6" w14:textId="6BE19297" w:rsidR="00A23791" w:rsidRDefault="00A23791" w:rsidP="00262F90">
      <w:pPr>
        <w:pStyle w:val="ANormal"/>
      </w:pPr>
      <w:r>
        <w:tab/>
      </w:r>
      <w:r w:rsidR="002158D4">
        <w:t>De avvikande grunderna för</w:t>
      </w:r>
      <w:r>
        <w:t xml:space="preserve"> hushållsavdraget </w:t>
      </w:r>
      <w:r w:rsidR="002158D4">
        <w:t>som gäller</w:t>
      </w:r>
      <w:r>
        <w:t xml:space="preserve"> skatteåren 2022–2027 innebär </w:t>
      </w:r>
      <w:r w:rsidR="002158D4">
        <w:t xml:space="preserve">dels att </w:t>
      </w:r>
      <w:r>
        <w:t>avdragets maxbelopp höjs från 2 250 till 3 500 euro</w:t>
      </w:r>
      <w:r w:rsidR="002158D4">
        <w:t xml:space="preserve"> dels att avdragsprocenten för kostnader för arbetsersättningar och löner höjs</w:t>
      </w:r>
      <w:r>
        <w:t xml:space="preserve">. </w:t>
      </w:r>
      <w:r w:rsidR="002158D4">
        <w:t>Avdraget på dessa grunder</w:t>
      </w:r>
      <w:r>
        <w:t xml:space="preserve"> begränsas till kostnader för avstående från oljeuppvärmning under dessa år och kostnader för sedvanligt hushållsarbete, omsorgsarbete och vårdarbete under åren 2022 och 2023. Det innebär att </w:t>
      </w:r>
      <w:r w:rsidR="001007DC">
        <w:t>skattskyldiga</w:t>
      </w:r>
      <w:r>
        <w:t xml:space="preserve"> som har kostnader av de nämnda slagen kan göra ett högre avdrag.</w:t>
      </w:r>
    </w:p>
    <w:p w14:paraId="2C68E864" w14:textId="47C19029" w:rsidR="00A23791" w:rsidRDefault="00A23791" w:rsidP="00A23791">
      <w:pPr>
        <w:pStyle w:val="ANormal"/>
      </w:pPr>
      <w:r>
        <w:tab/>
      </w:r>
      <w:r w:rsidR="00E21C40">
        <w:t>H</w:t>
      </w:r>
      <w:r>
        <w:t xml:space="preserve">ushållsavdraget yrkas vanligtvis i efterhand genom komplettering av den förhandsifyllda skattedeklarationen, men det är också möjligt att ansöka om att avdraget ska beaktas vid förskottuppbörden. Om avdraget beaktas vid förskottuppbörden minskar den personliga förskottsinnehållningsprocenten och den disponibla inkomsten ökar redan under skatteåret. I den årliga beskattningen fördelas dock avdragets nytta jämnt över hela året även om avdraget i sig beviljas enbart på basis av </w:t>
      </w:r>
      <w:r w:rsidRPr="00562E03">
        <w:t xml:space="preserve">elenergiräkningarna </w:t>
      </w:r>
      <w:r w:rsidR="008E5F42" w:rsidRPr="00562E03">
        <w:t>för de första månaderna</w:t>
      </w:r>
      <w:r w:rsidRPr="00562E03">
        <w:t xml:space="preserve"> av året</w:t>
      </w:r>
      <w:r w:rsidR="008E5F42" w:rsidRPr="00562E03">
        <w:t>.</w:t>
      </w:r>
    </w:p>
    <w:p w14:paraId="7EB07809" w14:textId="77777777" w:rsidR="00A23791" w:rsidRDefault="00A23791" w:rsidP="00262F90">
      <w:pPr>
        <w:pStyle w:val="ANormal"/>
      </w:pPr>
    </w:p>
    <w:p w14:paraId="3925A629" w14:textId="0E8D876D" w:rsidR="0026202F" w:rsidRDefault="0026202F" w:rsidP="0026202F">
      <w:pPr>
        <w:pStyle w:val="RubrikC"/>
      </w:pPr>
      <w:bookmarkStart w:id="14" w:name="_Toc120194605"/>
      <w:r>
        <w:t>3.3 Ekonomiska konsekvenser för kommunerna</w:t>
      </w:r>
      <w:bookmarkEnd w:id="14"/>
    </w:p>
    <w:p w14:paraId="66912348" w14:textId="77777777" w:rsidR="0026202F" w:rsidRPr="0026202F" w:rsidRDefault="0026202F" w:rsidP="0026202F">
      <w:pPr>
        <w:pStyle w:val="Rubrikmellanrum"/>
      </w:pPr>
    </w:p>
    <w:p w14:paraId="3112C35C" w14:textId="44DED775" w:rsidR="00E519AB" w:rsidRDefault="00E519AB" w:rsidP="00C2051C">
      <w:pPr>
        <w:pStyle w:val="ANormal"/>
      </w:pPr>
      <w:r>
        <w:t xml:space="preserve">Den föreslagna höjningen av grundavdraget förväntas leda till en sänkning av kommunernas skatteintäkter med uppskattningsvis drygt 3 miljoner euro. </w:t>
      </w:r>
      <w:r w:rsidR="008E6E33">
        <w:t>Som tidigare nämndes avser landskapsregeringen att kompensera kommunerna för denna sänkning genom en separat landskapslag, som också kommer att omfatta kompensation för resekostnadsavdraget.</w:t>
      </w:r>
    </w:p>
    <w:p w14:paraId="3EC1FC55" w14:textId="5B7E003A" w:rsidR="00095B06" w:rsidRDefault="00095B06" w:rsidP="00C2051C">
      <w:pPr>
        <w:pStyle w:val="ANormal"/>
      </w:pPr>
      <w:r>
        <w:tab/>
        <w:t xml:space="preserve">Till den del förslaget gäller de särskilda </w:t>
      </w:r>
      <w:r w:rsidR="00585FD5">
        <w:t>delarna av hushållsavdraget är det mycket svårt att ha en uppfattning om hur stor effekten kommer att bli</w:t>
      </w:r>
      <w:r w:rsidR="008627B4">
        <w:t xml:space="preserve"> på kommunernas skatteintäkter</w:t>
      </w:r>
      <w:r w:rsidR="00585FD5">
        <w:t>.</w:t>
      </w:r>
      <w:r w:rsidR="008627B4">
        <w:t xml:space="preserve"> </w:t>
      </w:r>
      <w:r w:rsidR="0090234E">
        <w:t xml:space="preserve">Vad </w:t>
      </w:r>
      <w:r w:rsidR="005242C5">
        <w:t xml:space="preserve">det särskilda hushållsavdraget på basis av elenergiräkningar </w:t>
      </w:r>
      <w:r w:rsidR="0090234E">
        <w:t xml:space="preserve">beträffar </w:t>
      </w:r>
      <w:r w:rsidR="005242C5">
        <w:t xml:space="preserve">är effekten i första hand beroende av hur många skattskyldiga som gör avdraget, vilket i sin tur </w:t>
      </w:r>
      <w:r w:rsidR="0090234E">
        <w:t xml:space="preserve">är beroende av </w:t>
      </w:r>
      <w:r w:rsidR="00AA3A24">
        <w:t>prisnivån på el under de fyra första månaderna 2023. I andra hand är effekten beroende av i vilken grad dessa skattskyldiga beskattas i statsbeskattningen och hur stor del av avdraget som därmed kan göras från statsskatten. I nuläget finns således inga relevanta uppgifter att basera en eventuell kompensation</w:t>
      </w:r>
      <w:r w:rsidR="00D67CD2">
        <w:t xml:space="preserve"> till kommunerna</w:t>
      </w:r>
      <w:r w:rsidR="00AA3A24">
        <w:t xml:space="preserve"> på.</w:t>
      </w:r>
      <w:r w:rsidR="00AA3A24" w:rsidRPr="00AA3A24">
        <w:t xml:space="preserve"> </w:t>
      </w:r>
      <w:r w:rsidR="00AA3A24">
        <w:t xml:space="preserve">Hur stor effekten blir kommer sannolikt att kunna fastställas </w:t>
      </w:r>
      <w:r w:rsidR="00D67CD2">
        <w:t xml:space="preserve">först </w:t>
      </w:r>
      <w:r w:rsidR="00AA3A24">
        <w:t>i efterhand, vilket i det här fallet är när beskattningen slutförs i oktober 2024.</w:t>
      </w:r>
      <w:r w:rsidR="00D67CD2">
        <w:t xml:space="preserve"> </w:t>
      </w:r>
      <w:r w:rsidR="00872945">
        <w:t xml:space="preserve">Det är först i det skedet som det kan bli aktuellt att </w:t>
      </w:r>
      <w:r w:rsidR="008E6E33">
        <w:t>överväga kompensation för den förlust av skatteintäkter som eventuellt har uppstått.</w:t>
      </w:r>
    </w:p>
    <w:p w14:paraId="44924E99" w14:textId="3D6A8C9A" w:rsidR="0026202F" w:rsidRDefault="0026202F" w:rsidP="00C2051C">
      <w:pPr>
        <w:pStyle w:val="ANormal"/>
      </w:pPr>
    </w:p>
    <w:p w14:paraId="3BA0CD75" w14:textId="0E9D6363" w:rsidR="0026202F" w:rsidRDefault="0026202F" w:rsidP="0026202F">
      <w:pPr>
        <w:pStyle w:val="RubrikC"/>
      </w:pPr>
      <w:bookmarkStart w:id="15" w:name="_Toc120194606"/>
      <w:r>
        <w:t>3.4 Övriga konsekvenser av förslaget</w:t>
      </w:r>
      <w:bookmarkEnd w:id="15"/>
    </w:p>
    <w:p w14:paraId="46FA7B58" w14:textId="125AC985" w:rsidR="0026202F" w:rsidRDefault="0026202F" w:rsidP="0026202F">
      <w:pPr>
        <w:pStyle w:val="Rubrikmellanrum"/>
      </w:pPr>
    </w:p>
    <w:p w14:paraId="00EA9551" w14:textId="26C761F2" w:rsidR="00251C99" w:rsidRDefault="00251C99" w:rsidP="00251C99">
      <w:pPr>
        <w:pStyle w:val="ANormal"/>
      </w:pPr>
      <w:r>
        <w:t>Förslaget har inga organisatoriska effekter och bedöms inte heller ha några direkta konsekvenser för miljön, för jämställdheten mellan kvinnor och män</w:t>
      </w:r>
      <w:r w:rsidRPr="00FA2EE9">
        <w:t xml:space="preserve"> </w:t>
      </w:r>
      <w:r>
        <w:t>eller för barn.</w:t>
      </w:r>
    </w:p>
    <w:p w14:paraId="497CCF1B" w14:textId="77777777" w:rsidR="00E57E06" w:rsidRDefault="00E57E06" w:rsidP="00C2051C">
      <w:pPr>
        <w:pStyle w:val="ANormal"/>
      </w:pPr>
    </w:p>
    <w:p w14:paraId="3B605AA5" w14:textId="0112E294" w:rsidR="00756E2C" w:rsidRDefault="00756E2C" w:rsidP="00756E2C">
      <w:pPr>
        <w:pStyle w:val="RubrikB"/>
      </w:pPr>
      <w:bookmarkStart w:id="16" w:name="_Toc120194607"/>
      <w:r>
        <w:t>4. Beredning och ikraftträdande</w:t>
      </w:r>
      <w:bookmarkEnd w:id="16"/>
    </w:p>
    <w:p w14:paraId="4C8B01D6" w14:textId="0BD23FD2" w:rsidR="00756E2C" w:rsidRDefault="00756E2C" w:rsidP="00756E2C">
      <w:pPr>
        <w:pStyle w:val="Rubrikmellanrum"/>
      </w:pPr>
    </w:p>
    <w:p w14:paraId="1BE70866" w14:textId="611A6AFF" w:rsidR="00756E2C" w:rsidRDefault="001B5D37" w:rsidP="00756E2C">
      <w:pPr>
        <w:pStyle w:val="ANormal"/>
      </w:pPr>
      <w:r>
        <w:t>Förslaget har beretts som tjänstemannaberedning vid lagberedningen.</w:t>
      </w:r>
      <w:r w:rsidR="00547353">
        <w:t xml:space="preserve"> Kalkyler och simuleringar som visar effekten av förslaget om höjt grundavdrag </w:t>
      </w:r>
      <w:r w:rsidR="00547353">
        <w:lastRenderedPageBreak/>
        <w:t>har utförts av Å</w:t>
      </w:r>
      <w:r w:rsidR="00082E0A">
        <w:t>lands statistik- och utredningsbyrå (ÅSUB)</w:t>
      </w:r>
      <w:r w:rsidR="00547353">
        <w:t>.</w:t>
      </w:r>
      <w:r w:rsidR="00082E0A" w:rsidRPr="00082E0A">
        <w:t xml:space="preserve"> </w:t>
      </w:r>
      <w:r w:rsidR="00082E0A">
        <w:t xml:space="preserve">Till följd av lagförslagets brådskande beredning har det inte skickats på någon remiss. De olika skatteåtgärderna har dock ingått som en del </w:t>
      </w:r>
      <w:r w:rsidR="00AD5CD1">
        <w:t>i</w:t>
      </w:r>
      <w:r w:rsidR="00082E0A">
        <w:t xml:space="preserve"> samrådsförfarandet mellan landskapsregeringen, Ålands kommunförbund och Mariehamns stad.</w:t>
      </w:r>
    </w:p>
    <w:p w14:paraId="461699C2" w14:textId="7ABA2E19" w:rsidR="00082E0A" w:rsidRPr="00756E2C" w:rsidRDefault="001B5D37" w:rsidP="00756E2C">
      <w:pPr>
        <w:pStyle w:val="ANormal"/>
      </w:pPr>
      <w:r>
        <w:tab/>
        <w:t>De föreslagna ändringarna i kommunalbeskattningen är med ett undantag avsedda att tillämpas från och med den kommunalbeskattning som verkställs för skatteåret 2023. Den föreslagna 26a</w:t>
      </w:r>
      <w:r w:rsidR="0059641A">
        <w:t> §</w:t>
      </w:r>
      <w:r>
        <w:t xml:space="preserve"> är avsedd att gälla retroaktivt från och med den kommunalbeskattning som verkställs för skatteåret 2022. Med hänvisning till att de föreslagna ändringarna är till de skattskyldigas fördel </w:t>
      </w:r>
      <w:r w:rsidR="00547353">
        <w:t xml:space="preserve">och att det är frågan om ett avdrags som företrädesvis yrkas i efterhand, </w:t>
      </w:r>
      <w:r>
        <w:t>bedömer landskapsregeringen att frågan om retroaktivitet</w:t>
      </w:r>
      <w:r w:rsidRPr="001B5D37">
        <w:t xml:space="preserve"> </w:t>
      </w:r>
      <w:r>
        <w:t>inte är så problematisk. Lagstiftningen bör dock träda i kraft så snart som möjligt.</w:t>
      </w:r>
    </w:p>
    <w:p w14:paraId="126F6DA4" w14:textId="77777777" w:rsidR="00A37447" w:rsidRDefault="00A37447">
      <w:pPr>
        <w:pStyle w:val="ANormal"/>
      </w:pPr>
    </w:p>
    <w:p w14:paraId="3E7A556D" w14:textId="77777777" w:rsidR="00AF3004" w:rsidRDefault="00AF3004">
      <w:pPr>
        <w:pStyle w:val="RubrikA"/>
      </w:pPr>
      <w:bookmarkStart w:id="17" w:name="_Toc120194608"/>
      <w:r>
        <w:t>Detaljmotivering</w:t>
      </w:r>
      <w:bookmarkEnd w:id="17"/>
    </w:p>
    <w:p w14:paraId="762C01BF" w14:textId="77777777" w:rsidR="00AF3004" w:rsidRDefault="00AF3004">
      <w:pPr>
        <w:pStyle w:val="Rubrikmellanrum"/>
      </w:pPr>
    </w:p>
    <w:p w14:paraId="114C03B6" w14:textId="1BF1D21A" w:rsidR="00AF3004" w:rsidRDefault="00AF3004">
      <w:pPr>
        <w:pStyle w:val="RubrikB"/>
      </w:pPr>
      <w:bookmarkStart w:id="18" w:name="_Toc120194609"/>
      <w:r>
        <w:t xml:space="preserve">Ändring av </w:t>
      </w:r>
      <w:r w:rsidR="00580714">
        <w:t>kommunalskattelagen för landskapet Åland</w:t>
      </w:r>
      <w:bookmarkEnd w:id="18"/>
    </w:p>
    <w:p w14:paraId="2C371265" w14:textId="77777777" w:rsidR="00AF3004" w:rsidRDefault="00AF3004">
      <w:pPr>
        <w:pStyle w:val="Rubrikmellanrum"/>
      </w:pPr>
    </w:p>
    <w:p w14:paraId="57C965C9" w14:textId="0F9138EC" w:rsidR="00AF3004" w:rsidRDefault="000C6FF6">
      <w:pPr>
        <w:pStyle w:val="ANormal"/>
      </w:pPr>
      <w:r>
        <w:t>1a</w:t>
      </w:r>
      <w:r w:rsidR="0059641A">
        <w:t> §</w:t>
      </w:r>
      <w:r w:rsidR="00AF3004">
        <w:t xml:space="preserve"> </w:t>
      </w:r>
      <w:r>
        <w:rPr>
          <w:i/>
          <w:iCs/>
        </w:rPr>
        <w:t>Den beskattningsbara inkomsten</w:t>
      </w:r>
      <w:r w:rsidR="00AF3004">
        <w:rPr>
          <w:i/>
          <w:iCs/>
        </w:rPr>
        <w:t>.</w:t>
      </w:r>
      <w:r w:rsidR="00AF3004">
        <w:t xml:space="preserve"> </w:t>
      </w:r>
      <w:r>
        <w:t xml:space="preserve">Enligt förslaget fogas </w:t>
      </w:r>
      <w:r w:rsidR="001A5AF5">
        <w:t xml:space="preserve">i förtydligande syfte </w:t>
      </w:r>
      <w:r>
        <w:t>en ny 1a</w:t>
      </w:r>
      <w:r w:rsidR="0059641A">
        <w:t> §</w:t>
      </w:r>
      <w:r>
        <w:t xml:space="preserve"> till kommunalskattelagen</w:t>
      </w:r>
      <w:r w:rsidR="001A5AF5">
        <w:t>. Paragrafen formuleras så att det tydligt klargörs att den beskattningsbara inkomsten vid kommunalbeskattningen ska beräknas på samma sätt som hittills, oavsett att skattebaserna vid stats- och kommunalbeskattningen slås ihop i riket. Av motiveringen till ändringen av 30</w:t>
      </w:r>
      <w:r w:rsidR="0059641A">
        <w:t> §</w:t>
      </w:r>
      <w:r w:rsidR="001A5AF5">
        <w:t xml:space="preserve"> 3</w:t>
      </w:r>
      <w:r w:rsidR="0059641A">
        <w:t> mom.</w:t>
      </w:r>
      <w:r w:rsidR="001A5AF5">
        <w:t xml:space="preserve"> i inkomstskattelagen framgår dock att även om skattebaserna slås ihop kommer beskattningsberäkningen fortfarande göras separat för statsbeskattningen och kommunalbeskattningen även där (se RP 241/2020 s. 925).</w:t>
      </w:r>
    </w:p>
    <w:p w14:paraId="6452B997" w14:textId="361C20E0" w:rsidR="00AF3004" w:rsidRDefault="00AF3004">
      <w:pPr>
        <w:pStyle w:val="ANormal"/>
      </w:pPr>
    </w:p>
    <w:p w14:paraId="32B2E260" w14:textId="1E409D8B" w:rsidR="00756E2C" w:rsidRDefault="001B5E53" w:rsidP="00756E2C">
      <w:pPr>
        <w:pStyle w:val="ANormal"/>
      </w:pPr>
      <w:r>
        <w:t>2</w:t>
      </w:r>
      <w:r w:rsidR="0059641A">
        <w:t> §</w:t>
      </w:r>
      <w:r w:rsidR="00756E2C">
        <w:t xml:space="preserve"> </w:t>
      </w:r>
      <w:r>
        <w:rPr>
          <w:i/>
          <w:iCs/>
        </w:rPr>
        <w:t>Bestämmelser som inte ska tillämpas vid kommunalbeskattningen</w:t>
      </w:r>
      <w:r w:rsidR="00756E2C">
        <w:rPr>
          <w:i/>
          <w:iCs/>
        </w:rPr>
        <w:t>.</w:t>
      </w:r>
      <w:r w:rsidR="00756E2C">
        <w:t xml:space="preserve"> </w:t>
      </w:r>
      <w:r>
        <w:t xml:space="preserve">Paragrafen anger att bestämmelserna om avdrag vid kommunalbeskattningen i inkomstskattelagen som inte ska tillämpas vid kommunalbeskattningen på Åland. </w:t>
      </w:r>
      <w:r w:rsidR="00F94C13">
        <w:t>Formuleringen baseras på rubriceringen av de olika typerna av avdrag. Som en följd av att skattebaserna vid stats- och kommunalbeskattningen slås ihop i riket ändras rubrikerna så att det inte längre görs skillnad mellan avdrag från nettoförvärvsinkomsten vid statsbeskattningen och nettoförvärvsinkomsten vid kommunalbeskattningen.</w:t>
      </w:r>
    </w:p>
    <w:p w14:paraId="703C6DC9" w14:textId="30FB6784" w:rsidR="00271C9F" w:rsidRDefault="00271C9F" w:rsidP="00756E2C">
      <w:pPr>
        <w:pStyle w:val="ANormal"/>
      </w:pPr>
      <w:r>
        <w:tab/>
        <w:t xml:space="preserve">Särskilda stadganden om naturliga avdrag avser </w:t>
      </w:r>
      <w:r w:rsidR="007672A4">
        <w:t xml:space="preserve">i nuläget </w:t>
      </w:r>
      <w:r>
        <w:t>31</w:t>
      </w:r>
      <w:r w:rsidR="0059641A">
        <w:t> §</w:t>
      </w:r>
      <w:r>
        <w:t xml:space="preserve"> i inkomstskattelagen. Avdrag för inkomstens förvärvande avser </w:t>
      </w:r>
      <w:proofErr w:type="gramStart"/>
      <w:r>
        <w:t>93–95a</w:t>
      </w:r>
      <w:proofErr w:type="gramEnd"/>
      <w:r w:rsidR="0059641A">
        <w:t> §</w:t>
      </w:r>
      <w:r>
        <w:t>§</w:t>
      </w:r>
      <w:r w:rsidR="007672A4">
        <w:t>,</w:t>
      </w:r>
      <w:r>
        <w:t xml:space="preserve"> </w:t>
      </w:r>
      <w:r w:rsidR="007672A4">
        <w:t>a</w:t>
      </w:r>
      <w:r>
        <w:t>vdrag från nettoförvärvsinkomsten vid stats- och kommunalbeskattningen avser 96–98a</w:t>
      </w:r>
      <w:r w:rsidR="0059641A">
        <w:t> §</w:t>
      </w:r>
      <w:r>
        <w:t>§</w:t>
      </w:r>
      <w:r w:rsidR="007672A4">
        <w:t xml:space="preserve"> och</w:t>
      </w:r>
      <w:r>
        <w:t xml:space="preserve"> </w:t>
      </w:r>
      <w:r w:rsidR="007672A4">
        <w:t>a</w:t>
      </w:r>
      <w:r>
        <w:t>vdrag från nettoförvärvsinkomsten vid kommunalbeskattningen avser 101–106</w:t>
      </w:r>
      <w:r w:rsidR="0059641A">
        <w:t> §</w:t>
      </w:r>
      <w:r>
        <w:t>§ i inkomstskattelagen</w:t>
      </w:r>
      <w:r w:rsidR="007672A4">
        <w:t>s nu gällande lydelse</w:t>
      </w:r>
      <w:r>
        <w:t>. Inkomstskattelagen ändras så att den sistnämnda rubriken upphävs tillsammans med motsvarande rubrik om avdrag från nettoförvärvsinkomsten vid statsbeskattningen.</w:t>
      </w:r>
      <w:r w:rsidR="00AA5393">
        <w:t xml:space="preserve"> Paragrafen föreslås bli anpassad till detta genom att hänvisningen till avdrag från nettoförvärvsinkomsten vid kommunalbeskattningen utgår. Följden blir att hänvisningen till av</w:t>
      </w:r>
      <w:r>
        <w:t xml:space="preserve">drag från nettoförvärvsinkomsten vid stats- och kommunalbeskattningen </w:t>
      </w:r>
      <w:r w:rsidR="00AA5393">
        <w:t xml:space="preserve">kommer </w:t>
      </w:r>
      <w:r>
        <w:t>att avse 96–106</w:t>
      </w:r>
      <w:r w:rsidR="0059641A">
        <w:t> §</w:t>
      </w:r>
      <w:r>
        <w:t>§ i inkomstskattelagen</w:t>
      </w:r>
      <w:r w:rsidR="007672A4">
        <w:t xml:space="preserve"> i den lydelse lagen har från och med den 1 januari 2023</w:t>
      </w:r>
      <w:r>
        <w:t>.</w:t>
      </w:r>
    </w:p>
    <w:p w14:paraId="13A34C4D" w14:textId="77777777" w:rsidR="00756E2C" w:rsidRDefault="00756E2C" w:rsidP="00756E2C">
      <w:pPr>
        <w:pStyle w:val="ANormal"/>
      </w:pPr>
    </w:p>
    <w:p w14:paraId="29F7B3F6" w14:textId="6AAF0757" w:rsidR="009E2378" w:rsidRDefault="009E2378" w:rsidP="009E2378">
      <w:pPr>
        <w:pStyle w:val="ANormal"/>
      </w:pPr>
      <w:r>
        <w:t>9</w:t>
      </w:r>
      <w:r w:rsidR="0059641A">
        <w:t> §</w:t>
      </w:r>
      <w:r w:rsidR="00756E2C">
        <w:t xml:space="preserve"> </w:t>
      </w:r>
      <w:r>
        <w:rPr>
          <w:i/>
          <w:iCs/>
        </w:rPr>
        <w:t>Särskilda bestämmelser om naturliga avdrag</w:t>
      </w:r>
      <w:r w:rsidR="00756E2C">
        <w:rPr>
          <w:i/>
          <w:iCs/>
        </w:rPr>
        <w:t>.</w:t>
      </w:r>
      <w:r w:rsidR="00756E2C">
        <w:t xml:space="preserve"> </w:t>
      </w:r>
      <w:r>
        <w:t xml:space="preserve">I paragrafen finns en lista över utgifter för inkomstens förvärvande. I listans 5 punkt anges att </w:t>
      </w:r>
      <w:r w:rsidR="004E6897">
        <w:t xml:space="preserve">bland annat </w:t>
      </w:r>
      <w:r>
        <w:t>avgifter som har tagits ut på mötesarvoden för kommunala förtroendeuppdrag är sådana utgifter som är avdragsgilla.</w:t>
      </w:r>
      <w:r w:rsidR="006724F5">
        <w:t xml:space="preserve"> </w:t>
      </w:r>
      <w:r w:rsidR="00BC78E6">
        <w:t>M</w:t>
      </w:r>
      <w:r w:rsidR="006724F5">
        <w:t xml:space="preserve">otsvarande </w:t>
      </w:r>
      <w:r w:rsidR="00BC78E6">
        <w:t>bestämmelser om</w:t>
      </w:r>
      <w:r w:rsidR="006724F5">
        <w:t xml:space="preserve"> utgifter för inkomstens förvärvande finns i inkomstskattelagens 31</w:t>
      </w:r>
      <w:r w:rsidR="0059641A">
        <w:t> §</w:t>
      </w:r>
      <w:r w:rsidR="00BC78E6">
        <w:t>. Där</w:t>
      </w:r>
      <w:r w:rsidR="006724F5">
        <w:t xml:space="preserve"> har den </w:t>
      </w:r>
      <w:r w:rsidR="00BC78E6">
        <w:t>5 </w:t>
      </w:r>
      <w:r w:rsidR="006724F5">
        <w:t xml:space="preserve">punkten ändrats så att </w:t>
      </w:r>
      <w:r w:rsidR="004E6897">
        <w:t xml:space="preserve">förtroendeuppdrag i välfärdsområden och i välfärdssammanslutningar jämställs med kommunala förtroendeuppdrag. Enligt förslaget ska samma ändring göras i denna paragraf. Även om det inte </w:t>
      </w:r>
      <w:r w:rsidR="004E6897">
        <w:lastRenderedPageBreak/>
        <w:t xml:space="preserve">finns några välfärdsområden på Åland </w:t>
      </w:r>
      <w:r w:rsidR="00772FE1">
        <w:t>är</w:t>
      </w:r>
      <w:r w:rsidR="004E6897">
        <w:t xml:space="preserve"> det </w:t>
      </w:r>
      <w:r w:rsidR="00772FE1">
        <w:t>inte uteslutet att</w:t>
      </w:r>
      <w:r w:rsidR="004E6897">
        <w:t xml:space="preserve"> skattskyldiga här </w:t>
      </w:r>
      <w:r w:rsidR="00772FE1">
        <w:t>kan</w:t>
      </w:r>
      <w:r w:rsidR="004E6897">
        <w:t xml:space="preserve"> ha förtroendeuppdrag i sådana.</w:t>
      </w:r>
    </w:p>
    <w:p w14:paraId="272F9175" w14:textId="77777777" w:rsidR="00756E2C" w:rsidRDefault="00756E2C" w:rsidP="00756E2C">
      <w:pPr>
        <w:pStyle w:val="ANormal"/>
      </w:pPr>
    </w:p>
    <w:p w14:paraId="3ECDABED" w14:textId="0D95F2AF" w:rsidR="00756E2C" w:rsidRDefault="0003544E" w:rsidP="00756E2C">
      <w:pPr>
        <w:pStyle w:val="ANormal"/>
      </w:pPr>
      <w:r>
        <w:t>23</w:t>
      </w:r>
      <w:r w:rsidR="0059641A">
        <w:t> §</w:t>
      </w:r>
      <w:r w:rsidR="00756E2C">
        <w:t xml:space="preserve"> </w:t>
      </w:r>
      <w:r>
        <w:rPr>
          <w:i/>
          <w:iCs/>
        </w:rPr>
        <w:t>Grundavdrag</w:t>
      </w:r>
      <w:r w:rsidR="00756E2C">
        <w:rPr>
          <w:i/>
          <w:iCs/>
        </w:rPr>
        <w:t>.</w:t>
      </w:r>
      <w:r w:rsidR="00756E2C">
        <w:t xml:space="preserve"> </w:t>
      </w:r>
      <w:r w:rsidR="00B21044">
        <w:t xml:space="preserve">Enligt förslaget sänks grundavdragets </w:t>
      </w:r>
      <w:r w:rsidR="00497E12" w:rsidRPr="00562E03">
        <w:t>nedtrappningsgrad</w:t>
      </w:r>
      <w:r w:rsidR="00B21044">
        <w:t xml:space="preserve"> från 18 till 8,4</w:t>
      </w:r>
      <w:r w:rsidR="0059641A">
        <w:t xml:space="preserve"> </w:t>
      </w:r>
      <w:r w:rsidR="00B21044">
        <w:t>procent.</w:t>
      </w:r>
      <w:r w:rsidR="00204801">
        <w:t xml:space="preserve"> Förslaget innebär att nedtrappningen av avdragets belopp blir långsammare. Jämfört med nu gällande lydelse blir således avdraget högre vid samma inkomstnivå. Det innebär också att avdraget </w:t>
      </w:r>
      <w:r w:rsidR="000249E8">
        <w:t>kommer att</w:t>
      </w:r>
      <w:r w:rsidR="00204801">
        <w:t xml:space="preserve"> göras vid högre inkomstnivåer än hittills.</w:t>
      </w:r>
    </w:p>
    <w:p w14:paraId="73496F72" w14:textId="77777777" w:rsidR="00756E2C" w:rsidRDefault="00756E2C" w:rsidP="00756E2C">
      <w:pPr>
        <w:pStyle w:val="ANormal"/>
      </w:pPr>
    </w:p>
    <w:p w14:paraId="1739AC21" w14:textId="13FBC279" w:rsidR="00756E2C" w:rsidRDefault="001B280D" w:rsidP="00756E2C">
      <w:pPr>
        <w:pStyle w:val="ANormal"/>
      </w:pPr>
      <w:r>
        <w:t>24</w:t>
      </w:r>
      <w:r w:rsidR="0059641A">
        <w:t> §</w:t>
      </w:r>
      <w:r w:rsidR="00756E2C">
        <w:t xml:space="preserve"> </w:t>
      </w:r>
      <w:r>
        <w:rPr>
          <w:i/>
          <w:iCs/>
        </w:rPr>
        <w:t>Avdrag som beviljas dödsbon för efterlevande make eller maka</w:t>
      </w:r>
      <w:r w:rsidR="00756E2C">
        <w:rPr>
          <w:i/>
          <w:iCs/>
        </w:rPr>
        <w:t>.</w:t>
      </w:r>
      <w:r w:rsidR="00756E2C">
        <w:t xml:space="preserve"> </w:t>
      </w:r>
      <w:r w:rsidR="00BC78E6">
        <w:t xml:space="preserve">I inkomstskattelagen regleras </w:t>
      </w:r>
      <w:r w:rsidR="008D1944">
        <w:t xml:space="preserve">motsvarande </w:t>
      </w:r>
      <w:r w:rsidR="00BC78E6">
        <w:t>avdrag i 108</w:t>
      </w:r>
      <w:r w:rsidR="0059641A">
        <w:t> §</w:t>
      </w:r>
      <w:r w:rsidR="008D1944">
        <w:t>. Där</w:t>
      </w:r>
      <w:r w:rsidR="00BC78E6">
        <w:t xml:space="preserve"> ändras </w:t>
      </w:r>
      <w:r w:rsidR="008D1944">
        <w:t xml:space="preserve">formuleringen </w:t>
      </w:r>
      <w:r w:rsidR="00BC78E6">
        <w:t>så att omnämnandet av invalidavdraget stryks till följd av att det slopas vid både stats- och kommunalbeskattningen i riket. Invalidavdraget kommer att kvarstå vid kommunalbeskattningen på Åland och paragrafen behöver inte ändras av den anledningen. Däremot föreslås att hänvisningen till att avdraget kan göras från inkomstskatten stryks. Ändringen är enbart teknisk eftersom det avdrag som hittills har kunnat göras från skatten är invalidavdraget vid statsbeskattningen, och det kommer som sagt inte längre att göras.</w:t>
      </w:r>
    </w:p>
    <w:p w14:paraId="1A8D2B82" w14:textId="77777777" w:rsidR="00756E2C" w:rsidRDefault="00756E2C" w:rsidP="00756E2C">
      <w:pPr>
        <w:pStyle w:val="ANormal"/>
      </w:pPr>
    </w:p>
    <w:p w14:paraId="02802CB7" w14:textId="2D49EDF0" w:rsidR="00756E2C" w:rsidRDefault="00B95DA4" w:rsidP="00756E2C">
      <w:pPr>
        <w:pStyle w:val="ANormal"/>
      </w:pPr>
      <w:r>
        <w:t>26a</w:t>
      </w:r>
      <w:r w:rsidR="0059641A">
        <w:t> §</w:t>
      </w:r>
      <w:r w:rsidR="00756E2C">
        <w:t xml:space="preserve"> </w:t>
      </w:r>
      <w:r>
        <w:rPr>
          <w:i/>
          <w:iCs/>
        </w:rPr>
        <w:t>Hushållsavdraget från kommunalskatten skatteåren 2022–2027</w:t>
      </w:r>
      <w:r w:rsidR="00756E2C">
        <w:rPr>
          <w:i/>
          <w:iCs/>
        </w:rPr>
        <w:t>.</w:t>
      </w:r>
      <w:r w:rsidR="00756E2C">
        <w:t xml:space="preserve"> </w:t>
      </w:r>
      <w:r w:rsidR="005B5663">
        <w:t>Enligt lagens 26</w:t>
      </w:r>
      <w:r w:rsidR="0059641A">
        <w:t> §</w:t>
      </w:r>
      <w:r w:rsidR="005B5663">
        <w:t xml:space="preserve"> 1</w:t>
      </w:r>
      <w:r w:rsidR="0059641A">
        <w:t> mom.</w:t>
      </w:r>
      <w:r w:rsidR="005B5663">
        <w:t xml:space="preserve"> får en skattskyldig göra hushållsavdrag från kommunalskatten enligt de grunder som anges i 127a och 127b</w:t>
      </w:r>
      <w:r w:rsidR="0059641A">
        <w:t> §</w:t>
      </w:r>
      <w:r w:rsidR="005B5663">
        <w:t>§ i inkomstskattelagen till den del avdraget överstiger beloppet av inkomstskatten till staten.</w:t>
      </w:r>
      <w:r w:rsidR="00BE1280">
        <w:t xml:space="preserve"> Strikt tolkat betyder det att de bestämmelser om avvikelser från 127a</w:t>
      </w:r>
      <w:r w:rsidR="0059641A">
        <w:t> §</w:t>
      </w:r>
      <w:r w:rsidR="00BE1280">
        <w:t xml:space="preserve"> som infogats i inkomstskattelagens 127f</w:t>
      </w:r>
      <w:r w:rsidR="0059641A">
        <w:t> §</w:t>
      </w:r>
      <w:r w:rsidR="00BE1280">
        <w:t xml:space="preserve"> inte berättigar till hushållsavdrag från kommunalskatten.</w:t>
      </w:r>
      <w:r w:rsidR="00CD6C76">
        <w:t xml:space="preserve"> Med hänvisning till det föreslås en bestämmelse som tydligt anger att de grunder som anges i 127f</w:t>
      </w:r>
      <w:r w:rsidR="0059641A">
        <w:t> §</w:t>
      </w:r>
      <w:r w:rsidR="00CD6C76">
        <w:t xml:space="preserve"> ska tillämpas vid kommunalbeskattningen.</w:t>
      </w:r>
      <w:r w:rsidR="004B0628">
        <w:t xml:space="preserve"> Den föreslagna paragrafen </w:t>
      </w:r>
      <w:r w:rsidR="007045B0">
        <w:t>är avsedd att</w:t>
      </w:r>
      <w:r w:rsidR="004B0628">
        <w:t xml:space="preserve"> gälla för skatteåren 2022–2027.</w:t>
      </w:r>
    </w:p>
    <w:p w14:paraId="0A4013B8" w14:textId="77777777" w:rsidR="00756E2C" w:rsidRDefault="00756E2C" w:rsidP="00756E2C">
      <w:pPr>
        <w:pStyle w:val="ANormal"/>
      </w:pPr>
    </w:p>
    <w:p w14:paraId="6475CC5B" w14:textId="1318E579" w:rsidR="00DF3653" w:rsidRDefault="00B95DA4" w:rsidP="00756E2C">
      <w:pPr>
        <w:pStyle w:val="ANormal"/>
      </w:pPr>
      <w:r>
        <w:t>26b</w:t>
      </w:r>
      <w:r w:rsidR="0059641A">
        <w:t> §</w:t>
      </w:r>
      <w:r w:rsidR="00756E2C">
        <w:t xml:space="preserve"> </w:t>
      </w:r>
      <w:r>
        <w:rPr>
          <w:i/>
          <w:iCs/>
        </w:rPr>
        <w:t>Hushållsavdraget på basis av elenergiräkningar 2023</w:t>
      </w:r>
      <w:r w:rsidR="00756E2C">
        <w:rPr>
          <w:i/>
          <w:iCs/>
        </w:rPr>
        <w:t>.</w:t>
      </w:r>
      <w:r w:rsidR="00756E2C">
        <w:t xml:space="preserve"> </w:t>
      </w:r>
      <w:r w:rsidR="00CD6C76">
        <w:t>Som nämndes i motiveringen till 26a</w:t>
      </w:r>
      <w:r w:rsidR="0059641A">
        <w:t> §</w:t>
      </w:r>
      <w:r w:rsidR="00CD6C76">
        <w:t xml:space="preserve"> ovan anges i lagens 26</w:t>
      </w:r>
      <w:r w:rsidR="0059641A">
        <w:t> §</w:t>
      </w:r>
      <w:r w:rsidR="00CD6C76">
        <w:t xml:space="preserve"> 1</w:t>
      </w:r>
      <w:r w:rsidR="0059641A">
        <w:t> mom.</w:t>
      </w:r>
      <w:r w:rsidR="00CD6C76">
        <w:t xml:space="preserve"> att en skattskyldig får göra hushållsavdrag från kommunalskatten enligt de grunder som anges i 127a och 127b</w:t>
      </w:r>
      <w:r w:rsidR="0059641A">
        <w:t> §</w:t>
      </w:r>
      <w:r w:rsidR="00CD6C76">
        <w:t>§ i inkomstskattelagen till den del avdraget överstiger beloppet av inkomstskatten till staten.</w:t>
      </w:r>
      <w:r w:rsidR="007D1A63">
        <w:t xml:space="preserve"> Det hushållsavdrag som beviljas på basis av elenergiräkningar som nu behandlas i riksdagen föreslås bli infört i en ny temporär 127g</w:t>
      </w:r>
      <w:r w:rsidR="0059641A">
        <w:t> §</w:t>
      </w:r>
      <w:r w:rsidR="007D1A63">
        <w:t xml:space="preserve"> i inkomstskattelagen. För att det hushållsavdraget också ska kunna dras från kommunalskatten föreslås att en bestämmelse om detta tas in i denna lag.</w:t>
      </w:r>
      <w:r w:rsidR="004B0628">
        <w:t xml:space="preserve"> Den föreslagna paragrafen </w:t>
      </w:r>
      <w:r w:rsidR="00762BB0">
        <w:t>är avsedd att</w:t>
      </w:r>
      <w:r w:rsidR="004B0628">
        <w:t xml:space="preserve"> gälla skatteåret 2023.</w:t>
      </w:r>
    </w:p>
    <w:p w14:paraId="70C0DBF1" w14:textId="77777777" w:rsidR="00DF3653" w:rsidRDefault="00DF3653" w:rsidP="00756E2C">
      <w:pPr>
        <w:pStyle w:val="ANormal"/>
      </w:pPr>
    </w:p>
    <w:p w14:paraId="54A6D36F" w14:textId="77777777" w:rsidR="00AF3004" w:rsidRDefault="00AF3004">
      <w:pPr>
        <w:pStyle w:val="RubrikA"/>
      </w:pPr>
      <w:r>
        <w:br w:type="page"/>
      </w:r>
      <w:bookmarkStart w:id="19" w:name="_Toc120194610"/>
      <w:r>
        <w:lastRenderedPageBreak/>
        <w:t>Lagtext</w:t>
      </w:r>
      <w:bookmarkEnd w:id="19"/>
    </w:p>
    <w:p w14:paraId="1F0A33A6" w14:textId="77777777" w:rsidR="00AF3004" w:rsidRDefault="00AF3004">
      <w:pPr>
        <w:pStyle w:val="Rubrikmellanrum"/>
      </w:pPr>
    </w:p>
    <w:p w14:paraId="656C377A" w14:textId="77777777" w:rsidR="00AF3004" w:rsidRDefault="00AF3004">
      <w:pPr>
        <w:pStyle w:val="ANormal"/>
      </w:pPr>
      <w:r>
        <w:t>Landskapsregeringen föreslår att följande lag antas.</w:t>
      </w:r>
    </w:p>
    <w:p w14:paraId="03992ACD" w14:textId="77777777" w:rsidR="00AF3004" w:rsidRDefault="00AF3004">
      <w:pPr>
        <w:pStyle w:val="ANormal"/>
      </w:pPr>
    </w:p>
    <w:p w14:paraId="2839FF2B" w14:textId="4AA0A466" w:rsidR="00AF3004" w:rsidRDefault="00AF3004">
      <w:pPr>
        <w:pStyle w:val="LagHuvRubr"/>
        <w:rPr>
          <w:lang w:val="en-GB"/>
        </w:rPr>
      </w:pPr>
      <w:bookmarkStart w:id="20" w:name="_Toc120194611"/>
      <w:r>
        <w:rPr>
          <w:lang w:val="en-GB"/>
        </w:rPr>
        <w:t>L A N D S K A P S L A G</w:t>
      </w:r>
      <w:r>
        <w:rPr>
          <w:lang w:val="en-GB"/>
        </w:rPr>
        <w:br/>
        <w:t>om</w:t>
      </w:r>
      <w:r w:rsidR="00580714">
        <w:rPr>
          <w:lang w:val="en-GB"/>
        </w:rPr>
        <w:t xml:space="preserve"> ändring </w:t>
      </w:r>
      <w:r w:rsidR="00F21528">
        <w:rPr>
          <w:lang w:val="en-GB"/>
        </w:rPr>
        <w:t xml:space="preserve">och temporär ändring </w:t>
      </w:r>
      <w:r w:rsidR="00580714">
        <w:rPr>
          <w:lang w:val="en-GB"/>
        </w:rPr>
        <w:t>av kommunalskattelagen för landskapet Åland</w:t>
      </w:r>
      <w:bookmarkEnd w:id="20"/>
    </w:p>
    <w:p w14:paraId="53FEDA4E" w14:textId="77777777" w:rsidR="00AF3004" w:rsidRDefault="00AF3004">
      <w:pPr>
        <w:pStyle w:val="ANormal"/>
        <w:rPr>
          <w:lang w:val="en-GB"/>
        </w:rPr>
      </w:pPr>
    </w:p>
    <w:p w14:paraId="30966536" w14:textId="0839D653" w:rsidR="001A5AF5" w:rsidRDefault="00AF3004">
      <w:pPr>
        <w:pStyle w:val="ANormal"/>
      </w:pPr>
      <w:r>
        <w:tab/>
        <w:t>I enlighet med lagtingets beslut</w:t>
      </w:r>
    </w:p>
    <w:p w14:paraId="1418575B" w14:textId="46B91D66" w:rsidR="001A5AF5" w:rsidRDefault="001A5AF5">
      <w:pPr>
        <w:pStyle w:val="ANormal"/>
      </w:pPr>
      <w:r>
        <w:tab/>
      </w:r>
      <w:r w:rsidRPr="00F21528">
        <w:rPr>
          <w:b/>
          <w:bCs/>
        </w:rPr>
        <w:t>ändras</w:t>
      </w:r>
      <w:r>
        <w:t xml:space="preserve"> </w:t>
      </w:r>
      <w:r w:rsidR="00F21528">
        <w:t>2</w:t>
      </w:r>
      <w:r w:rsidR="0059641A">
        <w:t> §</w:t>
      </w:r>
      <w:r w:rsidR="00F21528">
        <w:t>, 9</w:t>
      </w:r>
      <w:r w:rsidR="0059641A">
        <w:t> §</w:t>
      </w:r>
      <w:r w:rsidR="00F21528">
        <w:t xml:space="preserve"> 1</w:t>
      </w:r>
      <w:r w:rsidR="0059641A">
        <w:t> mom.</w:t>
      </w:r>
      <w:r w:rsidR="00F21528">
        <w:t xml:space="preserve"> 5 punkten,</w:t>
      </w:r>
      <w:r>
        <w:t xml:space="preserve"> </w:t>
      </w:r>
      <w:r w:rsidR="00F21528">
        <w:t>23 och 24</w:t>
      </w:r>
      <w:r w:rsidR="0059641A">
        <w:t> §</w:t>
      </w:r>
      <w:r w:rsidR="00F21528">
        <w:t>§ kommunalskattelagen (2011:119) för landskapet Åland, av dessa 23</w:t>
      </w:r>
      <w:r w:rsidR="0059641A">
        <w:t> §</w:t>
      </w:r>
      <w:r w:rsidR="00F21528">
        <w:t xml:space="preserve"> sådan den lyder i landskapslagen 2020/130, samt</w:t>
      </w:r>
    </w:p>
    <w:p w14:paraId="7309B953" w14:textId="5F2C5FFD" w:rsidR="00AF3004" w:rsidRDefault="001A5AF5">
      <w:pPr>
        <w:pStyle w:val="ANormal"/>
      </w:pPr>
      <w:r>
        <w:tab/>
      </w:r>
      <w:r w:rsidRPr="00F21528">
        <w:rPr>
          <w:b/>
          <w:bCs/>
        </w:rPr>
        <w:t>fogas</w:t>
      </w:r>
      <w:r>
        <w:t xml:space="preserve"> </w:t>
      </w:r>
      <w:r w:rsidR="00F21528">
        <w:t>till lagen en ny 1a</w:t>
      </w:r>
      <w:r w:rsidR="0059641A">
        <w:t> §</w:t>
      </w:r>
      <w:r w:rsidR="00F21528">
        <w:t xml:space="preserve"> samt temporärt nya 26a och 26b</w:t>
      </w:r>
      <w:r w:rsidR="0059641A">
        <w:t> §</w:t>
      </w:r>
      <w:r w:rsidR="00F21528">
        <w:t xml:space="preserve">§, </w:t>
      </w:r>
      <w:r>
        <w:t>som följer</w:t>
      </w:r>
      <w:r w:rsidR="00AF3004">
        <w:t>:</w:t>
      </w:r>
    </w:p>
    <w:p w14:paraId="5717A0EF" w14:textId="62524306" w:rsidR="00AF3004" w:rsidRDefault="00AF3004">
      <w:pPr>
        <w:pStyle w:val="ANormal"/>
      </w:pPr>
    </w:p>
    <w:p w14:paraId="08E23957" w14:textId="63327DA9" w:rsidR="00D315CE" w:rsidRDefault="00F00CDB" w:rsidP="00F00CDB">
      <w:pPr>
        <w:pStyle w:val="LagParagraf"/>
      </w:pPr>
      <w:r>
        <w:t>1</w:t>
      </w:r>
      <w:r w:rsidR="008C4E91">
        <w:t>a</w:t>
      </w:r>
      <w:r w:rsidR="0059641A">
        <w:t> §</w:t>
      </w:r>
    </w:p>
    <w:p w14:paraId="44B66808" w14:textId="26C34B07" w:rsidR="00F00CDB" w:rsidRDefault="008C4E91" w:rsidP="00F00CDB">
      <w:pPr>
        <w:pStyle w:val="LagPararubrik"/>
      </w:pPr>
      <w:r>
        <w:t>Den beskattningsbara inkomsten</w:t>
      </w:r>
    </w:p>
    <w:p w14:paraId="2D220D1B" w14:textId="62EC138A" w:rsidR="008C4E91" w:rsidRPr="008C4E91" w:rsidRDefault="008C4E91" w:rsidP="008C4E91">
      <w:pPr>
        <w:pStyle w:val="ANormal"/>
      </w:pPr>
      <w:r>
        <w:tab/>
        <w:t>Nettoförvärvsinkomsten beräknas genom att från förvärvsinkomsten görs de naturliga avdragen. Skatteårets inkomst vid kommunalbeskattningen fastställs genom att från nettoförvärvsinkomsten görs de avdrag som ska göras vid kommunalbeskattningen. Den beskattningsbara inkomsten vid kommunalbeskattningen bestäms genom att från skatteårets inkomst vid kommunalbeskattningen dras av sådana under tidigare år fastställda förluster som hänför sig till förvärvsinkomstslaget.</w:t>
      </w:r>
    </w:p>
    <w:p w14:paraId="256F88FC" w14:textId="42E70097" w:rsidR="00F00CDB" w:rsidRDefault="00F00CDB" w:rsidP="00F00CDB">
      <w:pPr>
        <w:pStyle w:val="ANormal"/>
      </w:pPr>
    </w:p>
    <w:p w14:paraId="330E80EA" w14:textId="11AE6985" w:rsidR="00F00CDB" w:rsidRDefault="00F00CDB" w:rsidP="00F00CDB">
      <w:pPr>
        <w:pStyle w:val="LagParagraf"/>
      </w:pPr>
      <w:r>
        <w:t>2</w:t>
      </w:r>
      <w:r w:rsidR="0059641A">
        <w:t> §</w:t>
      </w:r>
    </w:p>
    <w:p w14:paraId="5401F507" w14:textId="6EBB0E5F" w:rsidR="00F00CDB" w:rsidRDefault="00F00CDB" w:rsidP="00F00CDB">
      <w:pPr>
        <w:pStyle w:val="LagPararubrik"/>
      </w:pPr>
      <w:r>
        <w:t>Bestämmelser som inte ska tillämpas vid kommunalbeskattningen</w:t>
      </w:r>
    </w:p>
    <w:p w14:paraId="19234022" w14:textId="4B192324" w:rsidR="00F00CDB" w:rsidRDefault="00F00CDB" w:rsidP="00F00CDB">
      <w:pPr>
        <w:pStyle w:val="ANormal"/>
      </w:pPr>
      <w:r>
        <w:tab/>
      </w:r>
      <w:r w:rsidRPr="00F00CDB">
        <w:t>Bestämmelserna om särskilda stadganden om naturliga avdrag, om avdrag för inkomstens förvärvande, om avdrag från nettoförvärvsinkomsten vid stats- och kommunalbeskattningen och om avdrag från kommunalskatt i inkomstskattelagen ska inte tillämpas vid kommunalbeskattningen. Dessutom ska inte bestämmelserna i 154</w:t>
      </w:r>
      <w:r w:rsidR="0059641A">
        <w:t> §</w:t>
      </w:r>
      <w:r w:rsidRPr="00F00CDB">
        <w:t xml:space="preserve"> inkomstskattelagen tillämpas vid kommunalbeskattningen.</w:t>
      </w:r>
    </w:p>
    <w:p w14:paraId="4B5785C2" w14:textId="77B34DA6" w:rsidR="00734658" w:rsidRDefault="00734658" w:rsidP="00F00CDB">
      <w:pPr>
        <w:pStyle w:val="ANormal"/>
      </w:pPr>
    </w:p>
    <w:p w14:paraId="34B6C1E8" w14:textId="49448248" w:rsidR="00734658" w:rsidRDefault="00734658" w:rsidP="00734658">
      <w:pPr>
        <w:pStyle w:val="LagParagraf"/>
      </w:pPr>
      <w:r>
        <w:t>9</w:t>
      </w:r>
      <w:r w:rsidR="0059641A">
        <w:t> §</w:t>
      </w:r>
    </w:p>
    <w:p w14:paraId="34E676D4" w14:textId="609EEE10" w:rsidR="00734658" w:rsidRDefault="00734658" w:rsidP="00734658">
      <w:pPr>
        <w:pStyle w:val="LagPararubrik"/>
      </w:pPr>
      <w:r>
        <w:t>Särskilda bestämmelser om naturliga avdrag</w:t>
      </w:r>
    </w:p>
    <w:p w14:paraId="083771D6" w14:textId="208AEB3D" w:rsidR="00734658" w:rsidRDefault="00734658" w:rsidP="00734658">
      <w:pPr>
        <w:pStyle w:val="ANormal"/>
      </w:pPr>
      <w:r>
        <w:tab/>
        <w:t>Utgifter för inkomstens förvärvande är bland annat</w:t>
      </w:r>
    </w:p>
    <w:p w14:paraId="095A01C3" w14:textId="77777777" w:rsidR="00B64442" w:rsidRDefault="00B64442">
      <w:pPr>
        <w:pStyle w:val="ANormal"/>
      </w:pPr>
      <w:r>
        <w:t>- - - - - - - - - - - - - - - - - - - - - - - - - - - - - - - - - - - - - - - - - - - - - - - - - - - -</w:t>
      </w:r>
    </w:p>
    <w:p w14:paraId="6F9378E7" w14:textId="2967DA0F" w:rsidR="00734658" w:rsidRDefault="00734658" w:rsidP="00734658">
      <w:pPr>
        <w:pStyle w:val="ANormal"/>
      </w:pPr>
      <w:r>
        <w:tab/>
        <w:t>5) skäliga kostnader som direkt har föranletts av skötseln av statliga förtroendeuppdrag samt avgifter som har tagits ut på mötesarvoden för kommunala förtroendeuppdrag</w:t>
      </w:r>
      <w:r w:rsidR="00B64442">
        <w:t xml:space="preserve"> eller för förtroendeuppdrag i välfärdsområden eller i välfärdssammanslutningar,</w:t>
      </w:r>
    </w:p>
    <w:p w14:paraId="420BEF28" w14:textId="77777777" w:rsidR="00B64442" w:rsidRDefault="00B64442">
      <w:pPr>
        <w:pStyle w:val="ANormal"/>
      </w:pPr>
      <w:r>
        <w:t>- - - - - - - - - - - - - - - - - - - - - - - - - - - - - - - - - - - - - - - - - - - - - - - - - - - -</w:t>
      </w:r>
    </w:p>
    <w:p w14:paraId="4A0BC2B9" w14:textId="403A1391" w:rsidR="00D315CE" w:rsidRDefault="00D315CE">
      <w:pPr>
        <w:pStyle w:val="ANormal"/>
      </w:pPr>
    </w:p>
    <w:p w14:paraId="0F0D6BC8" w14:textId="10DE6D5C" w:rsidR="00D315CE" w:rsidRDefault="00D315CE" w:rsidP="00D315CE">
      <w:pPr>
        <w:pStyle w:val="LagParagraf"/>
      </w:pPr>
      <w:r>
        <w:t>23</w:t>
      </w:r>
      <w:r w:rsidR="0059641A">
        <w:t> §</w:t>
      </w:r>
    </w:p>
    <w:p w14:paraId="7D1097A4" w14:textId="36AF24F6" w:rsidR="00D315CE" w:rsidRDefault="00D315CE" w:rsidP="00D315CE">
      <w:pPr>
        <w:pStyle w:val="LagPararubrik"/>
      </w:pPr>
      <w:r>
        <w:t>Grundavdrag</w:t>
      </w:r>
    </w:p>
    <w:p w14:paraId="7829B879" w14:textId="00F6AE21" w:rsidR="00D315CE" w:rsidRDefault="00D315CE" w:rsidP="00D315CE">
      <w:pPr>
        <w:pStyle w:val="ANormal"/>
      </w:pPr>
      <w:r>
        <w:tab/>
      </w:r>
      <w:r w:rsidRPr="00D315CE">
        <w:t>Om en skattskyldig fysisk person har en nettoförvärvsinkomst som efter de ovan nämnda avdragen inte överstiger 3</w:t>
      </w:r>
      <w:r w:rsidR="0059641A">
        <w:t> </w:t>
      </w:r>
      <w:r w:rsidRPr="00D315CE">
        <w:t>500 euro, ska detta inkomstbelopp dras av från nettoförvärvsinkomsten. Om nettoförvärvsinkomstens belopp efter de nämnda avdragen överstiger fullt grundavdrag, ska avdraget minskas med 8</w:t>
      </w:r>
      <w:r w:rsidR="00E30341">
        <w:t>,4</w:t>
      </w:r>
      <w:r w:rsidRPr="00D315CE">
        <w:t xml:space="preserve"> procent av den överskjutande inkomsten.</w:t>
      </w:r>
    </w:p>
    <w:p w14:paraId="695AB3CC" w14:textId="57B093FE" w:rsidR="00381607" w:rsidRDefault="00381607" w:rsidP="00D315CE">
      <w:pPr>
        <w:pStyle w:val="ANormal"/>
      </w:pPr>
    </w:p>
    <w:p w14:paraId="2C2A4CEB" w14:textId="2B0AE1F4" w:rsidR="00381607" w:rsidRDefault="00381607" w:rsidP="00381607">
      <w:pPr>
        <w:pStyle w:val="LagParagraf"/>
      </w:pPr>
      <w:r>
        <w:t>24</w:t>
      </w:r>
      <w:r w:rsidR="0059641A">
        <w:t> §</w:t>
      </w:r>
    </w:p>
    <w:p w14:paraId="13413DE5" w14:textId="3487C65D" w:rsidR="00381607" w:rsidRDefault="00381607" w:rsidP="00381607">
      <w:pPr>
        <w:pStyle w:val="LagPararubrik"/>
      </w:pPr>
      <w:r>
        <w:t>Avdrag som beviljas dödsbon för efterlevande make eller maka</w:t>
      </w:r>
    </w:p>
    <w:p w14:paraId="57D1A305" w14:textId="30152206" w:rsidR="00381607" w:rsidRDefault="00381607" w:rsidP="00381607">
      <w:pPr>
        <w:pStyle w:val="ANormal"/>
      </w:pPr>
      <w:r>
        <w:tab/>
      </w:r>
      <w:r w:rsidRPr="00381607">
        <w:t xml:space="preserve">Dödsboet beviljas pensionsförsäkringspremieavdrag och invalidavdrag vid kommunalbeskattningen för den efterlevande maken eller makan, om den efterlevande maken eller makan är delägare i dödsboet och han eller hon </w:t>
      </w:r>
      <w:r w:rsidRPr="00381607">
        <w:lastRenderedPageBreak/>
        <w:t>inte har yrkat på att de i första hand ska dras av från hans eller hennes egna inkomster.</w:t>
      </w:r>
    </w:p>
    <w:p w14:paraId="3AAE8EAD" w14:textId="77777777" w:rsidR="00D61839" w:rsidRDefault="00D61839" w:rsidP="00D61839">
      <w:pPr>
        <w:pStyle w:val="ANormal"/>
      </w:pPr>
    </w:p>
    <w:p w14:paraId="24D91084" w14:textId="7F5D6611" w:rsidR="00D61839" w:rsidRDefault="00D61839" w:rsidP="00D61839">
      <w:pPr>
        <w:pStyle w:val="LagParagraf"/>
      </w:pPr>
      <w:r>
        <w:t>26a</w:t>
      </w:r>
      <w:r w:rsidR="0059641A">
        <w:t> §</w:t>
      </w:r>
    </w:p>
    <w:p w14:paraId="365B56D2" w14:textId="2040017C" w:rsidR="00D61839" w:rsidRDefault="00D61839" w:rsidP="00D61839">
      <w:pPr>
        <w:pStyle w:val="LagPararubrik"/>
      </w:pPr>
      <w:r>
        <w:t>Hushållsavdraget från kommunalskatten skatteåren 2022–2027</w:t>
      </w:r>
    </w:p>
    <w:p w14:paraId="62E1C4F0" w14:textId="67B3983D" w:rsidR="00381607" w:rsidRPr="00381607" w:rsidRDefault="00D61839" w:rsidP="00D61839">
      <w:pPr>
        <w:pStyle w:val="ANormal"/>
      </w:pPr>
      <w:r>
        <w:tab/>
      </w:r>
      <w:r w:rsidR="00580714">
        <w:t>Vid kommunalbeskattningen för</w:t>
      </w:r>
      <w:r w:rsidR="00587B8C">
        <w:t xml:space="preserve"> skatteåren 2022–2027 får en skattskyldig göra hushållsavdrag från kommunalskatten enligt de grunder som anges i 127f</w:t>
      </w:r>
      <w:r w:rsidR="0059641A">
        <w:t> §</w:t>
      </w:r>
      <w:r w:rsidR="00587B8C">
        <w:t xml:space="preserve"> inkomstskattelagen till den del avdraget överstiger beloppet av inkomstskatten till staten</w:t>
      </w:r>
      <w:r w:rsidR="00587B8C" w:rsidRPr="00562E03">
        <w:t>.</w:t>
      </w:r>
      <w:r w:rsidR="001F501F" w:rsidRPr="00562E03">
        <w:t xml:space="preserve"> I övrigt tillämpas på hushållsavdrag enligt denna paragraf vad som föreskrivs i 26</w:t>
      </w:r>
      <w:r w:rsidR="0059641A">
        <w:t> §</w:t>
      </w:r>
      <w:r w:rsidR="001F501F" w:rsidRPr="00562E03">
        <w:t>.</w:t>
      </w:r>
    </w:p>
    <w:p w14:paraId="20618DA6" w14:textId="66D4F669" w:rsidR="00D61839" w:rsidRDefault="00D61839" w:rsidP="00D61839">
      <w:pPr>
        <w:pStyle w:val="ANormal"/>
      </w:pPr>
    </w:p>
    <w:p w14:paraId="5983D6AB" w14:textId="26DD8BC7" w:rsidR="00D61839" w:rsidRDefault="00D61839" w:rsidP="00D61839">
      <w:pPr>
        <w:pStyle w:val="LagParagraf"/>
      </w:pPr>
      <w:r>
        <w:t>26b</w:t>
      </w:r>
      <w:r w:rsidR="0059641A">
        <w:t> §</w:t>
      </w:r>
    </w:p>
    <w:p w14:paraId="31CF5542" w14:textId="0576351C" w:rsidR="00D61839" w:rsidRDefault="00D61839" w:rsidP="00D61839">
      <w:pPr>
        <w:pStyle w:val="LagPararubrik"/>
      </w:pPr>
      <w:r>
        <w:t>Hushållsavdraget på basis av elenergiräkningar 2023</w:t>
      </w:r>
    </w:p>
    <w:p w14:paraId="536DE9CF" w14:textId="78BBD015" w:rsidR="00D61839" w:rsidRDefault="00587B8C" w:rsidP="00587B8C">
      <w:pPr>
        <w:pStyle w:val="ANormal"/>
      </w:pPr>
      <w:r>
        <w:tab/>
      </w:r>
      <w:r w:rsidR="00580714">
        <w:t>Vid kommunalbeskattningen för</w:t>
      </w:r>
      <w:r>
        <w:t xml:space="preserve"> skatteåret 2023 får en skattskyldig göra hushållsavdrag från kommunalskatten enligt de grunder som anges i 127g</w:t>
      </w:r>
      <w:r w:rsidR="0059641A">
        <w:t> §</w:t>
      </w:r>
      <w:r>
        <w:t xml:space="preserve"> inkomstskattelagen</w:t>
      </w:r>
      <w:r w:rsidRPr="00587B8C">
        <w:t xml:space="preserve"> </w:t>
      </w:r>
      <w:r>
        <w:t>till den del avdraget överstiger beloppet av inkomstskatten till staten.</w:t>
      </w:r>
      <w:r w:rsidR="001F501F">
        <w:t xml:space="preserve"> </w:t>
      </w:r>
      <w:r w:rsidR="001F501F" w:rsidRPr="00562E03">
        <w:t>Avdraget görs på det sätt som anges i 26</w:t>
      </w:r>
      <w:r w:rsidR="0059641A">
        <w:t> §</w:t>
      </w:r>
      <w:r w:rsidR="001F501F" w:rsidRPr="00562E03">
        <w:t>.</w:t>
      </w:r>
    </w:p>
    <w:p w14:paraId="582AA652" w14:textId="77777777" w:rsidR="00871756" w:rsidRDefault="00871756" w:rsidP="00587B8C">
      <w:pPr>
        <w:pStyle w:val="ANormal"/>
      </w:pPr>
    </w:p>
    <w:p w14:paraId="4085CD5C" w14:textId="7450E58C" w:rsidR="00AF3004" w:rsidRDefault="00EA54B2" w:rsidP="00D61839">
      <w:pPr>
        <w:pStyle w:val="ANormal"/>
        <w:jc w:val="center"/>
      </w:pPr>
      <w:hyperlink w:anchor="_top" w:tooltip="Klicka för att gå till toppen av dokumentet" w:history="1">
        <w:r w:rsidR="00AF3004">
          <w:rPr>
            <w:rStyle w:val="Hyperlnk"/>
          </w:rPr>
          <w:t>__________________</w:t>
        </w:r>
      </w:hyperlink>
    </w:p>
    <w:p w14:paraId="682428C6" w14:textId="1481B19F" w:rsidR="00AF3004" w:rsidRDefault="00AF3004">
      <w:pPr>
        <w:pStyle w:val="ANormal"/>
      </w:pPr>
    </w:p>
    <w:p w14:paraId="4E87CD58" w14:textId="776ECC30" w:rsidR="00580714" w:rsidRDefault="00580714">
      <w:pPr>
        <w:pStyle w:val="ANormal"/>
      </w:pPr>
      <w:r>
        <w:tab/>
        <w:t>Denna lag träder i kraft den… och tillämpas första gången vid den kommunalbeskattning som verkställs för skatteåret 2023. Lagens 26a</w:t>
      </w:r>
      <w:r w:rsidR="0059641A">
        <w:t> §</w:t>
      </w:r>
      <w:r>
        <w:t xml:space="preserve"> tillämpas också vid den kommunalbeskattning som verkställs för skatteåret 2022 och gäller till och med den 31 december 2027. Lagens 26b</w:t>
      </w:r>
      <w:r w:rsidR="0059641A">
        <w:t> §</w:t>
      </w:r>
      <w:r>
        <w:t xml:space="preserve"> gäller till och med den 31 december 2023.</w:t>
      </w:r>
    </w:p>
    <w:p w14:paraId="2F602BD4" w14:textId="77777777" w:rsidR="00580714" w:rsidRDefault="00580714">
      <w:pPr>
        <w:pStyle w:val="ANormal"/>
      </w:pPr>
    </w:p>
    <w:p w14:paraId="4E3D126A"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2AF772C6" w14:textId="77777777">
        <w:trPr>
          <w:cantSplit/>
        </w:trPr>
        <w:tc>
          <w:tcPr>
            <w:tcW w:w="7931" w:type="dxa"/>
            <w:gridSpan w:val="2"/>
          </w:tcPr>
          <w:p w14:paraId="17F84839" w14:textId="1D9C86CA" w:rsidR="00AF3004" w:rsidRDefault="00AF3004">
            <w:pPr>
              <w:pStyle w:val="ANormal"/>
              <w:keepNext/>
            </w:pPr>
            <w:r>
              <w:t xml:space="preserve">Mariehamn </w:t>
            </w:r>
            <w:r w:rsidR="00F27E6E">
              <w:t>den 24 november 2022</w:t>
            </w:r>
          </w:p>
        </w:tc>
      </w:tr>
      <w:tr w:rsidR="00AF3004" w14:paraId="202E62B7" w14:textId="77777777">
        <w:tc>
          <w:tcPr>
            <w:tcW w:w="4454" w:type="dxa"/>
            <w:vAlign w:val="bottom"/>
          </w:tcPr>
          <w:p w14:paraId="71FAD504" w14:textId="77777777" w:rsidR="00AF3004" w:rsidRDefault="00AF3004">
            <w:pPr>
              <w:pStyle w:val="ANormal"/>
              <w:keepNext/>
            </w:pPr>
          </w:p>
          <w:p w14:paraId="3ECAF868" w14:textId="77777777" w:rsidR="00AF3004" w:rsidRDefault="00AF3004">
            <w:pPr>
              <w:pStyle w:val="ANormal"/>
              <w:keepNext/>
            </w:pPr>
          </w:p>
          <w:p w14:paraId="0BA894A9" w14:textId="77777777" w:rsidR="00AF3004" w:rsidRDefault="00AF3004">
            <w:pPr>
              <w:pStyle w:val="ANormal"/>
              <w:keepNext/>
            </w:pPr>
            <w:r>
              <w:t>L a n t r å d</w:t>
            </w:r>
          </w:p>
        </w:tc>
        <w:tc>
          <w:tcPr>
            <w:tcW w:w="3477" w:type="dxa"/>
            <w:vAlign w:val="bottom"/>
          </w:tcPr>
          <w:p w14:paraId="5D5BD9EE" w14:textId="77777777" w:rsidR="00AF3004" w:rsidRDefault="00AF3004">
            <w:pPr>
              <w:pStyle w:val="ANormal"/>
              <w:keepNext/>
            </w:pPr>
          </w:p>
          <w:p w14:paraId="27C464B1" w14:textId="77777777" w:rsidR="00AF3004" w:rsidRDefault="00AF3004">
            <w:pPr>
              <w:pStyle w:val="ANormal"/>
              <w:keepNext/>
            </w:pPr>
          </w:p>
          <w:p w14:paraId="34579CFD" w14:textId="5B29F8EA" w:rsidR="00AF3004" w:rsidRDefault="00E97F9B">
            <w:pPr>
              <w:pStyle w:val="ANormal"/>
              <w:keepNext/>
            </w:pPr>
            <w:r>
              <w:t>Veronica Thörnroos</w:t>
            </w:r>
          </w:p>
        </w:tc>
      </w:tr>
      <w:tr w:rsidR="00AF3004" w14:paraId="6D940F89" w14:textId="77777777">
        <w:tc>
          <w:tcPr>
            <w:tcW w:w="4454" w:type="dxa"/>
            <w:vAlign w:val="bottom"/>
          </w:tcPr>
          <w:p w14:paraId="2E8DC0ED" w14:textId="77777777" w:rsidR="00AF3004" w:rsidRDefault="00AF3004">
            <w:pPr>
              <w:pStyle w:val="ANormal"/>
              <w:keepNext/>
            </w:pPr>
          </w:p>
          <w:p w14:paraId="0F2F11A7" w14:textId="77777777" w:rsidR="00AF3004" w:rsidRDefault="00AF3004">
            <w:pPr>
              <w:pStyle w:val="ANormal"/>
              <w:keepNext/>
            </w:pPr>
          </w:p>
          <w:p w14:paraId="1BC4E712" w14:textId="60549DB5" w:rsidR="00AF3004" w:rsidRDefault="00AF3004">
            <w:pPr>
              <w:pStyle w:val="ANormal"/>
              <w:keepNext/>
            </w:pPr>
            <w:r>
              <w:t xml:space="preserve">Föredragande </w:t>
            </w:r>
            <w:r w:rsidR="00A928DC">
              <w:t>minister</w:t>
            </w:r>
          </w:p>
        </w:tc>
        <w:tc>
          <w:tcPr>
            <w:tcW w:w="3477" w:type="dxa"/>
            <w:vAlign w:val="bottom"/>
          </w:tcPr>
          <w:p w14:paraId="6BE1683D" w14:textId="77777777" w:rsidR="00AF3004" w:rsidRDefault="00AF3004">
            <w:pPr>
              <w:pStyle w:val="ANormal"/>
              <w:keepNext/>
            </w:pPr>
          </w:p>
          <w:p w14:paraId="4168F009" w14:textId="77777777" w:rsidR="00AF3004" w:rsidRDefault="00AF3004">
            <w:pPr>
              <w:pStyle w:val="ANormal"/>
              <w:keepNext/>
            </w:pPr>
          </w:p>
          <w:p w14:paraId="71CD571E" w14:textId="4D8F518F" w:rsidR="00AF3004" w:rsidRDefault="00E97F9B">
            <w:pPr>
              <w:pStyle w:val="ANormal"/>
              <w:keepNext/>
            </w:pPr>
            <w:r>
              <w:t>Roger Höglund</w:t>
            </w:r>
          </w:p>
        </w:tc>
      </w:tr>
    </w:tbl>
    <w:p w14:paraId="6424DB80" w14:textId="773B78D1" w:rsidR="00AF3004" w:rsidRDefault="00AF3004">
      <w:pPr>
        <w:pStyle w:val="ANormal"/>
      </w:pPr>
    </w:p>
    <w:p w14:paraId="3F96F2BF" w14:textId="1CEB56F1" w:rsidR="00871756" w:rsidRDefault="00871756">
      <w:pPr>
        <w:rPr>
          <w:sz w:val="22"/>
          <w:szCs w:val="20"/>
        </w:rPr>
      </w:pPr>
      <w:r>
        <w:br w:type="page"/>
      </w:r>
    </w:p>
    <w:p w14:paraId="0B730EF5" w14:textId="6EB08CB9" w:rsidR="00871756" w:rsidRDefault="00871756" w:rsidP="00871756">
      <w:pPr>
        <w:pStyle w:val="RubrikA"/>
      </w:pPr>
      <w:bookmarkStart w:id="21" w:name="_Toc120194612"/>
      <w:r>
        <w:lastRenderedPageBreak/>
        <w:t>Parallelltexter</w:t>
      </w:r>
      <w:bookmarkEnd w:id="21"/>
    </w:p>
    <w:p w14:paraId="061387DA" w14:textId="364F6660" w:rsidR="00871756" w:rsidRDefault="00871756" w:rsidP="00871756">
      <w:pPr>
        <w:pStyle w:val="Rubrikmellanrum"/>
      </w:pPr>
    </w:p>
    <w:p w14:paraId="1F1742D9" w14:textId="1D624ABC" w:rsidR="00871756" w:rsidRPr="00871756" w:rsidRDefault="00871756" w:rsidP="00871756">
      <w:pPr>
        <w:pStyle w:val="ArendeUnderRubrik"/>
      </w:pPr>
      <w:r>
        <w:t xml:space="preserve">Parallelltexter till landskapsregeringens lagförslag nr </w:t>
      </w:r>
      <w:r w:rsidR="00F27E6E">
        <w:t>10</w:t>
      </w:r>
      <w:r>
        <w:t>/</w:t>
      </w:r>
      <w:proofErr w:type="gramStart"/>
      <w:r>
        <w:t>2022-2023</w:t>
      </w:r>
      <w:proofErr w:type="gramEnd"/>
    </w:p>
    <w:sectPr w:rsidR="00871756" w:rsidRPr="00871756">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6A639" w14:textId="77777777" w:rsidR="00AE767B" w:rsidRDefault="00AE767B">
      <w:r>
        <w:separator/>
      </w:r>
    </w:p>
  </w:endnote>
  <w:endnote w:type="continuationSeparator" w:id="0">
    <w:p w14:paraId="7FF4E998" w14:textId="77777777" w:rsidR="00AE767B" w:rsidRDefault="00AE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2C6D"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1D6C" w14:textId="6CCD3435" w:rsidR="00AF3004" w:rsidRDefault="00871756">
    <w:pPr>
      <w:pStyle w:val="Sidfot"/>
      <w:rPr>
        <w:lang w:val="fi-FI"/>
      </w:rPr>
    </w:pPr>
    <w:r>
      <w:t>LF</w:t>
    </w:r>
    <w:r w:rsidR="00F27E6E">
      <w:t>10</w:t>
    </w:r>
    <w:r>
      <w:t>20222023.docx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9668C"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67F58" w14:textId="77777777" w:rsidR="00AE767B" w:rsidRDefault="00AE767B">
      <w:r>
        <w:separator/>
      </w:r>
    </w:p>
  </w:footnote>
  <w:footnote w:type="continuationSeparator" w:id="0">
    <w:p w14:paraId="258FEFD8" w14:textId="77777777" w:rsidR="00AE767B" w:rsidRDefault="00AE7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60068"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586A407D"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71F3"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361397743">
    <w:abstractNumId w:val="6"/>
  </w:num>
  <w:num w:numId="2" w16cid:durableId="468402048">
    <w:abstractNumId w:val="3"/>
  </w:num>
  <w:num w:numId="3" w16cid:durableId="1525048763">
    <w:abstractNumId w:val="2"/>
  </w:num>
  <w:num w:numId="4" w16cid:durableId="73011648">
    <w:abstractNumId w:val="1"/>
  </w:num>
  <w:num w:numId="5" w16cid:durableId="382213961">
    <w:abstractNumId w:val="0"/>
  </w:num>
  <w:num w:numId="6" w16cid:durableId="1680959155">
    <w:abstractNumId w:val="7"/>
  </w:num>
  <w:num w:numId="7" w16cid:durableId="687682900">
    <w:abstractNumId w:val="5"/>
  </w:num>
  <w:num w:numId="8" w16cid:durableId="516963675">
    <w:abstractNumId w:val="4"/>
  </w:num>
  <w:num w:numId="9" w16cid:durableId="474104386">
    <w:abstractNumId w:val="10"/>
  </w:num>
  <w:num w:numId="10" w16cid:durableId="719862090">
    <w:abstractNumId w:val="13"/>
  </w:num>
  <w:num w:numId="11" w16cid:durableId="14384285">
    <w:abstractNumId w:val="12"/>
  </w:num>
  <w:num w:numId="12" w16cid:durableId="1618024427">
    <w:abstractNumId w:val="16"/>
  </w:num>
  <w:num w:numId="13" w16cid:durableId="1190605746">
    <w:abstractNumId w:val="11"/>
  </w:num>
  <w:num w:numId="14" w16cid:durableId="1934313871">
    <w:abstractNumId w:val="15"/>
  </w:num>
  <w:num w:numId="15" w16cid:durableId="631449972">
    <w:abstractNumId w:val="9"/>
  </w:num>
  <w:num w:numId="16" w16cid:durableId="270288193">
    <w:abstractNumId w:val="21"/>
  </w:num>
  <w:num w:numId="17" w16cid:durableId="421221120">
    <w:abstractNumId w:val="8"/>
  </w:num>
  <w:num w:numId="18" w16cid:durableId="2143233772">
    <w:abstractNumId w:val="17"/>
  </w:num>
  <w:num w:numId="19" w16cid:durableId="1790316832">
    <w:abstractNumId w:val="20"/>
  </w:num>
  <w:num w:numId="20" w16cid:durableId="1016267787">
    <w:abstractNumId w:val="23"/>
  </w:num>
  <w:num w:numId="21" w16cid:durableId="1353678402">
    <w:abstractNumId w:val="22"/>
  </w:num>
  <w:num w:numId="22" w16cid:durableId="1829055427">
    <w:abstractNumId w:val="14"/>
  </w:num>
  <w:num w:numId="23" w16cid:durableId="493301167">
    <w:abstractNumId w:val="18"/>
  </w:num>
  <w:num w:numId="24" w16cid:durableId="1522469695">
    <w:abstractNumId w:val="18"/>
  </w:num>
  <w:num w:numId="25" w16cid:durableId="669254770">
    <w:abstractNumId w:val="19"/>
  </w:num>
  <w:num w:numId="26" w16cid:durableId="1194272617">
    <w:abstractNumId w:val="14"/>
  </w:num>
  <w:num w:numId="27" w16cid:durableId="374155722">
    <w:abstractNumId w:val="14"/>
  </w:num>
  <w:num w:numId="28" w16cid:durableId="1396928643">
    <w:abstractNumId w:val="14"/>
  </w:num>
  <w:num w:numId="29" w16cid:durableId="617492901">
    <w:abstractNumId w:val="14"/>
  </w:num>
  <w:num w:numId="30" w16cid:durableId="1145392833">
    <w:abstractNumId w:val="14"/>
  </w:num>
  <w:num w:numId="31" w16cid:durableId="413403506">
    <w:abstractNumId w:val="14"/>
  </w:num>
  <w:num w:numId="32" w16cid:durableId="2077974488">
    <w:abstractNumId w:val="14"/>
  </w:num>
  <w:num w:numId="33" w16cid:durableId="1028872958">
    <w:abstractNumId w:val="14"/>
  </w:num>
  <w:num w:numId="34" w16cid:durableId="129595899">
    <w:abstractNumId w:val="14"/>
  </w:num>
  <w:num w:numId="35" w16cid:durableId="1857646822">
    <w:abstractNumId w:val="18"/>
  </w:num>
  <w:num w:numId="36" w16cid:durableId="2123306683">
    <w:abstractNumId w:val="19"/>
  </w:num>
  <w:num w:numId="37" w16cid:durableId="1040938885">
    <w:abstractNumId w:val="14"/>
  </w:num>
  <w:num w:numId="38" w16cid:durableId="1818303538">
    <w:abstractNumId w:val="14"/>
  </w:num>
  <w:num w:numId="39" w16cid:durableId="1352880442">
    <w:abstractNumId w:val="14"/>
  </w:num>
  <w:num w:numId="40" w16cid:durableId="1595279704">
    <w:abstractNumId w:val="14"/>
  </w:num>
  <w:num w:numId="41" w16cid:durableId="755325817">
    <w:abstractNumId w:val="14"/>
  </w:num>
  <w:num w:numId="42" w16cid:durableId="2106415789">
    <w:abstractNumId w:val="14"/>
  </w:num>
  <w:num w:numId="43" w16cid:durableId="1879706798">
    <w:abstractNumId w:val="14"/>
  </w:num>
  <w:num w:numId="44" w16cid:durableId="718239902">
    <w:abstractNumId w:val="14"/>
  </w:num>
  <w:num w:numId="45" w16cid:durableId="5090248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67B"/>
    <w:rsid w:val="00000CA0"/>
    <w:rsid w:val="00011C70"/>
    <w:rsid w:val="000249E8"/>
    <w:rsid w:val="00034796"/>
    <w:rsid w:val="00034AE2"/>
    <w:rsid w:val="0003544E"/>
    <w:rsid w:val="000368E5"/>
    <w:rsid w:val="000542C2"/>
    <w:rsid w:val="0006007F"/>
    <w:rsid w:val="00082E0A"/>
    <w:rsid w:val="00095B06"/>
    <w:rsid w:val="000C6FF6"/>
    <w:rsid w:val="000E26AF"/>
    <w:rsid w:val="000E7F44"/>
    <w:rsid w:val="000F05AA"/>
    <w:rsid w:val="000F1953"/>
    <w:rsid w:val="000F23A3"/>
    <w:rsid w:val="000F314F"/>
    <w:rsid w:val="001007DC"/>
    <w:rsid w:val="00107230"/>
    <w:rsid w:val="0011089B"/>
    <w:rsid w:val="00164AC2"/>
    <w:rsid w:val="00183E47"/>
    <w:rsid w:val="0018584B"/>
    <w:rsid w:val="001A31FC"/>
    <w:rsid w:val="001A5AF5"/>
    <w:rsid w:val="001B280D"/>
    <w:rsid w:val="001B5D37"/>
    <w:rsid w:val="001B5E53"/>
    <w:rsid w:val="001B7505"/>
    <w:rsid w:val="001F501F"/>
    <w:rsid w:val="001F66B9"/>
    <w:rsid w:val="001F74CE"/>
    <w:rsid w:val="00202894"/>
    <w:rsid w:val="00204801"/>
    <w:rsid w:val="002048E5"/>
    <w:rsid w:val="002155F5"/>
    <w:rsid w:val="002158D4"/>
    <w:rsid w:val="00222102"/>
    <w:rsid w:val="002240CA"/>
    <w:rsid w:val="002268E3"/>
    <w:rsid w:val="00246931"/>
    <w:rsid w:val="00251C99"/>
    <w:rsid w:val="00253885"/>
    <w:rsid w:val="00261501"/>
    <w:rsid w:val="0026202F"/>
    <w:rsid w:val="00262F90"/>
    <w:rsid w:val="00271C8E"/>
    <w:rsid w:val="00271C9F"/>
    <w:rsid w:val="00276C19"/>
    <w:rsid w:val="00284F5E"/>
    <w:rsid w:val="002B1B99"/>
    <w:rsid w:val="002C3CEA"/>
    <w:rsid w:val="002E2CDA"/>
    <w:rsid w:val="002F2634"/>
    <w:rsid w:val="00314A48"/>
    <w:rsid w:val="00342FC4"/>
    <w:rsid w:val="0036459E"/>
    <w:rsid w:val="00371052"/>
    <w:rsid w:val="00381607"/>
    <w:rsid w:val="00382754"/>
    <w:rsid w:val="003840C5"/>
    <w:rsid w:val="003863C1"/>
    <w:rsid w:val="00397A8D"/>
    <w:rsid w:val="003A0119"/>
    <w:rsid w:val="003A50B0"/>
    <w:rsid w:val="003B2E9E"/>
    <w:rsid w:val="003B37D6"/>
    <w:rsid w:val="003B5FC4"/>
    <w:rsid w:val="003C312C"/>
    <w:rsid w:val="00405678"/>
    <w:rsid w:val="00412C31"/>
    <w:rsid w:val="00415370"/>
    <w:rsid w:val="004276F4"/>
    <w:rsid w:val="00430D83"/>
    <w:rsid w:val="00433122"/>
    <w:rsid w:val="00437387"/>
    <w:rsid w:val="00463DF2"/>
    <w:rsid w:val="00464E03"/>
    <w:rsid w:val="00465501"/>
    <w:rsid w:val="00497E12"/>
    <w:rsid w:val="004A3508"/>
    <w:rsid w:val="004A6BA1"/>
    <w:rsid w:val="004B0628"/>
    <w:rsid w:val="004B368E"/>
    <w:rsid w:val="004C31CB"/>
    <w:rsid w:val="004D3F5E"/>
    <w:rsid w:val="004D3FDE"/>
    <w:rsid w:val="004D7A8C"/>
    <w:rsid w:val="004E0074"/>
    <w:rsid w:val="004E6897"/>
    <w:rsid w:val="00502AAD"/>
    <w:rsid w:val="005143AC"/>
    <w:rsid w:val="00520B0C"/>
    <w:rsid w:val="005242C5"/>
    <w:rsid w:val="00547353"/>
    <w:rsid w:val="00551201"/>
    <w:rsid w:val="00562E03"/>
    <w:rsid w:val="00580714"/>
    <w:rsid w:val="00585FD5"/>
    <w:rsid w:val="00587B8C"/>
    <w:rsid w:val="00587FBB"/>
    <w:rsid w:val="005923E7"/>
    <w:rsid w:val="0059641A"/>
    <w:rsid w:val="005B5663"/>
    <w:rsid w:val="005C47E7"/>
    <w:rsid w:val="005D5E29"/>
    <w:rsid w:val="005E76F4"/>
    <w:rsid w:val="005F1DF9"/>
    <w:rsid w:val="00603912"/>
    <w:rsid w:val="00605314"/>
    <w:rsid w:val="00624CD2"/>
    <w:rsid w:val="006724F5"/>
    <w:rsid w:val="0069463A"/>
    <w:rsid w:val="00694BC2"/>
    <w:rsid w:val="006B633C"/>
    <w:rsid w:val="006C1F96"/>
    <w:rsid w:val="006D3CBC"/>
    <w:rsid w:val="00701B8C"/>
    <w:rsid w:val="007045B0"/>
    <w:rsid w:val="00711999"/>
    <w:rsid w:val="00722128"/>
    <w:rsid w:val="00734658"/>
    <w:rsid w:val="00746890"/>
    <w:rsid w:val="00756388"/>
    <w:rsid w:val="00756E2C"/>
    <w:rsid w:val="00762BB0"/>
    <w:rsid w:val="007672A4"/>
    <w:rsid w:val="00767AA2"/>
    <w:rsid w:val="00767DAD"/>
    <w:rsid w:val="00772FE1"/>
    <w:rsid w:val="007765BC"/>
    <w:rsid w:val="0078668A"/>
    <w:rsid w:val="0079072B"/>
    <w:rsid w:val="007C2564"/>
    <w:rsid w:val="007C3C4D"/>
    <w:rsid w:val="007D134B"/>
    <w:rsid w:val="007D1A63"/>
    <w:rsid w:val="007F581E"/>
    <w:rsid w:val="00806E7D"/>
    <w:rsid w:val="00820F94"/>
    <w:rsid w:val="008450DA"/>
    <w:rsid w:val="00853903"/>
    <w:rsid w:val="00854670"/>
    <w:rsid w:val="008627B4"/>
    <w:rsid w:val="00871756"/>
    <w:rsid w:val="00872945"/>
    <w:rsid w:val="00874C12"/>
    <w:rsid w:val="00874E3E"/>
    <w:rsid w:val="00881CCB"/>
    <w:rsid w:val="00885AFA"/>
    <w:rsid w:val="00885E72"/>
    <w:rsid w:val="008C4E91"/>
    <w:rsid w:val="008D1944"/>
    <w:rsid w:val="008E5F42"/>
    <w:rsid w:val="008E6077"/>
    <w:rsid w:val="008E6E33"/>
    <w:rsid w:val="0090234E"/>
    <w:rsid w:val="00942560"/>
    <w:rsid w:val="00944401"/>
    <w:rsid w:val="00984174"/>
    <w:rsid w:val="00984F62"/>
    <w:rsid w:val="009970EE"/>
    <w:rsid w:val="009A30ED"/>
    <w:rsid w:val="009B5ECF"/>
    <w:rsid w:val="009C7F21"/>
    <w:rsid w:val="009D1479"/>
    <w:rsid w:val="009E051B"/>
    <w:rsid w:val="009E2378"/>
    <w:rsid w:val="00A23791"/>
    <w:rsid w:val="00A32351"/>
    <w:rsid w:val="00A37447"/>
    <w:rsid w:val="00A56E92"/>
    <w:rsid w:val="00A914E0"/>
    <w:rsid w:val="00A928DC"/>
    <w:rsid w:val="00A97A7B"/>
    <w:rsid w:val="00AA2034"/>
    <w:rsid w:val="00AA3A24"/>
    <w:rsid w:val="00AA5393"/>
    <w:rsid w:val="00AB1A5D"/>
    <w:rsid w:val="00AC3741"/>
    <w:rsid w:val="00AD5CD1"/>
    <w:rsid w:val="00AE6AC5"/>
    <w:rsid w:val="00AE739B"/>
    <w:rsid w:val="00AE767B"/>
    <w:rsid w:val="00AF3004"/>
    <w:rsid w:val="00B102EB"/>
    <w:rsid w:val="00B21044"/>
    <w:rsid w:val="00B44A65"/>
    <w:rsid w:val="00B53648"/>
    <w:rsid w:val="00B64442"/>
    <w:rsid w:val="00B64FF0"/>
    <w:rsid w:val="00B7614F"/>
    <w:rsid w:val="00B95DA4"/>
    <w:rsid w:val="00BA2DEA"/>
    <w:rsid w:val="00BC25B7"/>
    <w:rsid w:val="00BC6B2C"/>
    <w:rsid w:val="00BC78E6"/>
    <w:rsid w:val="00BD2C64"/>
    <w:rsid w:val="00BD76E3"/>
    <w:rsid w:val="00BE0CC9"/>
    <w:rsid w:val="00BE1280"/>
    <w:rsid w:val="00BE1F82"/>
    <w:rsid w:val="00BE2194"/>
    <w:rsid w:val="00BF31F0"/>
    <w:rsid w:val="00C019FA"/>
    <w:rsid w:val="00C2051C"/>
    <w:rsid w:val="00C41274"/>
    <w:rsid w:val="00C43681"/>
    <w:rsid w:val="00C6388D"/>
    <w:rsid w:val="00C801B0"/>
    <w:rsid w:val="00CC58EA"/>
    <w:rsid w:val="00CC5D98"/>
    <w:rsid w:val="00CD63C3"/>
    <w:rsid w:val="00CD6C76"/>
    <w:rsid w:val="00CE0151"/>
    <w:rsid w:val="00CF0638"/>
    <w:rsid w:val="00D1287D"/>
    <w:rsid w:val="00D279C6"/>
    <w:rsid w:val="00D315CE"/>
    <w:rsid w:val="00D61839"/>
    <w:rsid w:val="00D66EE4"/>
    <w:rsid w:val="00D67CD2"/>
    <w:rsid w:val="00D81B46"/>
    <w:rsid w:val="00D87AAF"/>
    <w:rsid w:val="00DA0F3C"/>
    <w:rsid w:val="00DB3ADB"/>
    <w:rsid w:val="00DD5E39"/>
    <w:rsid w:val="00DD6737"/>
    <w:rsid w:val="00DF0E00"/>
    <w:rsid w:val="00DF3653"/>
    <w:rsid w:val="00DF550A"/>
    <w:rsid w:val="00E13420"/>
    <w:rsid w:val="00E21C40"/>
    <w:rsid w:val="00E24DEA"/>
    <w:rsid w:val="00E2500B"/>
    <w:rsid w:val="00E30341"/>
    <w:rsid w:val="00E32342"/>
    <w:rsid w:val="00E50002"/>
    <w:rsid w:val="00E519AB"/>
    <w:rsid w:val="00E57E06"/>
    <w:rsid w:val="00E7792A"/>
    <w:rsid w:val="00E87A86"/>
    <w:rsid w:val="00E97F9B"/>
    <w:rsid w:val="00EA111A"/>
    <w:rsid w:val="00EA54B2"/>
    <w:rsid w:val="00EB26C0"/>
    <w:rsid w:val="00F002DA"/>
    <w:rsid w:val="00F00CDB"/>
    <w:rsid w:val="00F21528"/>
    <w:rsid w:val="00F26884"/>
    <w:rsid w:val="00F27E6E"/>
    <w:rsid w:val="00F366DC"/>
    <w:rsid w:val="00F37345"/>
    <w:rsid w:val="00F4138F"/>
    <w:rsid w:val="00F50CC4"/>
    <w:rsid w:val="00F57BD9"/>
    <w:rsid w:val="00F66243"/>
    <w:rsid w:val="00F67E7F"/>
    <w:rsid w:val="00F94C13"/>
    <w:rsid w:val="00F97340"/>
    <w:rsid w:val="00FB6E68"/>
    <w:rsid w:val="00FC05B7"/>
    <w:rsid w:val="00FD428D"/>
    <w:rsid w:val="00FD4B28"/>
    <w:rsid w:val="00FD6449"/>
    <w:rsid w:val="00FF29BE"/>
    <w:rsid w:val="00FF5772"/>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30504"/>
  <w15:chartTrackingRefBased/>
  <w15:docId w15:val="{735D1AB4-2E95-4369-BFE4-59EB9949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table" w:styleId="Tabellrutnt">
    <w:name w:val="Table Grid"/>
    <w:basedOn w:val="Normaltabell"/>
    <w:uiPriority w:val="59"/>
    <w:rsid w:val="00984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420139">
      <w:bodyDiv w:val="1"/>
      <w:marLeft w:val="0"/>
      <w:marRight w:val="0"/>
      <w:marTop w:val="0"/>
      <w:marBottom w:val="0"/>
      <w:divBdr>
        <w:top w:val="none" w:sz="0" w:space="0" w:color="auto"/>
        <w:left w:val="none" w:sz="0" w:space="0" w:color="auto"/>
        <w:bottom w:val="none" w:sz="0" w:space="0" w:color="auto"/>
        <w:right w:val="none" w:sz="0" w:space="0" w:color="auto"/>
      </w:divBdr>
      <w:divsChild>
        <w:div w:id="1732583106">
          <w:marLeft w:val="0"/>
          <w:marRight w:val="0"/>
          <w:marTop w:val="0"/>
          <w:marBottom w:val="0"/>
          <w:divBdr>
            <w:top w:val="none" w:sz="0" w:space="0" w:color="auto"/>
            <w:left w:val="none" w:sz="0" w:space="0" w:color="auto"/>
            <w:bottom w:val="none" w:sz="0" w:space="0" w:color="auto"/>
            <w:right w:val="none" w:sz="0" w:space="0" w:color="auto"/>
          </w:divBdr>
        </w:div>
        <w:div w:id="363991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LS-Framställning.dot</Template>
  <TotalTime>1</TotalTime>
  <Pages>14</Pages>
  <Words>5160</Words>
  <Characters>32408</Characters>
  <Application>Microsoft Office Word</Application>
  <DocSecurity>0</DocSecurity>
  <Lines>270</Lines>
  <Paragraphs>74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37494</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Diana Lönngren</dc:creator>
  <cp:keywords/>
  <dc:description/>
  <cp:lastModifiedBy>Jessica Laaksonen</cp:lastModifiedBy>
  <cp:revision>2</cp:revision>
  <cp:lastPrinted>2022-11-22T14:59:00Z</cp:lastPrinted>
  <dcterms:created xsi:type="dcterms:W3CDTF">2022-11-25T08:42:00Z</dcterms:created>
  <dcterms:modified xsi:type="dcterms:W3CDTF">2022-11-25T08:42:00Z</dcterms:modified>
</cp:coreProperties>
</file>