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B7981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B541A40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24C36BB" wp14:editId="00DC807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47FF226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63961F3" wp14:editId="026F5F67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B729D7E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1F57F8F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CF69B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BC40EA4" w14:textId="0655B296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7F429F">
              <w:t>71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0E3FFDE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710C49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9538CB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549D524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C82BAAC" w14:textId="77777777" w:rsidR="000B3F00" w:rsidRDefault="000B3F00">
            <w:pPr>
              <w:pStyle w:val="xLedtext"/>
            </w:pPr>
          </w:p>
        </w:tc>
      </w:tr>
      <w:tr w:rsidR="000B3F00" w14:paraId="038A8D5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7FB465A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DC6CB95" w14:textId="1EFB3F44" w:rsidR="000B3F00" w:rsidRDefault="001F13E2">
            <w:pPr>
              <w:pStyle w:val="xAvsandare2"/>
            </w:pPr>
            <w:r w:rsidRPr="001F13E2">
              <w:t xml:space="preserve">Alfons </w:t>
            </w:r>
            <w:proofErr w:type="spellStart"/>
            <w:r w:rsidRPr="001F13E2">
              <w:t>Röblom</w:t>
            </w:r>
            <w:proofErr w:type="spellEnd"/>
            <w:r w:rsidR="005A564B">
              <w:t xml:space="preserve"> m.fl. </w:t>
            </w:r>
          </w:p>
        </w:tc>
        <w:tc>
          <w:tcPr>
            <w:tcW w:w="1204" w:type="dxa"/>
            <w:vAlign w:val="center"/>
          </w:tcPr>
          <w:p w14:paraId="1E7CC14A" w14:textId="2F1047F6" w:rsidR="000B3F00" w:rsidRDefault="00962677" w:rsidP="0012085E">
            <w:pPr>
              <w:pStyle w:val="xDatum1"/>
            </w:pPr>
            <w:r w:rsidRPr="00962677">
              <w:t>2022-11-</w:t>
            </w:r>
            <w:r w:rsidR="00250EB7">
              <w:t>1</w:t>
            </w:r>
            <w:r w:rsidR="00966070">
              <w:t>1</w:t>
            </w:r>
          </w:p>
        </w:tc>
        <w:tc>
          <w:tcPr>
            <w:tcW w:w="2326" w:type="dxa"/>
            <w:vAlign w:val="center"/>
          </w:tcPr>
          <w:p w14:paraId="330FE32A" w14:textId="77777777" w:rsidR="000B3F00" w:rsidRDefault="000B3F00">
            <w:pPr>
              <w:pStyle w:val="xBeteckning1"/>
            </w:pPr>
          </w:p>
        </w:tc>
      </w:tr>
      <w:tr w:rsidR="000B3F00" w14:paraId="2A9D57B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5CF63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A5F150C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CB71824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726126B" w14:textId="77777777" w:rsidR="000B3F00" w:rsidRDefault="000B3F00">
            <w:pPr>
              <w:pStyle w:val="xLedtext"/>
            </w:pPr>
          </w:p>
        </w:tc>
      </w:tr>
      <w:tr w:rsidR="000B3F00" w14:paraId="45107D96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13B77FF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1777464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EB8D275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36E99D7" w14:textId="77777777" w:rsidR="000B3F00" w:rsidRDefault="000B3F00">
            <w:pPr>
              <w:pStyle w:val="xBeteckning2"/>
            </w:pPr>
          </w:p>
        </w:tc>
      </w:tr>
      <w:tr w:rsidR="000B3F00" w14:paraId="72879494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4AEAAF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BE1F73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6D69E67" w14:textId="77777777" w:rsidR="000B3F00" w:rsidRDefault="000B3F00">
            <w:pPr>
              <w:pStyle w:val="xLedtext"/>
            </w:pPr>
          </w:p>
        </w:tc>
      </w:tr>
      <w:tr w:rsidR="000B3F00" w14:paraId="16BF4601" w14:textId="77777777" w:rsidTr="47312E3B">
        <w:trPr>
          <w:cantSplit/>
          <w:trHeight w:val="238"/>
        </w:trPr>
        <w:tc>
          <w:tcPr>
            <w:tcW w:w="851" w:type="dxa"/>
          </w:tcPr>
          <w:p w14:paraId="565BF6B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113A0C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90B6F7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22B9D36" w14:textId="77777777" w:rsidTr="47312E3B">
        <w:trPr>
          <w:cantSplit/>
          <w:trHeight w:val="238"/>
        </w:trPr>
        <w:tc>
          <w:tcPr>
            <w:tcW w:w="851" w:type="dxa"/>
          </w:tcPr>
          <w:p w14:paraId="42ED42D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3293D7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26F903" w14:textId="77777777" w:rsidR="000B3F00" w:rsidRDefault="000B3F00">
            <w:pPr>
              <w:pStyle w:val="xCelltext"/>
            </w:pPr>
          </w:p>
        </w:tc>
      </w:tr>
      <w:tr w:rsidR="000B3F00" w14:paraId="7AC79433" w14:textId="77777777" w:rsidTr="47312E3B">
        <w:trPr>
          <w:cantSplit/>
          <w:trHeight w:val="238"/>
        </w:trPr>
        <w:tc>
          <w:tcPr>
            <w:tcW w:w="851" w:type="dxa"/>
          </w:tcPr>
          <w:p w14:paraId="0E3B188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C27E6B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1CA590F" w14:textId="77777777" w:rsidR="000B3F00" w:rsidRDefault="000B3F00">
            <w:pPr>
              <w:pStyle w:val="xCelltext"/>
            </w:pPr>
          </w:p>
        </w:tc>
      </w:tr>
    </w:tbl>
    <w:p w14:paraId="3D87DA16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Nytt praktikprogram för ministerassistenter</w:t>
      </w:r>
    </w:p>
    <w:p w14:paraId="1FC66492" w14:textId="77777777" w:rsidR="000B3F00" w:rsidRDefault="000B3F00">
      <w:pPr>
        <w:pStyle w:val="ANormal"/>
      </w:pPr>
    </w:p>
    <w:p w14:paraId="190D0211" w14:textId="77777777" w:rsidR="006627DE" w:rsidRDefault="00B13082">
      <w:pPr>
        <w:pStyle w:val="ANormal"/>
      </w:pPr>
      <w:r>
        <w:t>Det autonoma Ålands regering förväntas i de flesta avseenden fungera som andra parlamentariskt tillsatta regeringar i vår omvärld, med det ansvar som därmed följer för ministrarna.</w:t>
      </w:r>
    </w:p>
    <w:p w14:paraId="23151587" w14:textId="77777777" w:rsidR="006A7F9B" w:rsidRDefault="006A7F9B">
      <w:pPr>
        <w:pStyle w:val="ANormal"/>
      </w:pPr>
    </w:p>
    <w:p w14:paraId="7AE79D3A" w14:textId="719955F2" w:rsidR="006A7F9B" w:rsidRDefault="00250EB7">
      <w:pPr>
        <w:pStyle w:val="ANormal"/>
      </w:pPr>
      <w:r>
        <w:t>Det torde vara allmänt känt att samhällets hjul snurrar väldigt snabbt, med en växande mängd komplexa frågor och utmaningar, och ett skriande behov av ständig omvärldsbevakning och kommunikation.</w:t>
      </w:r>
    </w:p>
    <w:p w14:paraId="2287BB53" w14:textId="77777777" w:rsidR="006A7F9B" w:rsidRDefault="006A7F9B">
      <w:pPr>
        <w:pStyle w:val="ANormal"/>
      </w:pPr>
    </w:p>
    <w:p w14:paraId="4C2A1F5E" w14:textId="0BE80C6E" w:rsidR="006A7F9B" w:rsidRDefault="00250EB7">
      <w:pPr>
        <w:pStyle w:val="ANormal"/>
      </w:pPr>
      <w:r>
        <w:t xml:space="preserve">För att effektivt kunna ta sig an Ålands utmaningar på ett strategiskt och långsiktigt sätt finns det ett </w:t>
      </w:r>
      <w:r w:rsidR="00D13873">
        <w:t xml:space="preserve">stort </w:t>
      </w:r>
      <w:r>
        <w:t>behov av att stärka den åländska regeringens politiska resurser.</w:t>
      </w:r>
    </w:p>
    <w:p w14:paraId="0702262E" w14:textId="77777777" w:rsidR="006A7F9B" w:rsidRDefault="006A7F9B">
      <w:pPr>
        <w:pStyle w:val="ANormal"/>
      </w:pPr>
    </w:p>
    <w:p w14:paraId="787F5BB2" w14:textId="69B36BAD" w:rsidR="006A7F9B" w:rsidRDefault="00250EB7">
      <w:pPr>
        <w:pStyle w:val="ANormal"/>
      </w:pPr>
      <w:r>
        <w:t>Ett sätt att inleda den förstärkningen är att skapa ett skilt praktikprogram för ministerassistenter. Programmet skulle vara riktat till nyligen utexaminerade högskolestuderanden</w:t>
      </w:r>
      <w:r w:rsidR="00D13873">
        <w:t>, eller studeranden i slutskedet av studierna,</w:t>
      </w:r>
      <w:r>
        <w:t xml:space="preserve"> med lämplig inriktning som önskar få viktig praktikerfarenhet, eller till personer som av annan anledning önskar tillgodogöra sig nya erfarenheter (</w:t>
      </w:r>
      <w:proofErr w:type="gramStart"/>
      <w:r>
        <w:t>t.ex.</w:t>
      </w:r>
      <w:proofErr w:type="gramEnd"/>
      <w:r>
        <w:t xml:space="preserve"> som ett slags utbyte med departement och ministerier i Sverige och Finland). Programmet skulle vara minst sex månader och berättiga till praktiklön eller annan lämplig kompensation.</w:t>
      </w:r>
    </w:p>
    <w:p w14:paraId="48EDA337" w14:textId="77777777" w:rsidR="006A7F9B" w:rsidRDefault="006A7F9B">
      <w:pPr>
        <w:pStyle w:val="ANormal"/>
      </w:pPr>
    </w:p>
    <w:p w14:paraId="5F9B5004" w14:textId="77777777" w:rsidR="006A7F9B" w:rsidRDefault="00250EB7">
      <w:pPr>
        <w:pStyle w:val="ANormal"/>
      </w:pPr>
      <w:r>
        <w:t>Förutom att innebära en konkret förstärkning för den politiska regeringen, skulle praktikprogrammet också vara en välkommen inkörsport till självstyrelsens politik och förvaltning.</w:t>
      </w:r>
    </w:p>
    <w:p w14:paraId="64599DE4" w14:textId="77777777" w:rsidR="006A7F9B" w:rsidRDefault="006A7F9B">
      <w:pPr>
        <w:pStyle w:val="ANormal"/>
      </w:pPr>
    </w:p>
    <w:p w14:paraId="5D0B1801" w14:textId="77777777" w:rsidR="00514927" w:rsidRDefault="00514927">
      <w:pPr>
        <w:pStyle w:val="ANormal"/>
        <w:rPr>
          <w:b/>
        </w:rPr>
      </w:pPr>
    </w:p>
    <w:p w14:paraId="5AFB4167" w14:textId="6D32B29A" w:rsidR="00962677" w:rsidRDefault="009D5985" w:rsidP="00BD78E0">
      <w:pPr>
        <w:pStyle w:val="ANormal"/>
        <w:rPr>
          <w:bCs/>
        </w:rPr>
      </w:pPr>
      <w:r w:rsidRPr="009D5985">
        <w:rPr>
          <w:b/>
        </w:rPr>
        <w:t>FÖRSLAG</w:t>
      </w:r>
    </w:p>
    <w:p w14:paraId="7408E342" w14:textId="77777777" w:rsidR="00962677" w:rsidRDefault="00962677" w:rsidP="00962677">
      <w:pPr>
        <w:pStyle w:val="Klam"/>
        <w:rPr>
          <w:bCs/>
        </w:rPr>
      </w:pPr>
    </w:p>
    <w:p w14:paraId="140348D3" w14:textId="5B8C2A0D" w:rsidR="00962677" w:rsidRDefault="00BD78E0" w:rsidP="00962677">
      <w:pPr>
        <w:pStyle w:val="Klam"/>
      </w:pPr>
      <w:r>
        <w:rPr>
          <w:b/>
        </w:rPr>
        <w:t>Kapitel</w:t>
      </w:r>
      <w:r w:rsidR="00962677">
        <w:rPr>
          <w:b/>
        </w:rPr>
        <w:t xml:space="preserve">: </w:t>
      </w:r>
      <w:r w:rsidR="00962677" w:rsidRPr="00962677">
        <w:t>210 Regeringskansliet (s.</w:t>
      </w:r>
      <w:r w:rsidR="00B2446B">
        <w:t xml:space="preserve"> </w:t>
      </w:r>
      <w:r w:rsidR="00962677" w:rsidRPr="00962677">
        <w:t>3</w:t>
      </w:r>
      <w:r w:rsidR="00250EB7">
        <w:t>5</w:t>
      </w:r>
      <w:r w:rsidR="00962677" w:rsidRPr="00962677">
        <w:t>)</w:t>
      </w:r>
    </w:p>
    <w:p w14:paraId="381F61E9" w14:textId="083640C9" w:rsidR="00250EB7" w:rsidRPr="00ED236D" w:rsidRDefault="00D13873" w:rsidP="00ED236D">
      <w:pPr>
        <w:pStyle w:val="Klam"/>
        <w:rPr>
          <w:b/>
          <w:bCs/>
        </w:rPr>
      </w:pPr>
      <w:r>
        <w:rPr>
          <w:b/>
          <w:bCs/>
        </w:rPr>
        <w:t>K</w:t>
      </w:r>
      <w:r w:rsidR="00BD78E0">
        <w:rPr>
          <w:b/>
          <w:bCs/>
        </w:rPr>
        <w:t>apitelm</w:t>
      </w:r>
      <w:r w:rsidR="00962677">
        <w:rPr>
          <w:b/>
          <w:bCs/>
        </w:rPr>
        <w:t>otivering:</w:t>
      </w:r>
    </w:p>
    <w:p w14:paraId="3F73189C" w14:textId="6531CDB0" w:rsidR="00250EB7" w:rsidRPr="00BD78E0" w:rsidRDefault="00B2446B" w:rsidP="00250EB7">
      <w:pPr>
        <w:pStyle w:val="Klam"/>
        <w:rPr>
          <w:bCs/>
          <w:i/>
          <w:iCs/>
        </w:rPr>
      </w:pPr>
      <w:r>
        <w:rPr>
          <w:bCs/>
          <w:i/>
          <w:iCs/>
        </w:rPr>
        <w:t>Föreslås att e</w:t>
      </w:r>
      <w:r w:rsidR="00250EB7" w:rsidRPr="00BD78E0">
        <w:rPr>
          <w:bCs/>
          <w:i/>
          <w:iCs/>
        </w:rPr>
        <w:t>fter texten:</w:t>
      </w:r>
    </w:p>
    <w:p w14:paraId="417B307D" w14:textId="4EAD5EF9" w:rsidR="00250EB7" w:rsidRDefault="00BD78E0" w:rsidP="00ED236D">
      <w:pPr>
        <w:pStyle w:val="Klam"/>
      </w:pPr>
      <w:r>
        <w:t>”</w:t>
      </w:r>
      <w:r w:rsidR="00250EB7" w:rsidRPr="00250EB7">
        <w:t>En arbetsgrupp för enhetliga regler rörande styrning av myndigheter underställda Ålands landskapsregering har tillsatts 2022. Arbetet fortsätter under 2023. Sannolikt kommer lagändringar att krävas.</w:t>
      </w:r>
      <w:r>
        <w:t>”</w:t>
      </w:r>
    </w:p>
    <w:p w14:paraId="126B3DE3" w14:textId="4B83A986" w:rsidR="00250EB7" w:rsidRPr="00ED236D" w:rsidRDefault="00B2446B" w:rsidP="00ED236D">
      <w:pPr>
        <w:pStyle w:val="Klam"/>
        <w:rPr>
          <w:i/>
          <w:iCs/>
        </w:rPr>
      </w:pPr>
      <w:r>
        <w:rPr>
          <w:i/>
          <w:iCs/>
        </w:rPr>
        <w:t>i</w:t>
      </w:r>
      <w:r w:rsidR="00250EB7" w:rsidRPr="00BD78E0">
        <w:rPr>
          <w:i/>
          <w:iCs/>
        </w:rPr>
        <w:t>nför</w:t>
      </w:r>
      <w:r>
        <w:rPr>
          <w:i/>
          <w:iCs/>
        </w:rPr>
        <w:t>a</w:t>
      </w:r>
      <w:r w:rsidR="00250EB7" w:rsidRPr="00BD78E0">
        <w:rPr>
          <w:i/>
          <w:iCs/>
        </w:rPr>
        <w:t xml:space="preserve"> en ny text:</w:t>
      </w:r>
    </w:p>
    <w:p w14:paraId="1C82DC55" w14:textId="08855A71" w:rsidR="006A7F9B" w:rsidRPr="00250EB7" w:rsidRDefault="00BD78E0" w:rsidP="00546077">
      <w:pPr>
        <w:pStyle w:val="Klam"/>
      </w:pPr>
      <w:r>
        <w:t>”</w:t>
      </w:r>
      <w:r w:rsidR="00250EB7" w:rsidRPr="00250EB7">
        <w:t>Landskapsregeringen kommer under året ta fram ett praktikprogram för ministerassistenter.</w:t>
      </w:r>
      <w:r>
        <w:t>”</w:t>
      </w:r>
    </w:p>
    <w:p w14:paraId="634B59BB" w14:textId="77777777" w:rsidR="00962677" w:rsidRPr="00962677" w:rsidRDefault="00962677" w:rsidP="00962677">
      <w:pPr>
        <w:pStyle w:val="Klam"/>
        <w:rPr>
          <w:b/>
          <w:bCs/>
        </w:rPr>
      </w:pPr>
    </w:p>
    <w:p w14:paraId="5CBE4541" w14:textId="77777777" w:rsidR="000B3F00" w:rsidRDefault="000B3F00">
      <w:pPr>
        <w:pStyle w:val="ANormal"/>
      </w:pPr>
    </w:p>
    <w:p w14:paraId="0A73C527" w14:textId="4BE05B30" w:rsidR="00CC2901" w:rsidRDefault="00CC2901" w:rsidP="00CC2901">
      <w:pPr>
        <w:pStyle w:val="ANormal"/>
      </w:pPr>
      <w:r>
        <w:t xml:space="preserve">Mariehamn den </w:t>
      </w:r>
      <w:r w:rsidR="00250EB7">
        <w:t>1</w:t>
      </w:r>
      <w:r w:rsidR="00966070">
        <w:t>1</w:t>
      </w:r>
      <w:r>
        <w:t xml:space="preserve"> november 2022</w:t>
      </w:r>
    </w:p>
    <w:p w14:paraId="165F2A49" w14:textId="77777777" w:rsidR="000B3F00" w:rsidRDefault="000B3F00">
      <w:pPr>
        <w:pStyle w:val="ANormal"/>
      </w:pPr>
    </w:p>
    <w:p w14:paraId="5BE5E013" w14:textId="77777777" w:rsidR="00CC2901" w:rsidRDefault="00CC2901">
      <w:pPr>
        <w:pStyle w:val="ANormal"/>
      </w:pPr>
    </w:p>
    <w:p w14:paraId="1CD22387" w14:textId="77777777" w:rsidR="000B3F00" w:rsidRDefault="000B3F00" w:rsidP="006A6188">
      <w:pPr>
        <w:pStyle w:val="ANormal"/>
      </w:pPr>
    </w:p>
    <w:p w14:paraId="3DFA3190" w14:textId="58FDABE6" w:rsidR="00CC2901" w:rsidRDefault="00CC2901" w:rsidP="006A6188">
      <w:pPr>
        <w:pStyle w:val="ANormal"/>
      </w:pPr>
      <w:r w:rsidRPr="001F13E2">
        <w:t xml:space="preserve">Alfons </w:t>
      </w:r>
      <w:proofErr w:type="spellStart"/>
      <w:r w:rsidRPr="001F13E2">
        <w:t>Röblom</w:t>
      </w:r>
      <w:proofErr w:type="spellEnd"/>
      <w:r w:rsidR="00ED236D">
        <w:tab/>
      </w:r>
      <w:r w:rsidR="00ED236D">
        <w:tab/>
      </w:r>
      <w:r w:rsidRPr="00514927">
        <w:t>Simon Holmström</w:t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C30D" w14:textId="77777777" w:rsidR="00646F4A" w:rsidRDefault="00646F4A">
      <w:r>
        <w:separator/>
      </w:r>
    </w:p>
  </w:endnote>
  <w:endnote w:type="continuationSeparator" w:id="0">
    <w:p w14:paraId="3DAA7697" w14:textId="77777777" w:rsidR="00646F4A" w:rsidRDefault="006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B3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29AB" w14:textId="77777777" w:rsidR="00646F4A" w:rsidRDefault="00646F4A">
      <w:r>
        <w:separator/>
      </w:r>
    </w:p>
  </w:footnote>
  <w:footnote w:type="continuationSeparator" w:id="0">
    <w:p w14:paraId="16E95469" w14:textId="77777777" w:rsidR="00646F4A" w:rsidRDefault="0064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2C1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1946227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A8B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0239A"/>
    <w:rsid w:val="001120C3"/>
    <w:rsid w:val="001172B6"/>
    <w:rsid w:val="0012085E"/>
    <w:rsid w:val="001E5E06"/>
    <w:rsid w:val="001F13E2"/>
    <w:rsid w:val="00250EB7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46077"/>
    <w:rsid w:val="00552E06"/>
    <w:rsid w:val="005A564B"/>
    <w:rsid w:val="005D40EA"/>
    <w:rsid w:val="00631AE8"/>
    <w:rsid w:val="00633910"/>
    <w:rsid w:val="00646F4A"/>
    <w:rsid w:val="00656215"/>
    <w:rsid w:val="006627DE"/>
    <w:rsid w:val="006A6188"/>
    <w:rsid w:val="006A7F9B"/>
    <w:rsid w:val="006C3C1B"/>
    <w:rsid w:val="006E58C9"/>
    <w:rsid w:val="007966EF"/>
    <w:rsid w:val="007F429F"/>
    <w:rsid w:val="00854DB2"/>
    <w:rsid w:val="008620E4"/>
    <w:rsid w:val="008D37F7"/>
    <w:rsid w:val="00935A18"/>
    <w:rsid w:val="00962677"/>
    <w:rsid w:val="00966070"/>
    <w:rsid w:val="0098790F"/>
    <w:rsid w:val="009D5985"/>
    <w:rsid w:val="00A06E21"/>
    <w:rsid w:val="00A16986"/>
    <w:rsid w:val="00A716AD"/>
    <w:rsid w:val="00AA4852"/>
    <w:rsid w:val="00AB47CC"/>
    <w:rsid w:val="00AF1DF4"/>
    <w:rsid w:val="00AF314A"/>
    <w:rsid w:val="00B13082"/>
    <w:rsid w:val="00B2446B"/>
    <w:rsid w:val="00B44ADC"/>
    <w:rsid w:val="00BA0088"/>
    <w:rsid w:val="00BA6D77"/>
    <w:rsid w:val="00BD78E0"/>
    <w:rsid w:val="00C249B5"/>
    <w:rsid w:val="00C6238D"/>
    <w:rsid w:val="00CB3110"/>
    <w:rsid w:val="00CC2901"/>
    <w:rsid w:val="00D10E5F"/>
    <w:rsid w:val="00D13873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D236D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4FEEA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3</cp:revision>
  <cp:lastPrinted>2016-09-02T07:38:00Z</cp:lastPrinted>
  <dcterms:created xsi:type="dcterms:W3CDTF">2022-11-11T13:36:00Z</dcterms:created>
  <dcterms:modified xsi:type="dcterms:W3CDTF">2022-11-11T13:38:00Z</dcterms:modified>
</cp:coreProperties>
</file>