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3596678" w14:textId="77777777" w:rsidTr="47312E3B">
        <w:trPr>
          <w:cantSplit/>
          <w:trHeight w:val="20"/>
        </w:trPr>
        <w:tc>
          <w:tcPr>
            <w:tcW w:w="851" w:type="dxa"/>
            <w:vMerge w:val="restart"/>
          </w:tcPr>
          <w:p w14:paraId="59277C51" w14:textId="77777777" w:rsidR="000B3F00" w:rsidRDefault="00CB3110">
            <w:pPr>
              <w:pStyle w:val="xLedtext"/>
              <w:rPr>
                <w:noProof/>
              </w:rPr>
            </w:pPr>
            <w:bookmarkStart w:id="0" w:name="_top"/>
            <w:bookmarkEnd w:id="0"/>
            <w:r>
              <w:rPr>
                <w:noProof/>
                <w:lang w:val="sv-FI" w:eastAsia="sv-FI"/>
              </w:rPr>
              <w:drawing>
                <wp:inline distT="0" distB="0" distL="0" distR="0" wp14:anchorId="1C060B8F" wp14:editId="2EF621B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AD909CA" w14:textId="77777777" w:rsidR="000B3F00" w:rsidRDefault="00CB3110">
            <w:pPr>
              <w:pStyle w:val="xMellanrum"/>
            </w:pPr>
            <w:r>
              <w:rPr>
                <w:noProof/>
                <w:lang w:val="sv-FI" w:eastAsia="sv-FI"/>
              </w:rPr>
              <w:drawing>
                <wp:inline distT="0" distB="0" distL="0" distR="0" wp14:anchorId="3377A512" wp14:editId="1004839A">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61B4D4D" w14:textId="77777777" w:rsidTr="47312E3B">
        <w:trPr>
          <w:cantSplit/>
          <w:trHeight w:val="299"/>
        </w:trPr>
        <w:tc>
          <w:tcPr>
            <w:tcW w:w="851" w:type="dxa"/>
            <w:vMerge/>
          </w:tcPr>
          <w:p w14:paraId="27BCEC80" w14:textId="77777777" w:rsidR="000B3F00" w:rsidRDefault="000B3F00">
            <w:pPr>
              <w:pStyle w:val="xLedtext"/>
            </w:pPr>
          </w:p>
        </w:tc>
        <w:tc>
          <w:tcPr>
            <w:tcW w:w="2850" w:type="dxa"/>
            <w:vAlign w:val="bottom"/>
          </w:tcPr>
          <w:p w14:paraId="15C9BB5A" w14:textId="77777777" w:rsidR="000B3F00" w:rsidRDefault="000B3F00">
            <w:pPr>
              <w:pStyle w:val="xAvsandare1"/>
            </w:pPr>
            <w:r>
              <w:t>Ålands lagting</w:t>
            </w:r>
          </w:p>
        </w:tc>
        <w:tc>
          <w:tcPr>
            <w:tcW w:w="3530" w:type="dxa"/>
            <w:gridSpan w:val="2"/>
            <w:vAlign w:val="bottom"/>
          </w:tcPr>
          <w:p w14:paraId="77251ECB" w14:textId="5B6EEC5D" w:rsidR="000B3F00" w:rsidRDefault="00CB3110" w:rsidP="00552E06">
            <w:pPr>
              <w:pStyle w:val="xDokTypNr"/>
            </w:pPr>
            <w:r>
              <w:t xml:space="preserve">BUDGETMOTION nr </w:t>
            </w:r>
            <w:r w:rsidR="00955627">
              <w:t>20</w:t>
            </w:r>
            <w:r>
              <w:t>/</w:t>
            </w:r>
            <w:proofErr w:type="gramStart"/>
            <w:r>
              <w:t>20</w:t>
            </w:r>
            <w:r w:rsidR="00313559">
              <w:t>2</w:t>
            </w:r>
            <w:r w:rsidR="00C249B5">
              <w:t>2</w:t>
            </w:r>
            <w:r w:rsidR="47312E3B">
              <w:t>-20</w:t>
            </w:r>
            <w:r>
              <w:t>2</w:t>
            </w:r>
            <w:r w:rsidR="00C249B5">
              <w:t>3</w:t>
            </w:r>
            <w:proofErr w:type="gramEnd"/>
          </w:p>
        </w:tc>
      </w:tr>
      <w:tr w:rsidR="000B3F00" w14:paraId="58DBEA23" w14:textId="77777777" w:rsidTr="47312E3B">
        <w:trPr>
          <w:cantSplit/>
          <w:trHeight w:val="238"/>
        </w:trPr>
        <w:tc>
          <w:tcPr>
            <w:tcW w:w="851" w:type="dxa"/>
            <w:vMerge/>
          </w:tcPr>
          <w:p w14:paraId="4071710B" w14:textId="77777777" w:rsidR="000B3F00" w:rsidRDefault="000B3F00">
            <w:pPr>
              <w:pStyle w:val="xLedtext"/>
            </w:pPr>
          </w:p>
        </w:tc>
        <w:tc>
          <w:tcPr>
            <w:tcW w:w="2850" w:type="dxa"/>
            <w:vAlign w:val="bottom"/>
          </w:tcPr>
          <w:p w14:paraId="5B0A8651" w14:textId="77777777" w:rsidR="000B3F00" w:rsidRDefault="000B3F00">
            <w:pPr>
              <w:pStyle w:val="xLedtext"/>
            </w:pPr>
            <w:r>
              <w:t xml:space="preserve">Lagtingsledamot </w:t>
            </w:r>
          </w:p>
        </w:tc>
        <w:tc>
          <w:tcPr>
            <w:tcW w:w="1204" w:type="dxa"/>
            <w:vAlign w:val="bottom"/>
          </w:tcPr>
          <w:p w14:paraId="3DCFAAAA" w14:textId="77777777" w:rsidR="000B3F00" w:rsidRDefault="000B3F00">
            <w:pPr>
              <w:pStyle w:val="xLedtext"/>
            </w:pPr>
            <w:r>
              <w:t>Datum</w:t>
            </w:r>
          </w:p>
        </w:tc>
        <w:tc>
          <w:tcPr>
            <w:tcW w:w="2326" w:type="dxa"/>
            <w:vAlign w:val="bottom"/>
          </w:tcPr>
          <w:p w14:paraId="62D32268" w14:textId="77777777" w:rsidR="000B3F00" w:rsidRDefault="000B3F00">
            <w:pPr>
              <w:pStyle w:val="xLedtext"/>
            </w:pPr>
          </w:p>
        </w:tc>
      </w:tr>
      <w:tr w:rsidR="000B3F00" w14:paraId="2F55CE9A" w14:textId="77777777" w:rsidTr="47312E3B">
        <w:trPr>
          <w:cantSplit/>
          <w:trHeight w:val="238"/>
        </w:trPr>
        <w:tc>
          <w:tcPr>
            <w:tcW w:w="851" w:type="dxa"/>
            <w:vMerge/>
          </w:tcPr>
          <w:p w14:paraId="07B2324F" w14:textId="77777777" w:rsidR="000B3F00" w:rsidRDefault="000B3F00">
            <w:pPr>
              <w:pStyle w:val="xAvsandare2"/>
            </w:pPr>
          </w:p>
        </w:tc>
        <w:tc>
          <w:tcPr>
            <w:tcW w:w="2850" w:type="dxa"/>
            <w:vAlign w:val="center"/>
          </w:tcPr>
          <w:p w14:paraId="5A40C243" w14:textId="405381D6" w:rsidR="000B3F00" w:rsidRDefault="001F13E2">
            <w:pPr>
              <w:pStyle w:val="xAvsandare2"/>
            </w:pPr>
            <w:r w:rsidRPr="001F13E2">
              <w:t>Jessy Eckerman</w:t>
            </w:r>
            <w:r w:rsidR="00955627">
              <w:t xml:space="preserve"> </w:t>
            </w:r>
            <w:proofErr w:type="gramStart"/>
            <w:r w:rsidR="00955627">
              <w:t>m.fl.</w:t>
            </w:r>
            <w:proofErr w:type="gramEnd"/>
            <w:r w:rsidR="00955627">
              <w:t xml:space="preserve"> </w:t>
            </w:r>
          </w:p>
        </w:tc>
        <w:tc>
          <w:tcPr>
            <w:tcW w:w="1204" w:type="dxa"/>
            <w:vAlign w:val="center"/>
          </w:tcPr>
          <w:p w14:paraId="01695BB6" w14:textId="5504F0D9" w:rsidR="000B3F00" w:rsidRDefault="00962677" w:rsidP="0012085E">
            <w:pPr>
              <w:pStyle w:val="xDatum1"/>
            </w:pPr>
            <w:r w:rsidRPr="00962677">
              <w:t>2022-11-</w:t>
            </w:r>
            <w:r w:rsidR="00955627">
              <w:t>11</w:t>
            </w:r>
          </w:p>
        </w:tc>
        <w:tc>
          <w:tcPr>
            <w:tcW w:w="2326" w:type="dxa"/>
            <w:vAlign w:val="center"/>
          </w:tcPr>
          <w:p w14:paraId="41F000A7" w14:textId="77777777" w:rsidR="000B3F00" w:rsidRDefault="000B3F00">
            <w:pPr>
              <w:pStyle w:val="xBeteckning1"/>
            </w:pPr>
          </w:p>
        </w:tc>
      </w:tr>
      <w:tr w:rsidR="000B3F00" w14:paraId="39C645EA" w14:textId="77777777" w:rsidTr="47312E3B">
        <w:trPr>
          <w:cantSplit/>
          <w:trHeight w:val="238"/>
        </w:trPr>
        <w:tc>
          <w:tcPr>
            <w:tcW w:w="851" w:type="dxa"/>
            <w:vMerge/>
          </w:tcPr>
          <w:p w14:paraId="09E3B746" w14:textId="77777777" w:rsidR="000B3F00" w:rsidRDefault="000B3F00">
            <w:pPr>
              <w:pStyle w:val="xLedtext"/>
            </w:pPr>
          </w:p>
        </w:tc>
        <w:tc>
          <w:tcPr>
            <w:tcW w:w="2850" w:type="dxa"/>
            <w:vAlign w:val="bottom"/>
          </w:tcPr>
          <w:p w14:paraId="7FFABD49" w14:textId="77777777" w:rsidR="000B3F00" w:rsidRDefault="000B3F00">
            <w:pPr>
              <w:pStyle w:val="xLedtext"/>
            </w:pPr>
          </w:p>
        </w:tc>
        <w:tc>
          <w:tcPr>
            <w:tcW w:w="1204" w:type="dxa"/>
            <w:vAlign w:val="bottom"/>
          </w:tcPr>
          <w:p w14:paraId="513C96F3" w14:textId="77777777" w:rsidR="000B3F00" w:rsidRDefault="000B3F00">
            <w:pPr>
              <w:pStyle w:val="xLedtext"/>
            </w:pPr>
          </w:p>
        </w:tc>
        <w:tc>
          <w:tcPr>
            <w:tcW w:w="2326" w:type="dxa"/>
            <w:vAlign w:val="bottom"/>
          </w:tcPr>
          <w:p w14:paraId="1C77C4D1" w14:textId="77777777" w:rsidR="000B3F00" w:rsidRDefault="000B3F00">
            <w:pPr>
              <w:pStyle w:val="xLedtext"/>
            </w:pPr>
          </w:p>
        </w:tc>
      </w:tr>
      <w:tr w:rsidR="000B3F00" w14:paraId="51BE62BC" w14:textId="77777777" w:rsidTr="47312E3B">
        <w:trPr>
          <w:cantSplit/>
          <w:trHeight w:val="238"/>
        </w:trPr>
        <w:tc>
          <w:tcPr>
            <w:tcW w:w="851" w:type="dxa"/>
            <w:vMerge/>
            <w:tcBorders>
              <w:bottom w:val="single" w:sz="4" w:space="0" w:color="auto"/>
            </w:tcBorders>
          </w:tcPr>
          <w:p w14:paraId="0675007F" w14:textId="77777777" w:rsidR="000B3F00" w:rsidRDefault="000B3F00">
            <w:pPr>
              <w:pStyle w:val="xAvsandare3"/>
            </w:pPr>
          </w:p>
        </w:tc>
        <w:tc>
          <w:tcPr>
            <w:tcW w:w="2850" w:type="dxa"/>
            <w:tcBorders>
              <w:bottom w:val="single" w:sz="4" w:space="0" w:color="auto"/>
            </w:tcBorders>
            <w:vAlign w:val="center"/>
          </w:tcPr>
          <w:p w14:paraId="51A0BD7C" w14:textId="77777777" w:rsidR="000B3F00" w:rsidRDefault="000B3F00">
            <w:pPr>
              <w:pStyle w:val="xAvsandare3"/>
            </w:pPr>
          </w:p>
        </w:tc>
        <w:tc>
          <w:tcPr>
            <w:tcW w:w="1204" w:type="dxa"/>
            <w:tcBorders>
              <w:bottom w:val="single" w:sz="4" w:space="0" w:color="auto"/>
            </w:tcBorders>
            <w:vAlign w:val="center"/>
          </w:tcPr>
          <w:p w14:paraId="1E92247A" w14:textId="77777777" w:rsidR="000B3F00" w:rsidRDefault="000B3F00">
            <w:pPr>
              <w:pStyle w:val="xDatum2"/>
            </w:pPr>
          </w:p>
        </w:tc>
        <w:tc>
          <w:tcPr>
            <w:tcW w:w="2326" w:type="dxa"/>
            <w:tcBorders>
              <w:bottom w:val="single" w:sz="4" w:space="0" w:color="auto"/>
            </w:tcBorders>
            <w:vAlign w:val="center"/>
          </w:tcPr>
          <w:p w14:paraId="678E1B68" w14:textId="77777777" w:rsidR="000B3F00" w:rsidRDefault="000B3F00">
            <w:pPr>
              <w:pStyle w:val="xBeteckning2"/>
            </w:pPr>
          </w:p>
        </w:tc>
      </w:tr>
      <w:tr w:rsidR="000B3F00" w14:paraId="6E0CE782" w14:textId="77777777" w:rsidTr="47312E3B">
        <w:trPr>
          <w:cantSplit/>
          <w:trHeight w:val="238"/>
        </w:trPr>
        <w:tc>
          <w:tcPr>
            <w:tcW w:w="851" w:type="dxa"/>
            <w:tcBorders>
              <w:top w:val="single" w:sz="4" w:space="0" w:color="auto"/>
            </w:tcBorders>
            <w:vAlign w:val="bottom"/>
          </w:tcPr>
          <w:p w14:paraId="0FDEAD1A" w14:textId="77777777" w:rsidR="000B3F00" w:rsidRDefault="000B3F00">
            <w:pPr>
              <w:pStyle w:val="xLedtext"/>
            </w:pPr>
          </w:p>
        </w:tc>
        <w:tc>
          <w:tcPr>
            <w:tcW w:w="2850" w:type="dxa"/>
            <w:tcBorders>
              <w:top w:val="single" w:sz="4" w:space="0" w:color="auto"/>
            </w:tcBorders>
            <w:vAlign w:val="bottom"/>
          </w:tcPr>
          <w:p w14:paraId="6CA37A03" w14:textId="77777777" w:rsidR="000B3F00" w:rsidRDefault="000B3F00">
            <w:pPr>
              <w:pStyle w:val="xLedtext"/>
            </w:pPr>
          </w:p>
        </w:tc>
        <w:tc>
          <w:tcPr>
            <w:tcW w:w="3530" w:type="dxa"/>
            <w:gridSpan w:val="2"/>
            <w:tcBorders>
              <w:top w:val="single" w:sz="4" w:space="0" w:color="auto"/>
            </w:tcBorders>
            <w:vAlign w:val="bottom"/>
          </w:tcPr>
          <w:p w14:paraId="568CAE70" w14:textId="77777777" w:rsidR="000B3F00" w:rsidRDefault="000B3F00">
            <w:pPr>
              <w:pStyle w:val="xLedtext"/>
            </w:pPr>
          </w:p>
        </w:tc>
      </w:tr>
      <w:tr w:rsidR="000B3F00" w14:paraId="2A8489DD" w14:textId="77777777" w:rsidTr="47312E3B">
        <w:trPr>
          <w:cantSplit/>
          <w:trHeight w:val="238"/>
        </w:trPr>
        <w:tc>
          <w:tcPr>
            <w:tcW w:w="851" w:type="dxa"/>
          </w:tcPr>
          <w:p w14:paraId="001A6ADB" w14:textId="77777777" w:rsidR="000B3F00" w:rsidRDefault="000B3F00">
            <w:pPr>
              <w:pStyle w:val="xCelltext"/>
            </w:pPr>
          </w:p>
        </w:tc>
        <w:tc>
          <w:tcPr>
            <w:tcW w:w="2850" w:type="dxa"/>
            <w:vMerge w:val="restart"/>
          </w:tcPr>
          <w:p w14:paraId="1081F428" w14:textId="77777777" w:rsidR="000B3F00" w:rsidRDefault="000B3F00">
            <w:pPr>
              <w:pStyle w:val="xMottagare1"/>
            </w:pPr>
            <w:r>
              <w:t>Till Ålands lagting</w:t>
            </w:r>
          </w:p>
        </w:tc>
        <w:tc>
          <w:tcPr>
            <w:tcW w:w="3530" w:type="dxa"/>
            <w:gridSpan w:val="2"/>
            <w:vMerge w:val="restart"/>
          </w:tcPr>
          <w:p w14:paraId="64805688" w14:textId="77777777" w:rsidR="000B3F00" w:rsidRDefault="000B3F00">
            <w:pPr>
              <w:pStyle w:val="xMottagare1"/>
              <w:tabs>
                <w:tab w:val="left" w:pos="2349"/>
              </w:tabs>
            </w:pPr>
          </w:p>
        </w:tc>
      </w:tr>
      <w:tr w:rsidR="000B3F00" w14:paraId="71494641" w14:textId="77777777" w:rsidTr="47312E3B">
        <w:trPr>
          <w:cantSplit/>
          <w:trHeight w:val="238"/>
        </w:trPr>
        <w:tc>
          <w:tcPr>
            <w:tcW w:w="851" w:type="dxa"/>
          </w:tcPr>
          <w:p w14:paraId="39A9A2E6" w14:textId="77777777" w:rsidR="000B3F00" w:rsidRDefault="000B3F00">
            <w:pPr>
              <w:pStyle w:val="xCelltext"/>
            </w:pPr>
          </w:p>
        </w:tc>
        <w:tc>
          <w:tcPr>
            <w:tcW w:w="2850" w:type="dxa"/>
            <w:vMerge/>
            <w:vAlign w:val="center"/>
          </w:tcPr>
          <w:p w14:paraId="3BDB3390" w14:textId="77777777" w:rsidR="000B3F00" w:rsidRDefault="000B3F00">
            <w:pPr>
              <w:pStyle w:val="xCelltext"/>
            </w:pPr>
          </w:p>
        </w:tc>
        <w:tc>
          <w:tcPr>
            <w:tcW w:w="3530" w:type="dxa"/>
            <w:gridSpan w:val="2"/>
            <w:vMerge/>
            <w:vAlign w:val="center"/>
          </w:tcPr>
          <w:p w14:paraId="6355E544" w14:textId="77777777" w:rsidR="000B3F00" w:rsidRDefault="000B3F00">
            <w:pPr>
              <w:pStyle w:val="xCelltext"/>
            </w:pPr>
          </w:p>
        </w:tc>
      </w:tr>
      <w:tr w:rsidR="000B3F00" w14:paraId="75118FD5" w14:textId="77777777" w:rsidTr="47312E3B">
        <w:trPr>
          <w:cantSplit/>
          <w:trHeight w:val="238"/>
        </w:trPr>
        <w:tc>
          <w:tcPr>
            <w:tcW w:w="851" w:type="dxa"/>
          </w:tcPr>
          <w:p w14:paraId="231922AD" w14:textId="77777777" w:rsidR="000B3F00" w:rsidRDefault="000B3F00">
            <w:pPr>
              <w:pStyle w:val="xCelltext"/>
            </w:pPr>
          </w:p>
        </w:tc>
        <w:tc>
          <w:tcPr>
            <w:tcW w:w="2850" w:type="dxa"/>
            <w:vMerge/>
            <w:vAlign w:val="center"/>
          </w:tcPr>
          <w:p w14:paraId="16541274" w14:textId="77777777" w:rsidR="000B3F00" w:rsidRDefault="000B3F00">
            <w:pPr>
              <w:pStyle w:val="xCelltext"/>
            </w:pPr>
          </w:p>
        </w:tc>
        <w:tc>
          <w:tcPr>
            <w:tcW w:w="3530" w:type="dxa"/>
            <w:gridSpan w:val="2"/>
            <w:vMerge/>
            <w:vAlign w:val="center"/>
          </w:tcPr>
          <w:p w14:paraId="3254AA2F" w14:textId="77777777" w:rsidR="000B3F00" w:rsidRDefault="000B3F00">
            <w:pPr>
              <w:pStyle w:val="xCelltext"/>
            </w:pPr>
          </w:p>
        </w:tc>
      </w:tr>
      <w:tr w:rsidR="000B3F00" w14:paraId="732F6FDD" w14:textId="77777777" w:rsidTr="47312E3B">
        <w:trPr>
          <w:cantSplit/>
          <w:trHeight w:val="238"/>
        </w:trPr>
        <w:tc>
          <w:tcPr>
            <w:tcW w:w="851" w:type="dxa"/>
          </w:tcPr>
          <w:p w14:paraId="3DC7D883" w14:textId="77777777" w:rsidR="000B3F00" w:rsidRDefault="000B3F00">
            <w:pPr>
              <w:pStyle w:val="xCelltext"/>
            </w:pPr>
          </w:p>
        </w:tc>
        <w:tc>
          <w:tcPr>
            <w:tcW w:w="2850" w:type="dxa"/>
            <w:vMerge/>
            <w:vAlign w:val="center"/>
          </w:tcPr>
          <w:p w14:paraId="36C9F66D" w14:textId="77777777" w:rsidR="000B3F00" w:rsidRDefault="000B3F00">
            <w:pPr>
              <w:pStyle w:val="xCelltext"/>
            </w:pPr>
          </w:p>
        </w:tc>
        <w:tc>
          <w:tcPr>
            <w:tcW w:w="3530" w:type="dxa"/>
            <w:gridSpan w:val="2"/>
            <w:vMerge/>
            <w:vAlign w:val="center"/>
          </w:tcPr>
          <w:p w14:paraId="7CFF8F75" w14:textId="77777777" w:rsidR="000B3F00" w:rsidRDefault="000B3F00">
            <w:pPr>
              <w:pStyle w:val="xCelltext"/>
            </w:pPr>
          </w:p>
        </w:tc>
      </w:tr>
      <w:tr w:rsidR="000B3F00" w14:paraId="684ECE21" w14:textId="77777777" w:rsidTr="47312E3B">
        <w:trPr>
          <w:cantSplit/>
          <w:trHeight w:val="238"/>
        </w:trPr>
        <w:tc>
          <w:tcPr>
            <w:tcW w:w="851" w:type="dxa"/>
          </w:tcPr>
          <w:p w14:paraId="7DE374EE" w14:textId="77777777" w:rsidR="000B3F00" w:rsidRDefault="000B3F00">
            <w:pPr>
              <w:pStyle w:val="xCelltext"/>
            </w:pPr>
          </w:p>
        </w:tc>
        <w:tc>
          <w:tcPr>
            <w:tcW w:w="2850" w:type="dxa"/>
            <w:vMerge/>
            <w:vAlign w:val="center"/>
          </w:tcPr>
          <w:p w14:paraId="1A09D436" w14:textId="77777777" w:rsidR="000B3F00" w:rsidRDefault="000B3F00">
            <w:pPr>
              <w:pStyle w:val="xCelltext"/>
            </w:pPr>
          </w:p>
        </w:tc>
        <w:tc>
          <w:tcPr>
            <w:tcW w:w="3530" w:type="dxa"/>
            <w:gridSpan w:val="2"/>
            <w:vMerge/>
            <w:vAlign w:val="center"/>
          </w:tcPr>
          <w:p w14:paraId="061ED7F0" w14:textId="77777777" w:rsidR="000B3F00" w:rsidRDefault="000B3F00">
            <w:pPr>
              <w:pStyle w:val="xCelltext"/>
            </w:pPr>
          </w:p>
        </w:tc>
      </w:tr>
    </w:tbl>
    <w:p w14:paraId="3246ADD1" w14:textId="77777777" w:rsidR="000B3F00" w:rsidRDefault="00B13082">
      <w:pPr>
        <w:pStyle w:val="ANormal"/>
      </w:pPr>
      <w:r>
        <w:rPr>
          <w:rFonts w:ascii="Arial" w:hAnsi="Arial" w:cs="Arial"/>
          <w:b/>
          <w:bCs/>
          <w:sz w:val="26"/>
        </w:rPr>
        <w:t>Konkretisera stödet för personer i behov av specialpedagogiska insatser</w:t>
      </w:r>
    </w:p>
    <w:p w14:paraId="5C86FEFE" w14:textId="77777777" w:rsidR="000B3F00" w:rsidRDefault="000B3F00">
      <w:pPr>
        <w:pStyle w:val="ANormal"/>
      </w:pPr>
    </w:p>
    <w:p w14:paraId="41F14ED5" w14:textId="77777777" w:rsidR="006627DE" w:rsidRDefault="00B13082">
      <w:pPr>
        <w:pStyle w:val="ANormal"/>
      </w:pPr>
      <w:r>
        <w:t>Landskapsregeringen behöver konkretisera stödet för barn, ungdomar och vuxna i behov av specialpedagogiska insatser. Ålands Socialdemokrater driver på frågan tillika som påtryckningar och upprop från intresseorganisationer frekvent förekommer men ännu har inget konkret presenterats. Stödet för ungdomar inom Ålands gymnasium och vuxna i behov av specialpedagogiska insatser är otillräckligt i dagsläget, inom grundskolorna runt om på Åland varierar stödet i olika grad. Vilket stöd du får i din utbildning kan inte vara beroende på i vilken kommun du bor. Ett specialpedagogiskt resurscentrum med ansvar för helheten över hela Åland och med den expertis och kompetens som krävs kan observera, handleda och fortbilda inom områden som intellektuella funktionsvariationer, rörelsehinder, tal- och språkstörning, läs- och skrivsvårigheter, neuropsykiatriska/psykiska funktionsvariationer, hörsel- och synnedsättningar och ha ett särskilt fokus på barns socioemotionella förmågor och språkstöd inom integration.</w:t>
      </w:r>
    </w:p>
    <w:p w14:paraId="616A252F" w14:textId="77777777" w:rsidR="009E57FC" w:rsidRDefault="009E57FC">
      <w:pPr>
        <w:pStyle w:val="ANormal"/>
      </w:pPr>
    </w:p>
    <w:p w14:paraId="402153D1" w14:textId="77777777" w:rsidR="009E57FC" w:rsidRDefault="00E16B85">
      <w:pPr>
        <w:pStyle w:val="ANormal"/>
      </w:pPr>
      <w:r>
        <w:t xml:space="preserve">Ett resurscentrum är en viktig funktion för att utveckla goda läromiljöer på </w:t>
      </w:r>
      <w:proofErr w:type="gramStart"/>
      <w:r>
        <w:t>grupp- individ</w:t>
      </w:r>
      <w:proofErr w:type="gramEnd"/>
      <w:r>
        <w:t>- samt organisationsnivå och undanröja de hinder som finns idag för jämlika möjligheter till utveckling och lärande. Utredningen från 2006 kan ligga till grund för vidare beredning.</w:t>
      </w:r>
    </w:p>
    <w:p w14:paraId="5999474D" w14:textId="77777777" w:rsidR="00514927" w:rsidRDefault="00514927">
      <w:pPr>
        <w:pStyle w:val="ANormal"/>
        <w:rPr>
          <w:b/>
        </w:rPr>
      </w:pPr>
    </w:p>
    <w:p w14:paraId="68512EA9" w14:textId="77777777" w:rsidR="00514927" w:rsidRDefault="00514927">
      <w:pPr>
        <w:pStyle w:val="ANormal"/>
        <w:rPr>
          <w:b/>
        </w:rPr>
      </w:pPr>
    </w:p>
    <w:p w14:paraId="0D77F37F" w14:textId="77777777" w:rsidR="006627DE" w:rsidRPr="009D5985" w:rsidRDefault="009D5985">
      <w:pPr>
        <w:pStyle w:val="ANormal"/>
        <w:rPr>
          <w:b/>
        </w:rPr>
      </w:pPr>
      <w:r w:rsidRPr="009D5985">
        <w:rPr>
          <w:b/>
        </w:rPr>
        <w:t>FÖRSLAG</w:t>
      </w:r>
    </w:p>
    <w:p w14:paraId="4DC50A68" w14:textId="77777777" w:rsidR="000B3F00" w:rsidRDefault="00BA6D77">
      <w:pPr>
        <w:pStyle w:val="ANormal"/>
      </w:pPr>
      <w:r>
        <w:tab/>
      </w:r>
    </w:p>
    <w:p w14:paraId="1B2D0542" w14:textId="7B9333E2" w:rsidR="009D5985" w:rsidRDefault="00F97C49">
      <w:pPr>
        <w:pStyle w:val="Klam"/>
      </w:pPr>
      <w:r>
        <w:rPr>
          <w:b/>
        </w:rPr>
        <w:t>Kapitel</w:t>
      </w:r>
      <w:r w:rsidR="00B13082">
        <w:rPr>
          <w:b/>
        </w:rPr>
        <w:t>:</w:t>
      </w:r>
      <w:r w:rsidR="00962677">
        <w:rPr>
          <w:b/>
        </w:rPr>
        <w:t xml:space="preserve"> </w:t>
      </w:r>
      <w:r w:rsidR="00E16B85">
        <w:rPr>
          <w:b/>
        </w:rPr>
        <w:t xml:space="preserve"> </w:t>
      </w:r>
      <w:r w:rsidR="00E16B85">
        <w:t>535 U</w:t>
      </w:r>
      <w:r w:rsidR="00962677" w:rsidRPr="00962677">
        <w:t>tbildningsverksamhet</w:t>
      </w:r>
    </w:p>
    <w:p w14:paraId="292F87C6" w14:textId="2CE93936" w:rsidR="00962677" w:rsidRDefault="00962677" w:rsidP="00962677">
      <w:pPr>
        <w:pStyle w:val="Klam"/>
        <w:rPr>
          <w:bCs/>
        </w:rPr>
      </w:pPr>
      <w:r w:rsidRPr="00962677">
        <w:rPr>
          <w:b/>
          <w:bCs/>
        </w:rPr>
        <w:t>Sida:</w:t>
      </w:r>
      <w:r w:rsidR="00F97C49">
        <w:rPr>
          <w:b/>
          <w:bCs/>
        </w:rPr>
        <w:t xml:space="preserve"> </w:t>
      </w:r>
      <w:r w:rsidR="00E16B85">
        <w:rPr>
          <w:bCs/>
        </w:rPr>
        <w:t>90</w:t>
      </w:r>
    </w:p>
    <w:p w14:paraId="1F7885C2" w14:textId="6DD6F44E" w:rsidR="00962677" w:rsidRDefault="00F97C49" w:rsidP="00962677">
      <w:pPr>
        <w:pStyle w:val="Klam"/>
        <w:rPr>
          <w:bCs/>
        </w:rPr>
      </w:pPr>
      <w:r>
        <w:rPr>
          <w:b/>
          <w:bCs/>
        </w:rPr>
        <w:t xml:space="preserve">Ändring av motiveringen: </w:t>
      </w:r>
      <w:r w:rsidR="00962677" w:rsidRPr="00F97C49">
        <w:t>Följande text läggs till:</w:t>
      </w:r>
      <w:r>
        <w:rPr>
          <w:b/>
          <w:bCs/>
        </w:rPr>
        <w:t xml:space="preserve"> ”</w:t>
      </w:r>
      <w:r w:rsidR="00962677" w:rsidRPr="00962677">
        <w:rPr>
          <w:bCs/>
        </w:rPr>
        <w:t xml:space="preserve">Landskapsregeringen konkretiserar och intensifierar arbetet med barn, ungdomar och vuxna i behov av specialpedagogiska insatser. Ett specialpedagogiskt resurscentrum är en viktig funktion för att utveckla goda läromiljöer på </w:t>
      </w:r>
      <w:proofErr w:type="gramStart"/>
      <w:r w:rsidR="00962677" w:rsidRPr="00962677">
        <w:rPr>
          <w:bCs/>
        </w:rPr>
        <w:t>grupp- individ</w:t>
      </w:r>
      <w:proofErr w:type="gramEnd"/>
      <w:r w:rsidR="00962677" w:rsidRPr="00962677">
        <w:rPr>
          <w:bCs/>
        </w:rPr>
        <w:t>- samt organisationsnivå och undanröja de hinder som finns idag för jämlika möjligheter till utveckling och lärande.</w:t>
      </w:r>
      <w:r>
        <w:rPr>
          <w:bCs/>
        </w:rPr>
        <w:t>”</w:t>
      </w:r>
    </w:p>
    <w:p w14:paraId="6DB01A3F" w14:textId="77777777" w:rsidR="00962677" w:rsidRDefault="00962677" w:rsidP="00962677">
      <w:pPr>
        <w:pStyle w:val="Klam"/>
      </w:pPr>
      <w:r>
        <w:rPr>
          <w:b/>
        </w:rPr>
        <w:t xml:space="preserve"> </w:t>
      </w:r>
    </w:p>
    <w:p w14:paraId="3F050FEB" w14:textId="77777777" w:rsidR="000B3F00" w:rsidRDefault="000B3F00">
      <w:pPr>
        <w:pStyle w:val="ANormal"/>
      </w:pPr>
    </w:p>
    <w:p w14:paraId="40408542" w14:textId="32F5DBD2" w:rsidR="00CC2901" w:rsidRDefault="00CC2901" w:rsidP="00CC2901">
      <w:pPr>
        <w:pStyle w:val="ANormal"/>
      </w:pPr>
      <w:r>
        <w:t xml:space="preserve">Mariehamn den </w:t>
      </w:r>
      <w:r w:rsidR="00955627">
        <w:t>11</w:t>
      </w:r>
      <w:r>
        <w:t xml:space="preserve"> november 2022</w:t>
      </w:r>
    </w:p>
    <w:p w14:paraId="06451B7B" w14:textId="77777777" w:rsidR="000B3F00" w:rsidRDefault="000B3F00">
      <w:pPr>
        <w:pStyle w:val="ANormal"/>
      </w:pPr>
    </w:p>
    <w:p w14:paraId="2D68637F" w14:textId="77777777" w:rsidR="000B3F00" w:rsidRDefault="000B3F00" w:rsidP="006A6188">
      <w:pPr>
        <w:pStyle w:val="ANormal"/>
      </w:pPr>
    </w:p>
    <w:p w14:paraId="18BDBFF4" w14:textId="77777777" w:rsidR="00CC2901" w:rsidRDefault="00CC2901" w:rsidP="006A6188">
      <w:pPr>
        <w:pStyle w:val="ANormal"/>
      </w:pPr>
      <w:r w:rsidRPr="001F13E2">
        <w:t>Jessy Eckerman</w:t>
      </w:r>
    </w:p>
    <w:p w14:paraId="4279ABB0" w14:textId="77777777" w:rsidR="00CC2901" w:rsidRDefault="00CC2901" w:rsidP="006A6188">
      <w:pPr>
        <w:pStyle w:val="ANormal"/>
      </w:pPr>
    </w:p>
    <w:p w14:paraId="50BC53AE" w14:textId="6A67366A" w:rsidR="009E57FC" w:rsidRDefault="00E16B85">
      <w:pPr>
        <w:pStyle w:val="ANormal"/>
      </w:pPr>
      <w:r>
        <w:t>Nina Fellman</w:t>
      </w:r>
    </w:p>
    <w:p w14:paraId="149F77DF" w14:textId="77777777" w:rsidR="00F97C49" w:rsidRDefault="00F97C49">
      <w:pPr>
        <w:pStyle w:val="ANormal"/>
      </w:pPr>
    </w:p>
    <w:p w14:paraId="63E324C2" w14:textId="77777777" w:rsidR="009E57FC" w:rsidRDefault="00E16B85">
      <w:pPr>
        <w:pStyle w:val="ANormal"/>
      </w:pPr>
      <w:r>
        <w:t>Camilla Gunell</w:t>
      </w:r>
    </w:p>
    <w:sectPr w:rsidR="009E57FC">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D4E9" w14:textId="77777777" w:rsidR="00C6238D" w:rsidRDefault="00C6238D">
      <w:r>
        <w:separator/>
      </w:r>
    </w:p>
  </w:endnote>
  <w:endnote w:type="continuationSeparator" w:id="0">
    <w:p w14:paraId="1FE0C62F"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B91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592E" w14:textId="77777777" w:rsidR="00C6238D" w:rsidRDefault="00C6238D">
      <w:r>
        <w:separator/>
      </w:r>
    </w:p>
  </w:footnote>
  <w:footnote w:type="continuationSeparator" w:id="0">
    <w:p w14:paraId="1CE87754"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36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AD0664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E68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4A5878"/>
    <w:rsid w:val="00514927"/>
    <w:rsid w:val="00552E06"/>
    <w:rsid w:val="005D40EA"/>
    <w:rsid w:val="00631AE8"/>
    <w:rsid w:val="00633910"/>
    <w:rsid w:val="00656215"/>
    <w:rsid w:val="006627DE"/>
    <w:rsid w:val="006A6188"/>
    <w:rsid w:val="006C3C1B"/>
    <w:rsid w:val="006E58C9"/>
    <w:rsid w:val="007966EF"/>
    <w:rsid w:val="008164D9"/>
    <w:rsid w:val="00854DB2"/>
    <w:rsid w:val="008D37F7"/>
    <w:rsid w:val="00935A18"/>
    <w:rsid w:val="00955627"/>
    <w:rsid w:val="00962677"/>
    <w:rsid w:val="0098790F"/>
    <w:rsid w:val="009D5985"/>
    <w:rsid w:val="009E57FC"/>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402E1"/>
    <w:rsid w:val="00D62A15"/>
    <w:rsid w:val="00D761AC"/>
    <w:rsid w:val="00DF3483"/>
    <w:rsid w:val="00DF7016"/>
    <w:rsid w:val="00E100E9"/>
    <w:rsid w:val="00E131E0"/>
    <w:rsid w:val="00E16B85"/>
    <w:rsid w:val="00E25A9F"/>
    <w:rsid w:val="00E428A5"/>
    <w:rsid w:val="00E94DFE"/>
    <w:rsid w:val="00F027D7"/>
    <w:rsid w:val="00F26A3A"/>
    <w:rsid w:val="00F97C49"/>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B326B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B696-A775-4C6B-9327-123D4B3C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1803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2022-11-10T11:56:00Z</dcterms:created>
  <dcterms:modified xsi:type="dcterms:W3CDTF">2022-11-10T11:56:00Z</dcterms:modified>
</cp:coreProperties>
</file>