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57A4BE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5D3A854" w14:textId="77777777" w:rsidR="002401D0" w:rsidRDefault="00577410" w:rsidP="00B86F66">
            <w:pPr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E54DFF" wp14:editId="05EE27FA">
                  <wp:extent cx="482600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3ED664C" w14:textId="77777777" w:rsidR="002401D0" w:rsidRDefault="005774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C804A5C" wp14:editId="00B1692B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652C38CC" w14:textId="77777777">
        <w:trPr>
          <w:cantSplit/>
          <w:trHeight w:val="299"/>
        </w:trPr>
        <w:tc>
          <w:tcPr>
            <w:tcW w:w="861" w:type="dxa"/>
            <w:vMerge/>
          </w:tcPr>
          <w:p w14:paraId="3FBE8BA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012C84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4156E11" w14:textId="35D00EB5" w:rsidR="002401D0" w:rsidRDefault="002401D0" w:rsidP="00837646">
            <w:pPr>
              <w:pStyle w:val="xDokTypNr"/>
            </w:pPr>
            <w:r>
              <w:t xml:space="preserve">BETÄNKANDE nr </w:t>
            </w:r>
            <w:r w:rsidR="00472B1E">
              <w:t>22</w:t>
            </w:r>
            <w:r>
              <w:t>/</w:t>
            </w:r>
            <w:proofErr w:type="gramStart"/>
            <w:r>
              <w:t>20</w:t>
            </w:r>
            <w:r w:rsidR="000B1DB9">
              <w:t>2</w:t>
            </w:r>
            <w:r w:rsidR="00274393">
              <w:t>1</w:t>
            </w:r>
            <w:r w:rsidR="0015337C">
              <w:t>-20</w:t>
            </w:r>
            <w:r w:rsidR="004D3D04">
              <w:t>2</w:t>
            </w:r>
            <w:r w:rsidR="00274393">
              <w:t>2</w:t>
            </w:r>
            <w:proofErr w:type="gramEnd"/>
          </w:p>
        </w:tc>
      </w:tr>
      <w:tr w:rsidR="002401D0" w14:paraId="2C3FA8B9" w14:textId="77777777">
        <w:trPr>
          <w:cantSplit/>
          <w:trHeight w:val="238"/>
        </w:trPr>
        <w:tc>
          <w:tcPr>
            <w:tcW w:w="861" w:type="dxa"/>
            <w:vMerge/>
          </w:tcPr>
          <w:p w14:paraId="6C8BD3E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4D576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11EE873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9C88268" w14:textId="77777777" w:rsidR="002401D0" w:rsidRDefault="002401D0">
            <w:pPr>
              <w:pStyle w:val="xLedtext"/>
            </w:pPr>
          </w:p>
        </w:tc>
      </w:tr>
      <w:tr w:rsidR="002401D0" w14:paraId="59239E53" w14:textId="77777777">
        <w:trPr>
          <w:cantSplit/>
          <w:trHeight w:val="238"/>
        </w:trPr>
        <w:tc>
          <w:tcPr>
            <w:tcW w:w="861" w:type="dxa"/>
            <w:vMerge/>
          </w:tcPr>
          <w:p w14:paraId="21388BFD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15F2707" w14:textId="77777777" w:rsidR="002401D0" w:rsidRDefault="0028660F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A690147" w14:textId="49203F2B" w:rsidR="002401D0" w:rsidRDefault="002401D0" w:rsidP="00FD3F3C">
            <w:pPr>
              <w:pStyle w:val="xDatum1"/>
            </w:pPr>
            <w:r>
              <w:t>20</w:t>
            </w:r>
            <w:r w:rsidR="004D3D04">
              <w:t>2</w:t>
            </w:r>
            <w:r w:rsidR="000B1DB9">
              <w:t>1</w:t>
            </w:r>
            <w:r w:rsidR="0028660F">
              <w:t>-0</w:t>
            </w:r>
            <w:r w:rsidR="00E34A24">
              <w:t>9</w:t>
            </w:r>
            <w:r w:rsidR="0028660F">
              <w:t>-</w:t>
            </w:r>
            <w:r w:rsidR="008E6281">
              <w:t>29</w:t>
            </w:r>
          </w:p>
        </w:tc>
        <w:tc>
          <w:tcPr>
            <w:tcW w:w="2563" w:type="dxa"/>
            <w:vAlign w:val="center"/>
          </w:tcPr>
          <w:p w14:paraId="7962AA13" w14:textId="77777777" w:rsidR="002401D0" w:rsidRDefault="002401D0">
            <w:pPr>
              <w:pStyle w:val="xBeteckning1"/>
            </w:pPr>
          </w:p>
        </w:tc>
      </w:tr>
      <w:tr w:rsidR="002401D0" w14:paraId="07034CB8" w14:textId="77777777">
        <w:trPr>
          <w:cantSplit/>
          <w:trHeight w:val="238"/>
        </w:trPr>
        <w:tc>
          <w:tcPr>
            <w:tcW w:w="861" w:type="dxa"/>
            <w:vMerge/>
          </w:tcPr>
          <w:p w14:paraId="467DC71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24ACD1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AABA7A0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64A9A03" w14:textId="77777777" w:rsidR="002401D0" w:rsidRDefault="002401D0">
            <w:pPr>
              <w:pStyle w:val="xLedtext"/>
            </w:pPr>
          </w:p>
        </w:tc>
      </w:tr>
      <w:tr w:rsidR="002401D0" w14:paraId="7AD8161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4A2EA57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04C7A0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76B0B8E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0A73CE7" w14:textId="77777777" w:rsidR="002401D0" w:rsidRDefault="002401D0">
            <w:pPr>
              <w:pStyle w:val="xBeteckning2"/>
            </w:pPr>
          </w:p>
        </w:tc>
      </w:tr>
      <w:tr w:rsidR="002401D0" w14:paraId="210CC04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D5A9E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5E412D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9B432C6" w14:textId="77777777" w:rsidR="002401D0" w:rsidRDefault="002401D0">
            <w:pPr>
              <w:pStyle w:val="xLedtext"/>
            </w:pPr>
          </w:p>
        </w:tc>
      </w:tr>
      <w:tr w:rsidR="002401D0" w14:paraId="3BC1322C" w14:textId="77777777">
        <w:trPr>
          <w:cantSplit/>
          <w:trHeight w:val="238"/>
        </w:trPr>
        <w:tc>
          <w:tcPr>
            <w:tcW w:w="861" w:type="dxa"/>
          </w:tcPr>
          <w:p w14:paraId="01384DC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80CFF7E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5B27F0E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47CC7A0A" w14:textId="77777777">
        <w:trPr>
          <w:cantSplit/>
          <w:trHeight w:val="238"/>
        </w:trPr>
        <w:tc>
          <w:tcPr>
            <w:tcW w:w="861" w:type="dxa"/>
          </w:tcPr>
          <w:p w14:paraId="7DAEA60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023ADB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3CCEDD2" w14:textId="77777777" w:rsidR="002401D0" w:rsidRDefault="002401D0">
            <w:pPr>
              <w:pStyle w:val="xCelltext"/>
            </w:pPr>
          </w:p>
        </w:tc>
      </w:tr>
      <w:tr w:rsidR="002401D0" w14:paraId="30F97625" w14:textId="77777777">
        <w:trPr>
          <w:cantSplit/>
          <w:trHeight w:val="238"/>
        </w:trPr>
        <w:tc>
          <w:tcPr>
            <w:tcW w:w="861" w:type="dxa"/>
          </w:tcPr>
          <w:p w14:paraId="0A72A8E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C7570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9627398" w14:textId="77777777" w:rsidR="002401D0" w:rsidRDefault="002401D0">
            <w:pPr>
              <w:pStyle w:val="xCelltext"/>
            </w:pPr>
          </w:p>
        </w:tc>
      </w:tr>
      <w:tr w:rsidR="002401D0" w14:paraId="44515530" w14:textId="77777777">
        <w:trPr>
          <w:cantSplit/>
          <w:trHeight w:val="238"/>
        </w:trPr>
        <w:tc>
          <w:tcPr>
            <w:tcW w:w="861" w:type="dxa"/>
          </w:tcPr>
          <w:p w14:paraId="6D3640C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561171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BFE218" w14:textId="77777777" w:rsidR="002401D0" w:rsidRDefault="002401D0">
            <w:pPr>
              <w:pStyle w:val="xCelltext"/>
            </w:pPr>
          </w:p>
        </w:tc>
      </w:tr>
      <w:tr w:rsidR="002401D0" w14:paraId="558DA280" w14:textId="77777777">
        <w:trPr>
          <w:cantSplit/>
          <w:trHeight w:val="238"/>
        </w:trPr>
        <w:tc>
          <w:tcPr>
            <w:tcW w:w="861" w:type="dxa"/>
          </w:tcPr>
          <w:p w14:paraId="7F3DDB3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30ECEF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A262CB2" w14:textId="77777777" w:rsidR="002401D0" w:rsidRDefault="002401D0">
            <w:pPr>
              <w:pStyle w:val="xCelltext"/>
            </w:pPr>
          </w:p>
        </w:tc>
      </w:tr>
    </w:tbl>
    <w:p w14:paraId="359FE05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16D58C5" w14:textId="77777777" w:rsidR="002401D0" w:rsidRDefault="0028660F">
      <w:pPr>
        <w:pStyle w:val="ArendeOverRubrik"/>
      </w:pPr>
      <w:r>
        <w:t>Finans- och närings</w:t>
      </w:r>
      <w:r w:rsidR="002401D0">
        <w:t>utskottets betänkande</w:t>
      </w:r>
    </w:p>
    <w:p w14:paraId="3A581238" w14:textId="5B47ADAE" w:rsidR="0031113B" w:rsidRDefault="0028660F" w:rsidP="0028660F">
      <w:pPr>
        <w:pStyle w:val="ArendeRubrik"/>
        <w:ind w:right="-1248"/>
      </w:pPr>
      <w:r>
        <w:t>R</w:t>
      </w:r>
      <w:r w:rsidR="0031113B">
        <w:t>edogörelse över årsredovisning</w:t>
      </w:r>
      <w:r w:rsidR="00FD3F3C">
        <w:t>en</w:t>
      </w:r>
      <w:r w:rsidR="0031113B">
        <w:t xml:space="preserve"> per 31.12.20</w:t>
      </w:r>
      <w:r w:rsidR="000B1DB9">
        <w:t>2</w:t>
      </w:r>
      <w:r w:rsidR="00274393">
        <w:t>1</w:t>
      </w:r>
    </w:p>
    <w:p w14:paraId="13C929D4" w14:textId="7C77FFD4" w:rsidR="002401D0" w:rsidRDefault="00B86F66">
      <w:pPr>
        <w:pStyle w:val="ArendeUnderRubrik"/>
      </w:pPr>
      <w:hyperlink r:id="rId11" w:history="1">
        <w:r w:rsidR="0028660F" w:rsidRPr="000C1885">
          <w:rPr>
            <w:rStyle w:val="Hyperlnk"/>
          </w:rPr>
          <w:t xml:space="preserve">Landskapsregeringens redogörelse </w:t>
        </w:r>
        <w:r w:rsidR="00AA1C2B">
          <w:rPr>
            <w:rStyle w:val="Hyperlnk"/>
          </w:rPr>
          <w:t xml:space="preserve">nr </w:t>
        </w:r>
        <w:r w:rsidR="00274393">
          <w:rPr>
            <w:rStyle w:val="Hyperlnk"/>
          </w:rPr>
          <w:t>2</w:t>
        </w:r>
        <w:r w:rsidR="0028660F" w:rsidRPr="000C1885">
          <w:rPr>
            <w:rStyle w:val="Hyperlnk"/>
          </w:rPr>
          <w:t>/</w:t>
        </w:r>
        <w:proofErr w:type="gramStart"/>
        <w:r w:rsidR="0028660F" w:rsidRPr="000C1885">
          <w:rPr>
            <w:rStyle w:val="Hyperlnk"/>
          </w:rPr>
          <w:t>20</w:t>
        </w:r>
        <w:r w:rsidR="000B1DB9">
          <w:rPr>
            <w:rStyle w:val="Hyperlnk"/>
          </w:rPr>
          <w:t>2</w:t>
        </w:r>
        <w:r w:rsidR="00274393">
          <w:rPr>
            <w:rStyle w:val="Hyperlnk"/>
          </w:rPr>
          <w:t>1</w:t>
        </w:r>
        <w:r w:rsidR="0028660F" w:rsidRPr="000C1885">
          <w:rPr>
            <w:rStyle w:val="Hyperlnk"/>
          </w:rPr>
          <w:t>-20</w:t>
        </w:r>
        <w:r w:rsidR="004D3D04">
          <w:rPr>
            <w:rStyle w:val="Hyperlnk"/>
          </w:rPr>
          <w:t>2</w:t>
        </w:r>
        <w:proofErr w:type="gramEnd"/>
      </w:hyperlink>
      <w:r w:rsidR="00274393">
        <w:rPr>
          <w:rStyle w:val="Hyperlnk"/>
        </w:rPr>
        <w:t>2</w:t>
      </w:r>
    </w:p>
    <w:p w14:paraId="275661D7" w14:textId="77777777" w:rsidR="002401D0" w:rsidRDefault="002401D0">
      <w:pPr>
        <w:pStyle w:val="ANormal"/>
      </w:pPr>
    </w:p>
    <w:p w14:paraId="37F434F2" w14:textId="77777777" w:rsidR="002401D0" w:rsidRDefault="002401D0">
      <w:pPr>
        <w:pStyle w:val="Innehll1"/>
      </w:pPr>
      <w:r>
        <w:t>INNEHÅLL</w:t>
      </w:r>
    </w:p>
    <w:p w14:paraId="6A553B9A" w14:textId="0E535276" w:rsidR="00197DF5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5335749" w:history="1">
        <w:r w:rsidR="00197DF5" w:rsidRPr="00DC0A60">
          <w:rPr>
            <w:rStyle w:val="Hyperlnk"/>
          </w:rPr>
          <w:t>Sammanfattning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_Toc115335749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1</w:t>
        </w:r>
        <w:r w:rsidR="00197DF5">
          <w:rPr>
            <w:webHidden/>
          </w:rPr>
          <w:fldChar w:fldCharType="end"/>
        </w:r>
      </w:hyperlink>
    </w:p>
    <w:p w14:paraId="62DC62ED" w14:textId="0C0F9C8C" w:rsidR="00197DF5" w:rsidRDefault="00B86F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0" w:history="1">
        <w:r w:rsidR="00197DF5" w:rsidRPr="00DC0A60">
          <w:rPr>
            <w:rStyle w:val="Hyperlnk"/>
          </w:rPr>
          <w:t>Landskapsregeringens förslag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_Toc115335750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1</w:t>
        </w:r>
        <w:r w:rsidR="00197DF5">
          <w:rPr>
            <w:webHidden/>
          </w:rPr>
          <w:fldChar w:fldCharType="end"/>
        </w:r>
      </w:hyperlink>
    </w:p>
    <w:p w14:paraId="3BCC1216" w14:textId="59F05765" w:rsidR="00197DF5" w:rsidRDefault="00B86F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1" w:history="1">
        <w:r w:rsidR="00197DF5" w:rsidRPr="00DC0A60">
          <w:rPr>
            <w:rStyle w:val="Hyperlnk"/>
          </w:rPr>
          <w:t>Utskottets förslag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_Toc115335751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1</w:t>
        </w:r>
        <w:r w:rsidR="00197DF5">
          <w:rPr>
            <w:webHidden/>
          </w:rPr>
          <w:fldChar w:fldCharType="end"/>
        </w:r>
      </w:hyperlink>
    </w:p>
    <w:p w14:paraId="1EDEB6BA" w14:textId="1332C79D" w:rsidR="00197DF5" w:rsidRDefault="00B86F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2" w:history="1">
        <w:r w:rsidR="00197DF5" w:rsidRPr="00DC0A60">
          <w:rPr>
            <w:rStyle w:val="Hyperlnk"/>
          </w:rPr>
          <w:t>Utskottets synpunkter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_Toc115335752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1</w:t>
        </w:r>
        <w:r w:rsidR="00197DF5">
          <w:rPr>
            <w:webHidden/>
          </w:rPr>
          <w:fldChar w:fldCharType="end"/>
        </w:r>
      </w:hyperlink>
    </w:p>
    <w:p w14:paraId="6114C427" w14:textId="643B1B65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3" w:history="1">
        <w:r w:rsidR="00197DF5" w:rsidRPr="00DC0A60">
          <w:rPr>
            <w:rStyle w:val="Hyperlnk"/>
          </w:rPr>
          <w:t>Förvaltningsberättelsen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_Toc115335753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2</w:t>
        </w:r>
        <w:r w:rsidR="00197DF5">
          <w:rPr>
            <w:webHidden/>
          </w:rPr>
          <w:fldChar w:fldCharType="end"/>
        </w:r>
      </w:hyperlink>
    </w:p>
    <w:p w14:paraId="74B5EA0D" w14:textId="164A2F3C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4" w:history="1">
        <w:r w:rsidR="00197DF5" w:rsidRPr="00DC0A60">
          <w:rPr>
            <w:rStyle w:val="Hyperlnk"/>
          </w:rPr>
          <w:t>Resultat- och kostnadsutveckling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_Toc115335754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2</w:t>
        </w:r>
        <w:r w:rsidR="00197DF5">
          <w:rPr>
            <w:webHidden/>
          </w:rPr>
          <w:fldChar w:fldCharType="end"/>
        </w:r>
      </w:hyperlink>
    </w:p>
    <w:p w14:paraId="01E0E56B" w14:textId="03C859B9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5" w:history="1">
        <w:r w:rsidR="00197DF5" w:rsidRPr="00DC0A60">
          <w:rPr>
            <w:rStyle w:val="Hyperlnk"/>
          </w:rPr>
          <w:t>Skatteintäkter och likviditet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_Toc115335755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3</w:t>
        </w:r>
        <w:r w:rsidR="00197DF5">
          <w:rPr>
            <w:webHidden/>
          </w:rPr>
          <w:fldChar w:fldCharType="end"/>
        </w:r>
      </w:hyperlink>
    </w:p>
    <w:p w14:paraId="2BCDF48B" w14:textId="3FA801DA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6" w:history="1">
        <w:r w:rsidR="00197DF5" w:rsidRPr="00DC0A60">
          <w:rPr>
            <w:rStyle w:val="Hyperlnk"/>
          </w:rPr>
          <w:t>Pensionskostnaderna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_Toc115335756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3</w:t>
        </w:r>
        <w:r w:rsidR="00197DF5">
          <w:rPr>
            <w:webHidden/>
          </w:rPr>
          <w:fldChar w:fldCharType="end"/>
        </w:r>
      </w:hyperlink>
    </w:p>
    <w:p w14:paraId="172B3498" w14:textId="0076B3E0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7" w:history="1">
        <w:r w:rsidR="00197DF5" w:rsidRPr="00DC0A60">
          <w:rPr>
            <w:rStyle w:val="Hyperlnk"/>
          </w:rPr>
          <w:t>Personal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_Toc115335757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3</w:t>
        </w:r>
        <w:r w:rsidR="00197DF5">
          <w:rPr>
            <w:webHidden/>
          </w:rPr>
          <w:fldChar w:fldCharType="end"/>
        </w:r>
      </w:hyperlink>
    </w:p>
    <w:p w14:paraId="6F8D6942" w14:textId="6454088A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8" w:history="1">
        <w:r w:rsidR="00197DF5" w:rsidRPr="00DC0A60">
          <w:rPr>
            <w:rStyle w:val="Hyperlnk"/>
          </w:rPr>
          <w:t>Landskapets tillgångar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_Toc115335758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4</w:t>
        </w:r>
        <w:r w:rsidR="00197DF5">
          <w:rPr>
            <w:webHidden/>
          </w:rPr>
          <w:fldChar w:fldCharType="end"/>
        </w:r>
      </w:hyperlink>
    </w:p>
    <w:p w14:paraId="1F0BF21A" w14:textId="3CFB1F33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59" w:history="1">
        <w:r w:rsidR="00197DF5" w:rsidRPr="00DC0A60">
          <w:rPr>
            <w:rStyle w:val="Hyperlnk"/>
          </w:rPr>
          <w:t>Ålands fastighets Ab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_Toc115335759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5</w:t>
        </w:r>
        <w:r w:rsidR="00197DF5">
          <w:rPr>
            <w:webHidden/>
          </w:rPr>
          <w:fldChar w:fldCharType="end"/>
        </w:r>
      </w:hyperlink>
    </w:p>
    <w:p w14:paraId="2853A34B" w14:textId="656B9804" w:rsidR="00197DF5" w:rsidRDefault="00B86F66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60" w:history="1">
        <w:r w:rsidR="00197DF5" w:rsidRPr="00DC0A60">
          <w:rPr>
            <w:rStyle w:val="Hyperlnk"/>
          </w:rPr>
          <w:t>Noterade felaktigheter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_Toc115335760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5</w:t>
        </w:r>
        <w:r w:rsidR="00197DF5">
          <w:rPr>
            <w:webHidden/>
          </w:rPr>
          <w:fldChar w:fldCharType="end"/>
        </w:r>
      </w:hyperlink>
    </w:p>
    <w:p w14:paraId="2BAC318A" w14:textId="68C77682" w:rsidR="00197DF5" w:rsidRDefault="00B86F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61" w:history="1">
        <w:r w:rsidR="00197DF5" w:rsidRPr="00DC0A60">
          <w:rPr>
            <w:rStyle w:val="Hyperlnk"/>
          </w:rPr>
          <w:t>Ärendets behandling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_Toc115335761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8</w:t>
        </w:r>
        <w:r w:rsidR="00197DF5">
          <w:rPr>
            <w:webHidden/>
          </w:rPr>
          <w:fldChar w:fldCharType="end"/>
        </w:r>
      </w:hyperlink>
    </w:p>
    <w:p w14:paraId="07F544F1" w14:textId="564AC0A3" w:rsidR="00197DF5" w:rsidRDefault="00B86F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62" w:history="1">
        <w:r w:rsidR="00197DF5" w:rsidRPr="00DC0A60">
          <w:rPr>
            <w:rStyle w:val="Hyperlnk"/>
          </w:rPr>
          <w:t>Reservation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_Toc115335762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8</w:t>
        </w:r>
        <w:r w:rsidR="00197DF5">
          <w:rPr>
            <w:webHidden/>
          </w:rPr>
          <w:fldChar w:fldCharType="end"/>
        </w:r>
      </w:hyperlink>
    </w:p>
    <w:p w14:paraId="676281CD" w14:textId="30103BB5" w:rsidR="00197DF5" w:rsidRDefault="00B86F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5335763" w:history="1">
        <w:r w:rsidR="00197DF5" w:rsidRPr="00DC0A60">
          <w:rPr>
            <w:rStyle w:val="Hyperlnk"/>
          </w:rPr>
          <w:t>Utskottets förslag</w:t>
        </w:r>
        <w:r w:rsidR="00197DF5">
          <w:rPr>
            <w:webHidden/>
          </w:rPr>
          <w:tab/>
        </w:r>
        <w:r w:rsidR="00197DF5">
          <w:rPr>
            <w:webHidden/>
          </w:rPr>
          <w:fldChar w:fldCharType="begin"/>
        </w:r>
        <w:r w:rsidR="00197DF5">
          <w:rPr>
            <w:webHidden/>
          </w:rPr>
          <w:instrText xml:space="preserve"> PAGEREF _Toc115335763 \h </w:instrText>
        </w:r>
        <w:r w:rsidR="00197DF5">
          <w:rPr>
            <w:webHidden/>
          </w:rPr>
        </w:r>
        <w:r w:rsidR="00197DF5">
          <w:rPr>
            <w:webHidden/>
          </w:rPr>
          <w:fldChar w:fldCharType="separate"/>
        </w:r>
        <w:r w:rsidR="00BD32B1">
          <w:rPr>
            <w:webHidden/>
          </w:rPr>
          <w:t>8</w:t>
        </w:r>
        <w:r w:rsidR="00197DF5">
          <w:rPr>
            <w:webHidden/>
          </w:rPr>
          <w:fldChar w:fldCharType="end"/>
        </w:r>
      </w:hyperlink>
    </w:p>
    <w:p w14:paraId="4FA5C5D1" w14:textId="491A94C7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6C7E7A3F" w14:textId="33DA92FF" w:rsidR="002A2CF6" w:rsidRDefault="002A2CF6">
      <w:pPr>
        <w:pStyle w:val="ANormal"/>
      </w:pPr>
    </w:p>
    <w:p w14:paraId="4B8D5272" w14:textId="77777777" w:rsidR="002A2CF6" w:rsidRDefault="002A2CF6">
      <w:pPr>
        <w:pStyle w:val="ANormal"/>
      </w:pPr>
    </w:p>
    <w:p w14:paraId="6E338841" w14:textId="77777777" w:rsidR="002401D0" w:rsidRPr="009C0360" w:rsidRDefault="002401D0">
      <w:pPr>
        <w:pStyle w:val="RubrikA"/>
      </w:pPr>
      <w:bookmarkStart w:id="1" w:name="_Toc529800932"/>
      <w:bookmarkStart w:id="2" w:name="_Toc115335749"/>
      <w:r w:rsidRPr="009C0360">
        <w:t>Sammanfattning</w:t>
      </w:r>
      <w:bookmarkEnd w:id="1"/>
      <w:bookmarkEnd w:id="2"/>
    </w:p>
    <w:p w14:paraId="49FF1063" w14:textId="77777777" w:rsidR="002401D0" w:rsidRPr="009C0360" w:rsidRDefault="002401D0">
      <w:pPr>
        <w:pStyle w:val="Rubrikmellanrum"/>
      </w:pPr>
    </w:p>
    <w:p w14:paraId="592479A9" w14:textId="77777777" w:rsidR="002401D0" w:rsidRPr="009C0360" w:rsidRDefault="0028660F">
      <w:pPr>
        <w:pStyle w:val="RubrikB"/>
      </w:pPr>
      <w:bookmarkStart w:id="3" w:name="_Toc529800933"/>
      <w:bookmarkStart w:id="4" w:name="_Toc115335750"/>
      <w:r w:rsidRPr="009C0360">
        <w:t>Landskapsregeringens</w:t>
      </w:r>
      <w:r w:rsidR="002401D0" w:rsidRPr="009C0360">
        <w:t xml:space="preserve"> förslag</w:t>
      </w:r>
      <w:bookmarkEnd w:id="3"/>
      <w:bookmarkEnd w:id="4"/>
    </w:p>
    <w:p w14:paraId="675C1E1C" w14:textId="77777777" w:rsidR="002401D0" w:rsidRPr="009C0360" w:rsidRDefault="002401D0">
      <w:pPr>
        <w:pStyle w:val="Rubrikmellanrum"/>
      </w:pPr>
    </w:p>
    <w:p w14:paraId="53FC1095" w14:textId="33BB48E5" w:rsidR="0028660F" w:rsidRPr="00D11A6D" w:rsidRDefault="0028660F" w:rsidP="0028660F">
      <w:pPr>
        <w:pStyle w:val="ANormal"/>
      </w:pPr>
      <w:r w:rsidRPr="009C0360">
        <w:t xml:space="preserve">Landskapsregeringen </w:t>
      </w:r>
      <w:r w:rsidR="00C772BB" w:rsidRPr="009C0360">
        <w:t xml:space="preserve">har </w:t>
      </w:r>
      <w:r w:rsidR="009C0360" w:rsidRPr="009C0360">
        <w:t>i enlighet med 25</w:t>
      </w:r>
      <w:r w:rsidR="004F1700">
        <w:t xml:space="preserve"> §</w:t>
      </w:r>
      <w:r w:rsidR="009C0360" w:rsidRPr="009C0360">
        <w:t xml:space="preserve"> landskapslagen (1971:42) om Ålands landskapsregering </w:t>
      </w:r>
      <w:r w:rsidRPr="009C0360">
        <w:t>överlämna</w:t>
      </w:r>
      <w:r w:rsidR="00C772BB" w:rsidRPr="009C0360">
        <w:t>t</w:t>
      </w:r>
      <w:r w:rsidRPr="009C0360">
        <w:t xml:space="preserve"> årsredovisning</w:t>
      </w:r>
      <w:r w:rsidR="00C772BB" w:rsidRPr="009C0360">
        <w:t>en</w:t>
      </w:r>
      <w:r w:rsidRPr="009C0360">
        <w:t xml:space="preserve"> för landskapet Åland </w:t>
      </w:r>
      <w:r w:rsidR="008B267F" w:rsidRPr="009C0360">
        <w:t>2</w:t>
      </w:r>
      <w:r w:rsidR="009C0360" w:rsidRPr="009C0360">
        <w:t>0</w:t>
      </w:r>
      <w:r w:rsidR="000B1DB9">
        <w:t>2</w:t>
      </w:r>
      <w:r w:rsidR="00274393">
        <w:t>1</w:t>
      </w:r>
      <w:r w:rsidR="008B267F" w:rsidRPr="009C0360">
        <w:t xml:space="preserve"> t</w:t>
      </w:r>
      <w:r w:rsidRPr="009C0360">
        <w:t xml:space="preserve">ill lagtinget såsom redogörelse nr </w:t>
      </w:r>
      <w:r w:rsidR="00274393">
        <w:t>2</w:t>
      </w:r>
      <w:r w:rsidRPr="009C0360">
        <w:t>/</w:t>
      </w:r>
      <w:proofErr w:type="gramStart"/>
      <w:r w:rsidRPr="009C0360">
        <w:t>20</w:t>
      </w:r>
      <w:r w:rsidR="000B1DB9">
        <w:t>2</w:t>
      </w:r>
      <w:r w:rsidR="00274393">
        <w:t>1</w:t>
      </w:r>
      <w:r w:rsidRPr="009C0360">
        <w:t>-20</w:t>
      </w:r>
      <w:r w:rsidR="00AA1C2B" w:rsidRPr="009C0360">
        <w:t>2</w:t>
      </w:r>
      <w:r w:rsidR="00274393">
        <w:t>2</w:t>
      </w:r>
      <w:proofErr w:type="gramEnd"/>
      <w:r w:rsidR="0000155F" w:rsidRPr="009C0360">
        <w:t>.</w:t>
      </w:r>
      <w:r w:rsidR="009C0360" w:rsidRPr="009C0360">
        <w:t xml:space="preserve"> </w:t>
      </w:r>
      <w:r w:rsidR="00C772BB" w:rsidRPr="009C0360">
        <w:t xml:space="preserve">Årsredovisningen inkluderar </w:t>
      </w:r>
      <w:r w:rsidR="009C0360" w:rsidRPr="009C0360">
        <w:t xml:space="preserve">i enlighet med 19 § LL (2012:69) om landskapets finansförvaltning landskapsbokslutet och en </w:t>
      </w:r>
      <w:r w:rsidR="009C0360" w:rsidRPr="00D11A6D">
        <w:t xml:space="preserve">förvaltningsberättelse. I </w:t>
      </w:r>
      <w:r w:rsidR="00AA579A">
        <w:t>årsredovisningen ingår också</w:t>
      </w:r>
      <w:r w:rsidR="00C772BB" w:rsidRPr="00D11A6D">
        <w:t xml:space="preserve"> </w:t>
      </w:r>
      <w:r w:rsidR="00D11A6D" w:rsidRPr="00D11A6D">
        <w:t>l</w:t>
      </w:r>
      <w:r w:rsidR="00C772BB" w:rsidRPr="00D11A6D">
        <w:t>andskapsrevisionens revisionsberättelse för finansåret 20</w:t>
      </w:r>
      <w:r w:rsidR="000B1DB9">
        <w:t>2</w:t>
      </w:r>
      <w:r w:rsidR="00AA579A">
        <w:t>1</w:t>
      </w:r>
      <w:r w:rsidR="00C772BB" w:rsidRPr="00D11A6D">
        <w:t>.</w:t>
      </w:r>
    </w:p>
    <w:p w14:paraId="0814FA00" w14:textId="77777777" w:rsidR="002401D0" w:rsidRPr="00D11A6D" w:rsidRDefault="002401D0">
      <w:pPr>
        <w:pStyle w:val="ANormal"/>
      </w:pPr>
    </w:p>
    <w:p w14:paraId="27C78B9F" w14:textId="77777777" w:rsidR="002401D0" w:rsidRPr="00D11A6D" w:rsidRDefault="002401D0">
      <w:pPr>
        <w:pStyle w:val="RubrikB"/>
      </w:pPr>
      <w:bookmarkStart w:id="5" w:name="_Toc529800934"/>
      <w:bookmarkStart w:id="6" w:name="_Toc115335751"/>
      <w:r w:rsidRPr="00D11A6D">
        <w:t>Utskottets förslag</w:t>
      </w:r>
      <w:bookmarkEnd w:id="5"/>
      <w:bookmarkEnd w:id="6"/>
    </w:p>
    <w:p w14:paraId="2D442064" w14:textId="77777777" w:rsidR="002401D0" w:rsidRPr="00D11A6D" w:rsidRDefault="002401D0">
      <w:pPr>
        <w:pStyle w:val="Rubrikmellanrum"/>
      </w:pPr>
    </w:p>
    <w:p w14:paraId="299B56B3" w14:textId="551EE330" w:rsidR="002401D0" w:rsidRPr="00D11A6D" w:rsidRDefault="00023409">
      <w:pPr>
        <w:pStyle w:val="ANormal"/>
      </w:pPr>
      <w:r w:rsidRPr="00D11A6D">
        <w:t>Utskottet föreslår att årsredovisningen för 20</w:t>
      </w:r>
      <w:r w:rsidR="000B1DB9">
        <w:t>2</w:t>
      </w:r>
      <w:r w:rsidR="00AA579A">
        <w:t>1</w:t>
      </w:r>
      <w:r w:rsidRPr="00D11A6D">
        <w:t xml:space="preserve"> antecknas för kännedom och att utskottets synpunkter bringas landskapsregeringen till kännedom.</w:t>
      </w:r>
    </w:p>
    <w:p w14:paraId="4759D79C" w14:textId="77777777" w:rsidR="002401D0" w:rsidRPr="00D11A6D" w:rsidRDefault="002401D0">
      <w:pPr>
        <w:pStyle w:val="ANormal"/>
      </w:pPr>
    </w:p>
    <w:p w14:paraId="5CB1598E" w14:textId="7018BE84" w:rsidR="002401D0" w:rsidRDefault="002401D0">
      <w:pPr>
        <w:pStyle w:val="RubrikA"/>
        <w:rPr>
          <w:color w:val="000000" w:themeColor="text1"/>
        </w:rPr>
      </w:pPr>
      <w:bookmarkStart w:id="7" w:name="_Toc529800935"/>
      <w:bookmarkStart w:id="8" w:name="_Toc115335752"/>
      <w:r w:rsidRPr="000F4682">
        <w:rPr>
          <w:color w:val="000000" w:themeColor="text1"/>
        </w:rPr>
        <w:t>Utskottets synpunkter</w:t>
      </w:r>
      <w:bookmarkEnd w:id="7"/>
      <w:bookmarkEnd w:id="8"/>
    </w:p>
    <w:p w14:paraId="0051D13B" w14:textId="5DD480E6" w:rsidR="0053660C" w:rsidRDefault="0053660C" w:rsidP="0053660C">
      <w:pPr>
        <w:pStyle w:val="Rubrikmellanrum"/>
      </w:pPr>
    </w:p>
    <w:p w14:paraId="3C61E7CD" w14:textId="052E001B" w:rsidR="0053660C" w:rsidRPr="0053660C" w:rsidRDefault="0053660C" w:rsidP="0053660C">
      <w:pPr>
        <w:pStyle w:val="ANormal"/>
        <w:rPr>
          <w:b/>
          <w:bCs/>
        </w:rPr>
      </w:pPr>
      <w:r w:rsidRPr="0053660C">
        <w:rPr>
          <w:b/>
          <w:bCs/>
        </w:rPr>
        <w:t>Årsredovisningen i allmänhet</w:t>
      </w:r>
    </w:p>
    <w:p w14:paraId="4544064D" w14:textId="5DB29E49" w:rsidR="0053660C" w:rsidRDefault="0053660C" w:rsidP="0053660C">
      <w:pPr>
        <w:pStyle w:val="Rubrikmellanrum"/>
      </w:pPr>
    </w:p>
    <w:p w14:paraId="670D1E32" w14:textId="3612AB72" w:rsidR="00576A16" w:rsidRDefault="0053660C" w:rsidP="0053660C">
      <w:pPr>
        <w:pStyle w:val="ANormal"/>
      </w:pPr>
      <w:r>
        <w:tab/>
      </w:r>
      <w:r w:rsidRPr="00FD3F3C">
        <w:t>Utskottet konstaterar att utöver årsredovisningen för landskapet Ålands förvaltning och ekonomi har separata verksamhetsberättelser jämte bokslut upprättats för</w:t>
      </w:r>
      <w:r w:rsidR="00AA579A">
        <w:t xml:space="preserve"> </w:t>
      </w:r>
      <w:r w:rsidR="00AA579A" w:rsidRPr="00FD3F3C">
        <w:t>Landskapets fastighetsverk</w:t>
      </w:r>
      <w:r w:rsidRPr="00FD3F3C">
        <w:t xml:space="preserve">, Landskapets pensionsfond och </w:t>
      </w:r>
      <w:r w:rsidR="00AA579A" w:rsidRPr="00FD3F3C">
        <w:t>Ålands hälso- och sjukvård (ÅHS)</w:t>
      </w:r>
      <w:r w:rsidRPr="00FD3F3C">
        <w:t xml:space="preserve">. Av dessa är endast ÅHS konsoliderat i huvudbokslutet. </w:t>
      </w:r>
      <w:r w:rsidR="00AA579A">
        <w:t>Fastighetsverkets sifferbokslut ingår som en bilaga i bokslutet. Därtill finns det en bilaga med e</w:t>
      </w:r>
      <w:r w:rsidR="00576A16">
        <w:t>tt</w:t>
      </w:r>
      <w:r w:rsidR="00AA579A">
        <w:t xml:space="preserve"> </w:t>
      </w:r>
      <w:r>
        <w:t xml:space="preserve">pro forma-koncernbokslut för landskapsregeringen och </w:t>
      </w:r>
      <w:r w:rsidRPr="00FD3F3C">
        <w:t>Fastighetsverket</w:t>
      </w:r>
      <w:r>
        <w:t xml:space="preserve">. Det konsoliderade bokslutet, som omfattar resultaträkning och balansräkning, är enbart att betrakta som informationsmaterial (bilagorna 4 och 5). </w:t>
      </w:r>
    </w:p>
    <w:p w14:paraId="48990029" w14:textId="60A3FB00" w:rsidR="004652E7" w:rsidRDefault="004652E7" w:rsidP="0053660C">
      <w:pPr>
        <w:pStyle w:val="ANormal"/>
      </w:pPr>
      <w:r>
        <w:lastRenderedPageBreak/>
        <w:tab/>
        <w:t>I bilaga 2 fin</w:t>
      </w:r>
      <w:r w:rsidR="00B2631C">
        <w:t xml:space="preserve">ns en sammanställning över de </w:t>
      </w:r>
      <w:r w:rsidR="00D55443">
        <w:t>aktie</w:t>
      </w:r>
      <w:r w:rsidR="00B2631C">
        <w:t>bolag som landskapet har en betydande ägarandel i</w:t>
      </w:r>
      <w:r w:rsidR="00D55443">
        <w:t>. I sammanställningen ingår</w:t>
      </w:r>
      <w:r w:rsidR="00B2631C">
        <w:t xml:space="preserve"> uppgift om ägarandel, omsättning och eget kapital. Landskapet är</w:t>
      </w:r>
      <w:r w:rsidR="00D55443">
        <w:t xml:space="preserve"> huvudsaklig</w:t>
      </w:r>
      <w:r w:rsidR="00B2631C">
        <w:t xml:space="preserve"> ägare till 8 bolag (</w:t>
      </w:r>
      <w:proofErr w:type="gramStart"/>
      <w:r w:rsidR="00B2631C">
        <w:t>94-100</w:t>
      </w:r>
      <w:proofErr w:type="gramEnd"/>
      <w:r w:rsidR="00B2631C">
        <w:t xml:space="preserve"> %) och betydande delägare i 5 bolag (27-50 %).</w:t>
      </w:r>
      <w:r w:rsidR="00D55443">
        <w:t xml:space="preserve"> Totalt äger landskapet aktier i 19 olika bolag (not 9).</w:t>
      </w:r>
      <w:r w:rsidR="00EE4B0E">
        <w:t xml:space="preserve"> Under året har Kraftnät Åland Ab erhållit 0,8 miljoner euro i nytt kapital och det bokförda värdet av Ålands utvecklings ab har skrivits ned med 3,0 miljoner euro som ett led i bolagets avveckling.</w:t>
      </w:r>
    </w:p>
    <w:p w14:paraId="12B222DF" w14:textId="092F0945" w:rsidR="000A17FF" w:rsidRDefault="009F2816" w:rsidP="000A17FF">
      <w:pPr>
        <w:pStyle w:val="ANormal"/>
        <w:rPr>
          <w:szCs w:val="21"/>
          <w:lang w:val="sv-FI" w:eastAsia="en-US"/>
        </w:rPr>
      </w:pPr>
      <w:r>
        <w:tab/>
        <w:t>Utskottet ser positivt på den utveckling av årsredovisning</w:t>
      </w:r>
      <w:r w:rsidR="00EE4B0E">
        <w:t>ens informationsvärde</w:t>
      </w:r>
      <w:r>
        <w:t xml:space="preserve"> som skett</w:t>
      </w:r>
      <w:r w:rsidR="00EE4B0E">
        <w:t xml:space="preserve"> de senaste åren</w:t>
      </w:r>
      <w:r w:rsidR="000A17FF">
        <w:t xml:space="preserve"> och förutsätter att arbetet med att göra såväl årsredovisning som sifferstat begripligare för gemene ålänning fortsätter, givet komplexiteten i helheten.</w:t>
      </w:r>
    </w:p>
    <w:p w14:paraId="23908A29" w14:textId="067AE30F" w:rsidR="00167CB6" w:rsidRDefault="00167CB6" w:rsidP="0053660C">
      <w:pPr>
        <w:pStyle w:val="ANormal"/>
      </w:pPr>
    </w:p>
    <w:p w14:paraId="560B788D" w14:textId="7A83656A" w:rsidR="00167CB6" w:rsidRDefault="00167CB6" w:rsidP="00167CB6">
      <w:pPr>
        <w:pStyle w:val="RubrikC"/>
        <w:rPr>
          <w:color w:val="000000" w:themeColor="text1"/>
        </w:rPr>
      </w:pPr>
      <w:bookmarkStart w:id="9" w:name="_Toc115335753"/>
      <w:r w:rsidRPr="00167CB6">
        <w:rPr>
          <w:color w:val="000000" w:themeColor="text1"/>
        </w:rPr>
        <w:t>Förvaltningsberättelsen</w:t>
      </w:r>
      <w:bookmarkEnd w:id="9"/>
    </w:p>
    <w:p w14:paraId="1DD6804E" w14:textId="49050049" w:rsidR="00167CB6" w:rsidRDefault="00167CB6" w:rsidP="00167CB6">
      <w:pPr>
        <w:pStyle w:val="Rubrikmellanrum"/>
      </w:pPr>
    </w:p>
    <w:p w14:paraId="5FE8C317" w14:textId="3FFACDD5" w:rsidR="00167CB6" w:rsidRPr="00167CB6" w:rsidRDefault="00167CB6" w:rsidP="00167CB6">
      <w:pPr>
        <w:pStyle w:val="ANormal"/>
      </w:pPr>
      <w:r>
        <w:t>Förvaltning</w:t>
      </w:r>
      <w:r w:rsidR="00380074">
        <w:t>s</w:t>
      </w:r>
      <w:r>
        <w:t xml:space="preserve">berättelsen </w:t>
      </w:r>
      <w:r w:rsidR="008660B8">
        <w:t>omfattar</w:t>
      </w:r>
      <w:r>
        <w:t xml:space="preserve"> c</w:t>
      </w:r>
      <w:r w:rsidR="008660B8">
        <w:t>irk</w:t>
      </w:r>
      <w:r>
        <w:t>a 170 sidor text och utgör således två tredjedelar av hela årsredovisningen. Förvaltningsberättelsen utgör numera</w:t>
      </w:r>
      <w:r w:rsidR="00A7667D">
        <w:t xml:space="preserve"> en stramt hållen och systematisk redogörelse över verksamheten. </w:t>
      </w:r>
      <w:r w:rsidR="004942D5">
        <w:t>Varje avdelning redovisar en årsöversikt, budget- och måluppfyllnad samt väsentliga förändringar. De fristående myndigheterna redovisar därtill för risker och osäkerhetsfaktorer samt för den interna kontrollen.</w:t>
      </w:r>
    </w:p>
    <w:p w14:paraId="69B923FB" w14:textId="77777777" w:rsidR="00167CB6" w:rsidRDefault="00167CB6" w:rsidP="0053660C">
      <w:pPr>
        <w:pStyle w:val="ANormal"/>
        <w:rPr>
          <w:color w:val="000000" w:themeColor="text1"/>
        </w:rPr>
      </w:pPr>
    </w:p>
    <w:p w14:paraId="5C8D6824" w14:textId="37E114DB" w:rsidR="00AA1C2B" w:rsidRPr="000F4682" w:rsidRDefault="00AA1C2B" w:rsidP="00AA1C2B">
      <w:pPr>
        <w:pStyle w:val="Rubrikmellanrum"/>
        <w:rPr>
          <w:color w:val="000000" w:themeColor="text1"/>
        </w:rPr>
      </w:pPr>
    </w:p>
    <w:p w14:paraId="4165E436" w14:textId="3260D48E" w:rsidR="000F32A0" w:rsidRPr="000F4682" w:rsidRDefault="000F32A0" w:rsidP="000F32A0">
      <w:pPr>
        <w:pStyle w:val="RubrikC"/>
        <w:rPr>
          <w:color w:val="000000" w:themeColor="text1"/>
        </w:rPr>
      </w:pPr>
      <w:bookmarkStart w:id="10" w:name="_Toc115335754"/>
      <w:r w:rsidRPr="000F4682">
        <w:rPr>
          <w:color w:val="000000" w:themeColor="text1"/>
        </w:rPr>
        <w:t>Resultat</w:t>
      </w:r>
      <w:r w:rsidR="000001AB" w:rsidRPr="000F4682">
        <w:rPr>
          <w:color w:val="000000" w:themeColor="text1"/>
        </w:rPr>
        <w:t xml:space="preserve">- och </w:t>
      </w:r>
      <w:r w:rsidR="00926D1C" w:rsidRPr="000F4682">
        <w:rPr>
          <w:color w:val="000000" w:themeColor="text1"/>
        </w:rPr>
        <w:t>kostnadsutveckling</w:t>
      </w:r>
      <w:bookmarkEnd w:id="10"/>
    </w:p>
    <w:p w14:paraId="7CF0D629" w14:textId="77777777" w:rsidR="000F32A0" w:rsidRPr="000F4682" w:rsidRDefault="000F32A0" w:rsidP="000F32A0">
      <w:pPr>
        <w:pStyle w:val="Rubrikmellanrum"/>
        <w:rPr>
          <w:color w:val="000000" w:themeColor="text1"/>
        </w:rPr>
      </w:pPr>
    </w:p>
    <w:p w14:paraId="60B433CC" w14:textId="1BE52B2E" w:rsidR="00D41D6E" w:rsidRPr="00D93512" w:rsidRDefault="00D93512" w:rsidP="00074652">
      <w:pPr>
        <w:pStyle w:val="ANormal"/>
      </w:pPr>
      <w:r>
        <w:t>Då man jämför resultatet för</w:t>
      </w:r>
      <w:r w:rsidR="00D41D6E" w:rsidRPr="00D93512">
        <w:t xml:space="preserve"> hela landskapets verksamhet </w:t>
      </w:r>
      <w:r>
        <w:t>mellan olika verksamhetsår är</w:t>
      </w:r>
      <w:r w:rsidR="00D41D6E" w:rsidRPr="00D93512">
        <w:t xml:space="preserve"> årsbidraget</w:t>
      </w:r>
      <w:r>
        <w:t xml:space="preserve"> den mest relevanta posten</w:t>
      </w:r>
      <w:r w:rsidR="00D41D6E" w:rsidRPr="00D93512">
        <w:t xml:space="preserve">. </w:t>
      </w:r>
      <w:r w:rsidR="00074652" w:rsidRPr="00D93512">
        <w:t>Årsbidraget utgörs av verksamhet</w:t>
      </w:r>
      <w:r>
        <w:t>ens intäkter och kostnader</w:t>
      </w:r>
      <w:r w:rsidR="00074652" w:rsidRPr="00D93512">
        <w:t xml:space="preserve">, skatteinkomster </w:t>
      </w:r>
      <w:r>
        <w:t>samt</w:t>
      </w:r>
      <w:r w:rsidR="00074652" w:rsidRPr="00D93512">
        <w:t xml:space="preserve"> finansiella poster </w:t>
      </w:r>
      <w:r w:rsidRPr="00D93512">
        <w:t xml:space="preserve">och </w:t>
      </w:r>
      <w:r w:rsidR="00074652" w:rsidRPr="00D93512">
        <w:t>uppgick till</w:t>
      </w:r>
      <w:r w:rsidR="002F654E" w:rsidRPr="00D93512">
        <w:t xml:space="preserve"> </w:t>
      </w:r>
      <w:r w:rsidR="003D1556" w:rsidRPr="00D93512">
        <w:t>23,7</w:t>
      </w:r>
      <w:r w:rsidR="002F654E" w:rsidRPr="00D93512">
        <w:t xml:space="preserve"> (</w:t>
      </w:r>
      <w:r w:rsidR="003D1556" w:rsidRPr="00D93512">
        <w:t>-15,3</w:t>
      </w:r>
      <w:r w:rsidR="000A6DAB">
        <w:t xml:space="preserve"> år 2020</w:t>
      </w:r>
      <w:r w:rsidR="00074652" w:rsidRPr="00D93512">
        <w:t>) miljoner euro</w:t>
      </w:r>
      <w:r w:rsidRPr="00D93512">
        <w:t>, vilket således är en förbättring med 39 miljoner euro</w:t>
      </w:r>
      <w:r>
        <w:t xml:space="preserve"> från föregående år</w:t>
      </w:r>
      <w:r w:rsidR="00074652" w:rsidRPr="00D93512">
        <w:t xml:space="preserve">. </w:t>
      </w:r>
    </w:p>
    <w:p w14:paraId="78D8B0F0" w14:textId="52B394FF" w:rsidR="00195FF1" w:rsidRDefault="00D41D6E" w:rsidP="00074652">
      <w:pPr>
        <w:pStyle w:val="ANormal"/>
      </w:pPr>
      <w:r w:rsidRPr="00D93512">
        <w:tab/>
      </w:r>
      <w:r w:rsidR="00110090" w:rsidRPr="00D93512">
        <w:t>Räkenskapsperiodens resultat år 20</w:t>
      </w:r>
      <w:r w:rsidR="00157C9A" w:rsidRPr="00D93512">
        <w:t>2</w:t>
      </w:r>
      <w:r w:rsidR="003D1556" w:rsidRPr="00D93512">
        <w:t>1</w:t>
      </w:r>
      <w:r w:rsidR="00110090" w:rsidRPr="00D93512">
        <w:t xml:space="preserve"> uppgår till </w:t>
      </w:r>
      <w:r w:rsidR="003D1556" w:rsidRPr="00D93512">
        <w:t>4,7</w:t>
      </w:r>
      <w:r w:rsidR="00157C9A" w:rsidRPr="00D93512">
        <w:t xml:space="preserve"> (</w:t>
      </w:r>
      <w:r w:rsidR="003D1556" w:rsidRPr="00D93512">
        <w:t>-2</w:t>
      </w:r>
      <w:r w:rsidR="00110090" w:rsidRPr="00D93512">
        <w:t>5,</w:t>
      </w:r>
      <w:r w:rsidR="003D1556" w:rsidRPr="00D93512">
        <w:t>9</w:t>
      </w:r>
      <w:r w:rsidR="00157C9A" w:rsidRPr="00D93512">
        <w:t>)</w:t>
      </w:r>
      <w:r w:rsidR="00110090" w:rsidRPr="00D93512">
        <w:t xml:space="preserve"> miljoner euro</w:t>
      </w:r>
      <w:r w:rsidR="003B7559" w:rsidRPr="00D93512">
        <w:t xml:space="preserve">. </w:t>
      </w:r>
      <w:r w:rsidR="00773C68" w:rsidRPr="00D93512">
        <w:t>Resultatet räknas fram genom att minska årsbidraget med avskrivningar och</w:t>
      </w:r>
      <w:r w:rsidRPr="00D93512">
        <w:t xml:space="preserve"> </w:t>
      </w:r>
      <w:r w:rsidR="00D93512">
        <w:t xml:space="preserve">nettobeloppet av de </w:t>
      </w:r>
      <w:r w:rsidRPr="00D93512">
        <w:t>eventuell</w:t>
      </w:r>
      <w:r w:rsidR="00D93512">
        <w:t xml:space="preserve">a </w:t>
      </w:r>
      <w:r w:rsidR="00773C68" w:rsidRPr="00D93512">
        <w:t>extraordinära poster</w:t>
      </w:r>
      <w:r w:rsidRPr="00D93512">
        <w:t>na.</w:t>
      </w:r>
    </w:p>
    <w:p w14:paraId="04B439B0" w14:textId="0679A260" w:rsidR="00110090" w:rsidRPr="003D1556" w:rsidRDefault="00195FF1" w:rsidP="00074652">
      <w:pPr>
        <w:pStyle w:val="ANormal"/>
      </w:pPr>
      <w:r>
        <w:tab/>
      </w:r>
      <w:r w:rsidR="003D1556" w:rsidRPr="003D1556">
        <w:t>Inga extraordinära poster påverkar resultatet</w:t>
      </w:r>
      <w:r>
        <w:t xml:space="preserve">, däremot gjordes en engångsnedskrivning från anläggningstillgångarna om 5,6 miljoner euro som omfattade </w:t>
      </w:r>
      <w:r w:rsidR="000A6DAB">
        <w:t>en</w:t>
      </w:r>
      <w:r>
        <w:t xml:space="preserve"> </w:t>
      </w:r>
      <w:r w:rsidR="000A6DAB">
        <w:t>ned</w:t>
      </w:r>
      <w:r>
        <w:t xml:space="preserve">skrivning av ett antal broar samt avlägsnande av de projektkostnader för det nedlagda kortruttsprojektet som tidigare bokats i balansräkningen. </w:t>
      </w:r>
    </w:p>
    <w:p w14:paraId="45FE76D4" w14:textId="7A9339C4" w:rsidR="00AE1714" w:rsidRPr="003D1556" w:rsidRDefault="00110090" w:rsidP="00110090">
      <w:pPr>
        <w:pStyle w:val="ANormal"/>
      </w:pPr>
      <w:r w:rsidRPr="003D1556">
        <w:tab/>
        <w:t>Verksamhetens kostnader uppgick år 20</w:t>
      </w:r>
      <w:r w:rsidR="00AE1714" w:rsidRPr="003D1556">
        <w:t>2</w:t>
      </w:r>
      <w:r w:rsidR="00586D81">
        <w:t>1</w:t>
      </w:r>
      <w:r w:rsidRPr="003D1556">
        <w:t xml:space="preserve"> till 20</w:t>
      </w:r>
      <w:r w:rsidR="00195FF1">
        <w:t>9,8</w:t>
      </w:r>
      <w:r w:rsidRPr="003D1556">
        <w:t xml:space="preserve"> miljoner euro, vilket är</w:t>
      </w:r>
      <w:r w:rsidR="00AE1714" w:rsidRPr="003D1556">
        <w:t xml:space="preserve"> en ökning </w:t>
      </w:r>
      <w:r w:rsidR="00195FF1">
        <w:t>med</w:t>
      </w:r>
      <w:r w:rsidR="00AE1714" w:rsidRPr="003D1556">
        <w:t xml:space="preserve"> </w:t>
      </w:r>
      <w:r w:rsidR="00195FF1">
        <w:t>6,4</w:t>
      </w:r>
      <w:r w:rsidRPr="003D1556">
        <w:t xml:space="preserve"> miljoner eller </w:t>
      </w:r>
      <w:r w:rsidR="00586D81">
        <w:t>3,1</w:t>
      </w:r>
      <w:r w:rsidRPr="003D1556">
        <w:t xml:space="preserve"> </w:t>
      </w:r>
      <w:r w:rsidR="00AE1714" w:rsidRPr="003D1556">
        <w:t>(</w:t>
      </w:r>
      <w:r w:rsidR="00586D81">
        <w:t>1</w:t>
      </w:r>
      <w:r w:rsidR="00AE1714" w:rsidRPr="003D1556">
        <w:t>,</w:t>
      </w:r>
      <w:r w:rsidR="00586D81">
        <w:t>2</w:t>
      </w:r>
      <w:r w:rsidR="00AE1714" w:rsidRPr="003D1556">
        <w:t xml:space="preserve">) </w:t>
      </w:r>
      <w:r w:rsidRPr="003D1556">
        <w:t xml:space="preserve">procent </w:t>
      </w:r>
      <w:r w:rsidR="00AE1714" w:rsidRPr="003D1556">
        <w:t xml:space="preserve">jämfört med </w:t>
      </w:r>
      <w:r w:rsidRPr="003D1556">
        <w:t>år 20</w:t>
      </w:r>
      <w:r w:rsidR="00586D81">
        <w:t>20.</w:t>
      </w:r>
    </w:p>
    <w:p w14:paraId="249CE2DC" w14:textId="652CE96A" w:rsidR="00926D1C" w:rsidRDefault="00AE1714" w:rsidP="00110090">
      <w:pPr>
        <w:pStyle w:val="ANormal"/>
      </w:pPr>
      <w:r w:rsidRPr="003D1556">
        <w:tab/>
        <w:t xml:space="preserve">Kostnaderna för inkomst- och kapitalöverföringar </w:t>
      </w:r>
      <w:r w:rsidR="00586D81">
        <w:t xml:space="preserve">minskade </w:t>
      </w:r>
      <w:r w:rsidRPr="003D1556">
        <w:t xml:space="preserve">med </w:t>
      </w:r>
      <w:r w:rsidR="00586D81">
        <w:t xml:space="preserve">6,2 </w:t>
      </w:r>
      <w:r w:rsidRPr="003D1556">
        <w:t xml:space="preserve">miljoner euro till </w:t>
      </w:r>
      <w:r w:rsidR="00586D81">
        <w:t>103,9 (</w:t>
      </w:r>
      <w:r w:rsidRPr="003D1556">
        <w:t>109,7</w:t>
      </w:r>
      <w:r w:rsidR="00586D81">
        <w:t>)</w:t>
      </w:r>
      <w:r w:rsidRPr="003D1556">
        <w:t xml:space="preserve"> miljoner euro. </w:t>
      </w:r>
      <w:r w:rsidR="00586D81">
        <w:t>Minskningen</w:t>
      </w:r>
      <w:r w:rsidRPr="003D1556">
        <w:t xml:space="preserve"> hänger samman med </w:t>
      </w:r>
      <w:r w:rsidR="00586D81">
        <w:t xml:space="preserve">de sänkta kostnaderna som </w:t>
      </w:r>
      <w:r w:rsidRPr="003D1556">
        <w:t xml:space="preserve">kan </w:t>
      </w:r>
      <w:r w:rsidR="00586D81">
        <w:t xml:space="preserve">kopplas </w:t>
      </w:r>
      <w:r w:rsidRPr="003D1556">
        <w:t>till coronapandemin.</w:t>
      </w:r>
      <w:r w:rsidR="00110090" w:rsidRPr="003D1556">
        <w:t xml:space="preserve"> </w:t>
      </w:r>
    </w:p>
    <w:p w14:paraId="07EBD1AA" w14:textId="27DADDA4" w:rsidR="008660B8" w:rsidRPr="000A17FF" w:rsidRDefault="008660B8" w:rsidP="00110090">
      <w:pPr>
        <w:pStyle w:val="ANormal"/>
        <w:rPr>
          <w:b/>
          <w:bCs/>
          <w:i/>
          <w:iCs/>
          <w:color w:val="FF0000"/>
        </w:rPr>
      </w:pPr>
      <w:r>
        <w:tab/>
        <w:t xml:space="preserve">Specifikt för boksluten 2020 och 2021 finns en förteckning med </w:t>
      </w:r>
      <w:r w:rsidR="00CF569E">
        <w:t>C</w:t>
      </w:r>
      <w:r>
        <w:t xml:space="preserve">ovid-19 relaterade kostnader. De totala </w:t>
      </w:r>
      <w:r w:rsidR="00CF569E">
        <w:t>C</w:t>
      </w:r>
      <w:r>
        <w:t>ovid-19 relaterade nettokostnaderna för de två åren uppgår till cirka 18,4 miljoner euro, i vilket hälsovårdens kostnader och stöden till arbetsmarknaden ingår (bilaga 3, sid. 194).</w:t>
      </w:r>
      <w:r w:rsidR="00773C68">
        <w:t xml:space="preserve"> Större delen av nettokostnaderna, 14,4 miljoner euro, kan hänföras till år 2020.</w:t>
      </w:r>
      <w:r w:rsidR="000230D5">
        <w:t xml:space="preserve"> I nettokostnaderna ingår de ersättningar som erhållits av staten</w:t>
      </w:r>
      <w:r w:rsidR="00472B1E">
        <w:t>.</w:t>
      </w:r>
    </w:p>
    <w:p w14:paraId="3EA37A85" w14:textId="20A011FE" w:rsidR="009F715D" w:rsidRDefault="009F715D" w:rsidP="00110090">
      <w:pPr>
        <w:pStyle w:val="ANormal"/>
      </w:pPr>
    </w:p>
    <w:p w14:paraId="37DEF04D" w14:textId="031725C5" w:rsidR="009F715D" w:rsidRPr="009F715D" w:rsidRDefault="009F715D" w:rsidP="00110090">
      <w:pPr>
        <w:pStyle w:val="ANormal"/>
        <w:rPr>
          <w:b/>
          <w:bCs/>
        </w:rPr>
      </w:pPr>
      <w:r w:rsidRPr="009F715D">
        <w:rPr>
          <w:b/>
          <w:bCs/>
        </w:rPr>
        <w:t>Budgetuppföljningen</w:t>
      </w:r>
    </w:p>
    <w:p w14:paraId="2A1099C9" w14:textId="60EB16B1" w:rsidR="009F715D" w:rsidRPr="009F715D" w:rsidRDefault="009F715D" w:rsidP="00110090">
      <w:pPr>
        <w:pStyle w:val="ANormal"/>
        <w:rPr>
          <w:sz w:val="10"/>
          <w:szCs w:val="8"/>
        </w:rPr>
      </w:pPr>
    </w:p>
    <w:p w14:paraId="684999F3" w14:textId="1506C699" w:rsidR="00215926" w:rsidRDefault="009F715D" w:rsidP="00215926">
      <w:pPr>
        <w:pStyle w:val="ANormal"/>
      </w:pPr>
      <w:r w:rsidRPr="007D7E4E">
        <w:t xml:space="preserve">Budgetefterlevnaden </w:t>
      </w:r>
      <w:r w:rsidR="00552063" w:rsidRPr="007D7E4E">
        <w:t>visar att</w:t>
      </w:r>
      <w:r w:rsidRPr="007D7E4E">
        <w:t xml:space="preserve"> </w:t>
      </w:r>
      <w:r w:rsidR="0007018A" w:rsidRPr="007D7E4E">
        <w:t>87 (</w:t>
      </w:r>
      <w:r w:rsidRPr="007D7E4E">
        <w:t>86</w:t>
      </w:r>
      <w:r w:rsidR="0007018A" w:rsidRPr="007D7E4E">
        <w:t>)</w:t>
      </w:r>
      <w:r w:rsidRPr="007D7E4E">
        <w:t xml:space="preserve"> % av budgetanslagen för verksamhet och överföringar har utnyttjats, vilket lämnade ett </w:t>
      </w:r>
      <w:r w:rsidR="0007018A" w:rsidRPr="007D7E4E">
        <w:t xml:space="preserve">budgettekniskt </w:t>
      </w:r>
      <w:r w:rsidRPr="007D7E4E">
        <w:t xml:space="preserve">överskott om </w:t>
      </w:r>
      <w:r w:rsidR="0007018A" w:rsidRPr="007D7E4E">
        <w:t>45,4 (</w:t>
      </w:r>
      <w:r w:rsidRPr="007D7E4E">
        <w:t>50,2</w:t>
      </w:r>
      <w:r w:rsidR="0007018A" w:rsidRPr="007D7E4E">
        <w:t>)</w:t>
      </w:r>
      <w:r w:rsidRPr="007D7E4E">
        <w:t xml:space="preserve"> m</w:t>
      </w:r>
      <w:r w:rsidR="00552063" w:rsidRPr="007D7E4E">
        <w:t>iljoner euro</w:t>
      </w:r>
      <w:r w:rsidRPr="007D7E4E">
        <w:t xml:space="preserve">. Av detta belopp överförs </w:t>
      </w:r>
      <w:r w:rsidR="0007018A" w:rsidRPr="007D7E4E">
        <w:t>31,2 (</w:t>
      </w:r>
      <w:r w:rsidRPr="007D7E4E">
        <w:t>29,9</w:t>
      </w:r>
      <w:r w:rsidR="0007018A" w:rsidRPr="007D7E4E">
        <w:t>)</w:t>
      </w:r>
      <w:r w:rsidRPr="007D7E4E">
        <w:t xml:space="preserve"> m</w:t>
      </w:r>
      <w:r w:rsidR="00552063" w:rsidRPr="007D7E4E">
        <w:t>iljoner euro</w:t>
      </w:r>
      <w:r w:rsidRPr="007D7E4E">
        <w:t xml:space="preserve"> till budgetåret 202</w:t>
      </w:r>
      <w:r w:rsidR="0007018A" w:rsidRPr="007D7E4E">
        <w:t>2</w:t>
      </w:r>
      <w:r w:rsidRPr="007D7E4E">
        <w:t xml:space="preserve">. Om man använder 2019 och 2018 som jämförande normalår, ser man att budgetutnyttjandegraden </w:t>
      </w:r>
      <w:r w:rsidR="000A6DAB">
        <w:t>dessa år</w:t>
      </w:r>
      <w:r w:rsidRPr="007D7E4E">
        <w:t xml:space="preserve"> är 92 %</w:t>
      </w:r>
      <w:r w:rsidR="00552063" w:rsidRPr="007D7E4E">
        <w:t>.</w:t>
      </w:r>
      <w:r w:rsidR="007D7E4E">
        <w:t xml:space="preserve"> </w:t>
      </w:r>
    </w:p>
    <w:p w14:paraId="33003694" w14:textId="105BE9D0" w:rsidR="007D7E4E" w:rsidRPr="00215926" w:rsidRDefault="00215926" w:rsidP="00215926">
      <w:pPr>
        <w:pStyle w:val="ANormal"/>
      </w:pPr>
      <w:r>
        <w:tab/>
      </w:r>
      <w:r w:rsidR="007D7E4E">
        <w:t>Beloppet i budgeten som hänför sig till verksamhet, överföringar och finansie</w:t>
      </w:r>
      <w:r>
        <w:t>lla poster</w:t>
      </w:r>
      <w:r w:rsidR="007D7E4E">
        <w:t xml:space="preserve"> och som överförs till följande år har en tendens att stiga för </w:t>
      </w:r>
      <w:r w:rsidR="007D7E4E">
        <w:lastRenderedPageBreak/>
        <w:t xml:space="preserve">varje år. Från 2021 överförs 31,2 miljoner euro, vilket är </w:t>
      </w:r>
      <w:r>
        <w:t xml:space="preserve">9,0 % av anslagen för nämnda budgetposter. Som jämförelse kan nämnas att 2018 uppgick det överförda beloppet till 16,0 miljoner euro och utgjorde 5,2 % av de berörda budgetanslagen. </w:t>
      </w:r>
      <w:r w:rsidR="005B1A95">
        <w:t>Huvuddelen av de överförda beloppen kan hänföras till finans- och näringsavdelningarnas verksamhetsområde</w:t>
      </w:r>
      <w:r w:rsidR="00CF569E">
        <w:t>n</w:t>
      </w:r>
      <w:r w:rsidR="003E1373">
        <w:t>.</w:t>
      </w:r>
    </w:p>
    <w:p w14:paraId="646BEE14" w14:textId="6714E625" w:rsidR="009F715D" w:rsidRPr="007D7E4E" w:rsidRDefault="009F715D" w:rsidP="00215926">
      <w:pPr>
        <w:pStyle w:val="ANormal"/>
        <w:rPr>
          <w:i/>
          <w:iCs/>
        </w:rPr>
      </w:pPr>
      <w:r w:rsidRPr="006213CE">
        <w:rPr>
          <w:color w:val="FF0000"/>
        </w:rPr>
        <w:tab/>
      </w:r>
      <w:r w:rsidRPr="007D7E4E">
        <w:t xml:space="preserve">Investeringsanslagen (utan finansiella investeringar) uppgick till </w:t>
      </w:r>
      <w:r w:rsidR="0007018A" w:rsidRPr="007D7E4E">
        <w:t>45,1 (</w:t>
      </w:r>
      <w:r w:rsidRPr="007D7E4E">
        <w:t>56,4</w:t>
      </w:r>
      <w:r w:rsidR="0007018A" w:rsidRPr="007D7E4E">
        <w:t>)</w:t>
      </w:r>
      <w:r w:rsidRPr="007D7E4E">
        <w:t xml:space="preserve"> m</w:t>
      </w:r>
      <w:r w:rsidR="00552063" w:rsidRPr="007D7E4E">
        <w:t>iljoner euro</w:t>
      </w:r>
      <w:r w:rsidRPr="007D7E4E">
        <w:t xml:space="preserve">, av vilket </w:t>
      </w:r>
      <w:r w:rsidR="0007018A" w:rsidRPr="007D7E4E">
        <w:t>56 (</w:t>
      </w:r>
      <w:r w:rsidRPr="007D7E4E">
        <w:t>32</w:t>
      </w:r>
      <w:r w:rsidR="0007018A" w:rsidRPr="007D7E4E">
        <w:t>)</w:t>
      </w:r>
      <w:r w:rsidRPr="007D7E4E">
        <w:t xml:space="preserve"> % blev utnyttjat. Utnyttjandegraden </w:t>
      </w:r>
      <w:r w:rsidR="0007018A" w:rsidRPr="007D7E4E">
        <w:t xml:space="preserve">är således betydligt högre än för de senaste årens medeltal om </w:t>
      </w:r>
      <w:r w:rsidRPr="007D7E4E">
        <w:t xml:space="preserve">dryga 30 % och beror på investeringsprojektens utsträckning över flera år. </w:t>
      </w:r>
      <w:r w:rsidR="0007018A" w:rsidRPr="007D7E4E">
        <w:t xml:space="preserve">Till budgeten 2022 har 18,8 miljoner euro </w:t>
      </w:r>
      <w:r w:rsidR="007D7E4E" w:rsidRPr="007D7E4E">
        <w:t xml:space="preserve">av investeringsanslagen </w:t>
      </w:r>
      <w:r w:rsidR="0007018A" w:rsidRPr="007D7E4E">
        <w:t>överförts.</w:t>
      </w:r>
    </w:p>
    <w:p w14:paraId="1A4CEB7F" w14:textId="48DDF839" w:rsidR="00110090" w:rsidRPr="007D7E4E" w:rsidRDefault="00110090" w:rsidP="00215926">
      <w:pPr>
        <w:pStyle w:val="ANormal"/>
      </w:pPr>
    </w:p>
    <w:p w14:paraId="0F457A5C" w14:textId="0AF30F37" w:rsidR="008522F4" w:rsidRPr="00E56129" w:rsidRDefault="008522F4" w:rsidP="008522F4">
      <w:pPr>
        <w:pStyle w:val="RubrikC"/>
      </w:pPr>
      <w:bookmarkStart w:id="11" w:name="_Toc115335755"/>
      <w:r w:rsidRPr="00E56129">
        <w:t>Skatteintäkter</w:t>
      </w:r>
      <w:r w:rsidR="00397857">
        <w:t xml:space="preserve"> och likviditet</w:t>
      </w:r>
      <w:bookmarkEnd w:id="11"/>
    </w:p>
    <w:p w14:paraId="7773C9A6" w14:textId="77777777" w:rsidR="008522F4" w:rsidRPr="00E56129" w:rsidRDefault="008522F4" w:rsidP="008522F4">
      <w:pPr>
        <w:pStyle w:val="Rubrikmellanrum"/>
      </w:pPr>
    </w:p>
    <w:p w14:paraId="703B9512" w14:textId="54AEF09C" w:rsidR="002151FD" w:rsidRPr="00937102" w:rsidRDefault="008522F4" w:rsidP="00224726">
      <w:pPr>
        <w:pStyle w:val="ANormal"/>
      </w:pPr>
      <w:r w:rsidRPr="00937102">
        <w:t xml:space="preserve">De totala intäkterna av skattekaraktär </w:t>
      </w:r>
      <w:r w:rsidR="00D10359" w:rsidRPr="00937102">
        <w:t>ökade med 61,8</w:t>
      </w:r>
      <w:r w:rsidR="00E56129" w:rsidRPr="00937102">
        <w:t xml:space="preserve"> miljoner</w:t>
      </w:r>
      <w:r w:rsidR="00224726" w:rsidRPr="00937102">
        <w:t xml:space="preserve"> euro</w:t>
      </w:r>
      <w:r w:rsidR="003B7559" w:rsidRPr="00937102">
        <w:t xml:space="preserve">, till </w:t>
      </w:r>
      <w:r w:rsidR="00D10359" w:rsidRPr="00937102">
        <w:t>301,5</w:t>
      </w:r>
      <w:r w:rsidR="00084AE1" w:rsidRPr="00937102">
        <w:t xml:space="preserve"> miljoner</w:t>
      </w:r>
      <w:r w:rsidR="003B7559" w:rsidRPr="00937102">
        <w:t xml:space="preserve"> euro</w:t>
      </w:r>
      <w:r w:rsidR="00250D54" w:rsidRPr="00937102">
        <w:t xml:space="preserve"> </w:t>
      </w:r>
      <w:r w:rsidR="00D10359" w:rsidRPr="00937102">
        <w:t xml:space="preserve">jämfört med år </w:t>
      </w:r>
      <w:r w:rsidR="002151FD" w:rsidRPr="00937102">
        <w:t>20</w:t>
      </w:r>
      <w:r w:rsidR="00D10359" w:rsidRPr="00937102">
        <w:t>20</w:t>
      </w:r>
      <w:r w:rsidR="00E56129" w:rsidRPr="00937102">
        <w:t xml:space="preserve">. </w:t>
      </w:r>
      <w:r w:rsidR="00D10359" w:rsidRPr="00937102">
        <w:t xml:space="preserve">Ökningen är hela 25,7 procent, vilket delvis förklaras med att budgetåret 2021 var det första året </w:t>
      </w:r>
      <w:r w:rsidR="000B53AE">
        <w:t xml:space="preserve">som </w:t>
      </w:r>
      <w:r w:rsidR="00D10359" w:rsidRPr="00937102">
        <w:t xml:space="preserve">det nya </w:t>
      </w:r>
      <w:r w:rsidR="008A12D8">
        <w:t>avräknings</w:t>
      </w:r>
      <w:r w:rsidR="00D10359" w:rsidRPr="00937102">
        <w:t xml:space="preserve">systemet för </w:t>
      </w:r>
      <w:r w:rsidR="000B53AE">
        <w:t xml:space="preserve">den </w:t>
      </w:r>
      <w:r w:rsidR="00D10359" w:rsidRPr="00937102">
        <w:t>ekonomiska utjämningen mellan Finland och Åland</w:t>
      </w:r>
      <w:r w:rsidR="000B53AE">
        <w:t xml:space="preserve"> tillämpades</w:t>
      </w:r>
      <w:r w:rsidR="00D10359" w:rsidRPr="00937102">
        <w:t>.</w:t>
      </w:r>
      <w:r w:rsidR="003D2CBF">
        <w:t xml:space="preserve"> </w:t>
      </w:r>
      <w:r w:rsidR="003D2CBF" w:rsidRPr="00F170DD">
        <w:t>Av skatteintäkterna utgörs 13,6 miljoner euro av skattegottgörelsen</w:t>
      </w:r>
      <w:r w:rsidR="003E1373" w:rsidRPr="00F170DD">
        <w:t xml:space="preserve"> </w:t>
      </w:r>
      <w:r w:rsidR="00F170DD" w:rsidRPr="00F170DD">
        <w:t>och 10,2 miljoner euro av</w:t>
      </w:r>
      <w:r w:rsidR="003E1373" w:rsidRPr="00F170DD">
        <w:t xml:space="preserve"> lotteriskatten</w:t>
      </w:r>
      <w:r w:rsidR="003D2CBF" w:rsidRPr="00F170DD">
        <w:t>.</w:t>
      </w:r>
      <w:r w:rsidR="000B53AE">
        <w:t xml:space="preserve"> Utskottet avser att följa upp utfallet av det nya avräkningssystemet</w:t>
      </w:r>
      <w:r w:rsidR="00CF569E">
        <w:t xml:space="preserve"> så fort tillförlitliga siffror över den slutförda beskattningen för 2021 finns att tillgå.</w:t>
      </w:r>
    </w:p>
    <w:p w14:paraId="3A62AB9B" w14:textId="1E4FBD35" w:rsidR="00224726" w:rsidRPr="0000076A" w:rsidRDefault="002151FD" w:rsidP="00224726">
      <w:pPr>
        <w:pStyle w:val="ANormal"/>
      </w:pPr>
      <w:r w:rsidRPr="0000076A">
        <w:tab/>
        <w:t xml:space="preserve">Övriga finansiella intäkter och kostnader uppgick till netto </w:t>
      </w:r>
      <w:r w:rsidR="0000076A" w:rsidRPr="0000076A">
        <w:t>22,0 (</w:t>
      </w:r>
      <w:r w:rsidRPr="0000076A">
        <w:t>45,2</w:t>
      </w:r>
      <w:r w:rsidR="0000076A" w:rsidRPr="0000076A">
        <w:t>)</w:t>
      </w:r>
      <w:r w:rsidRPr="0000076A">
        <w:t xml:space="preserve"> miljoner euro</w:t>
      </w:r>
      <w:r w:rsidR="0000076A" w:rsidRPr="0000076A">
        <w:t xml:space="preserve">. Minskningen beror på att </w:t>
      </w:r>
      <w:r w:rsidR="00C6183B" w:rsidRPr="0000076A">
        <w:t>uttag</w:t>
      </w:r>
      <w:r w:rsidR="0000076A" w:rsidRPr="0000076A">
        <w:t>et</w:t>
      </w:r>
      <w:r w:rsidR="00C6183B" w:rsidRPr="0000076A">
        <w:t xml:space="preserve"> från P</w:t>
      </w:r>
      <w:r w:rsidR="00077752" w:rsidRPr="0000076A">
        <w:t>enningautomatföreningen</w:t>
      </w:r>
      <w:r w:rsidR="00C6183B" w:rsidRPr="0000076A">
        <w:t xml:space="preserve"> </w:t>
      </w:r>
      <w:r w:rsidR="0000076A" w:rsidRPr="0000076A">
        <w:t>återgått till det ”normala” om 15 miljoner</w:t>
      </w:r>
      <w:r w:rsidR="00C6183B" w:rsidRPr="0000076A">
        <w:t xml:space="preserve"> euro.</w:t>
      </w:r>
      <w:r w:rsidR="0000076A" w:rsidRPr="0000076A">
        <w:t xml:space="preserve"> Övriga finansiella intäkter består huvudsakligen av den finansiella överföringen från fastighetsverket.</w:t>
      </w:r>
    </w:p>
    <w:p w14:paraId="63C5BABA" w14:textId="528E8C2C" w:rsidR="00397857" w:rsidRPr="00397857" w:rsidRDefault="00397857" w:rsidP="00224726">
      <w:pPr>
        <w:pStyle w:val="ANormal"/>
      </w:pPr>
      <w:r>
        <w:rPr>
          <w:color w:val="FF0000"/>
        </w:rPr>
        <w:tab/>
      </w:r>
      <w:r w:rsidRPr="00397857">
        <w:t>Likviditeten har ökat med 11,8 miljoner euro från 30,0 till 41,8 miljoner euro.</w:t>
      </w:r>
      <w:r>
        <w:t xml:space="preserve"> </w:t>
      </w:r>
      <w:r w:rsidR="006A70A6">
        <w:t>Frågan om fastighetsverkets överlikviditet har lösts så att 10,5 miljoner av fastighetsverkets kassa är bokad som ett lån till landskapsregeringen.</w:t>
      </w:r>
      <w:r w:rsidR="004E493E">
        <w:t xml:space="preserve"> </w:t>
      </w:r>
      <w:r w:rsidR="00810074">
        <w:t xml:space="preserve">Fastighetsverkets likviditetshantering sköts således helt i enlighet </w:t>
      </w:r>
      <w:r w:rsidR="00CF569E">
        <w:t>med</w:t>
      </w:r>
      <w:r w:rsidR="00810074">
        <w:t xml:space="preserve"> den metodik som beskrivs i motiveringen till landskapslagen om Landskapets Fastighetsverk (LF</w:t>
      </w:r>
      <w:r w:rsidR="003D2CBF">
        <w:t>24</w:t>
      </w:r>
      <w:r w:rsidR="00810074">
        <w:t>/</w:t>
      </w:r>
      <w:proofErr w:type="gramStart"/>
      <w:r w:rsidR="00810074">
        <w:t>2014-2015</w:t>
      </w:r>
      <w:proofErr w:type="gramEnd"/>
      <w:r w:rsidR="00810074">
        <w:t xml:space="preserve">). </w:t>
      </w:r>
      <w:r w:rsidR="006A70A6">
        <w:t>Fastighetsverkets återstående likviditet vid årsskiftet uppgick till 7,8 miljoner euro.</w:t>
      </w:r>
    </w:p>
    <w:p w14:paraId="7937E9F8" w14:textId="77777777" w:rsidR="00C6183B" w:rsidRPr="00224726" w:rsidRDefault="00C6183B" w:rsidP="00224726">
      <w:pPr>
        <w:pStyle w:val="ANormal"/>
      </w:pPr>
    </w:p>
    <w:p w14:paraId="39E11C7C" w14:textId="77777777" w:rsidR="000F32A0" w:rsidRPr="007857F4" w:rsidRDefault="000F32A0" w:rsidP="000F32A0">
      <w:pPr>
        <w:pStyle w:val="RubrikC"/>
      </w:pPr>
      <w:bookmarkStart w:id="12" w:name="_Toc115335756"/>
      <w:r w:rsidRPr="007857F4">
        <w:t>Pensionskostnaderna</w:t>
      </w:r>
      <w:bookmarkEnd w:id="12"/>
    </w:p>
    <w:p w14:paraId="0C0E91E6" w14:textId="77777777" w:rsidR="000F32A0" w:rsidRPr="007857F4" w:rsidRDefault="000F32A0" w:rsidP="000F32A0">
      <w:pPr>
        <w:pStyle w:val="Rubrikmellanrum"/>
      </w:pPr>
    </w:p>
    <w:p w14:paraId="45E4518F" w14:textId="158E80B1" w:rsidR="00A41FD2" w:rsidRDefault="004568BA" w:rsidP="00A41FD2">
      <w:pPr>
        <w:pStyle w:val="ANormal"/>
      </w:pPr>
      <w:r>
        <w:t>Utgifterna för landskapets pensioner</w:t>
      </w:r>
      <w:r w:rsidR="00A41FD2" w:rsidRPr="008F07CF">
        <w:t xml:space="preserve"> uppgår till 3</w:t>
      </w:r>
      <w:r w:rsidR="00A41FD2">
        <w:t>7</w:t>
      </w:r>
      <w:r w:rsidR="00A41FD2" w:rsidRPr="008F07CF">
        <w:t>,</w:t>
      </w:r>
      <w:r w:rsidR="00A41FD2">
        <w:t>3</w:t>
      </w:r>
      <w:r w:rsidR="00A41FD2" w:rsidRPr="008F07CF">
        <w:t xml:space="preserve"> miljoner euro, vilket är </w:t>
      </w:r>
      <w:r w:rsidR="00A41FD2">
        <w:t>0</w:t>
      </w:r>
      <w:r w:rsidR="00A41FD2" w:rsidRPr="008F07CF">
        <w:t>,</w:t>
      </w:r>
      <w:r w:rsidR="00A41FD2">
        <w:t>8</w:t>
      </w:r>
      <w:r w:rsidR="00A41FD2" w:rsidRPr="008F07CF">
        <w:t xml:space="preserve"> </w:t>
      </w:r>
      <w:r w:rsidR="00A41FD2">
        <w:t xml:space="preserve">(1,4) </w:t>
      </w:r>
      <w:r w:rsidR="00A41FD2" w:rsidRPr="008F07CF">
        <w:t xml:space="preserve">miljoner eller </w:t>
      </w:r>
      <w:r w:rsidR="00A41FD2">
        <w:t>2,2 (</w:t>
      </w:r>
      <w:r w:rsidR="00A41FD2" w:rsidRPr="008F07CF">
        <w:t>4,1</w:t>
      </w:r>
      <w:r w:rsidR="00A41FD2">
        <w:t>)</w:t>
      </w:r>
      <w:r w:rsidR="00A41FD2" w:rsidRPr="008F07CF">
        <w:t xml:space="preserve"> procent högre än 20</w:t>
      </w:r>
      <w:r w:rsidR="00A41FD2">
        <w:t>20</w:t>
      </w:r>
      <w:r w:rsidR="00A41FD2" w:rsidRPr="008F07CF">
        <w:t xml:space="preserve">. </w:t>
      </w:r>
      <w:r w:rsidR="00A41FD2">
        <w:t>Enligt b</w:t>
      </w:r>
      <w:r w:rsidR="00A41FD2" w:rsidRPr="008F07CF">
        <w:t xml:space="preserve">udgeten för 2021 </w:t>
      </w:r>
      <w:r w:rsidR="00A41FD2">
        <w:t>skulle pensionskostnaderna öka med 2,7</w:t>
      </w:r>
      <w:r w:rsidR="00A41FD2" w:rsidRPr="008F07CF">
        <w:t xml:space="preserve"> miljoner euro</w:t>
      </w:r>
      <w:r w:rsidR="00A41FD2">
        <w:t>, vilket berodde på att man använde en högre premieprocent för de utförsäkrade pensionerna än vad som verkställdes i verkligheten</w:t>
      </w:r>
      <w:r w:rsidR="00A41FD2" w:rsidRPr="008F07CF">
        <w:t xml:space="preserve">. </w:t>
      </w:r>
    </w:p>
    <w:p w14:paraId="40DC57BC" w14:textId="12E4A4E5" w:rsidR="00D13619" w:rsidRDefault="00A41FD2" w:rsidP="000F32A0">
      <w:pPr>
        <w:pStyle w:val="ANormal"/>
      </w:pPr>
      <w:r>
        <w:tab/>
      </w:r>
      <w:r w:rsidR="000F32A0" w:rsidRPr="008F07CF">
        <w:t xml:space="preserve">Pensionskostnadernas </w:t>
      </w:r>
      <w:r w:rsidR="000F32A0" w:rsidRPr="008F07CF">
        <w:rPr>
          <w:u w:val="single"/>
        </w:rPr>
        <w:t>netto</w:t>
      </w:r>
      <w:r w:rsidR="000F32A0" w:rsidRPr="008F07CF">
        <w:t xml:space="preserve">belopp </w:t>
      </w:r>
      <w:r w:rsidR="005B6DA1" w:rsidRPr="008F07CF">
        <w:t>uppgår till 17,</w:t>
      </w:r>
      <w:r w:rsidR="008F07CF">
        <w:t>1</w:t>
      </w:r>
      <w:r w:rsidR="005B6DA1" w:rsidRPr="008F07CF">
        <w:t xml:space="preserve"> </w:t>
      </w:r>
      <w:r w:rsidR="000F32A0" w:rsidRPr="008F07CF">
        <w:t xml:space="preserve">miljoner </w:t>
      </w:r>
      <w:r w:rsidR="004A03FE" w:rsidRPr="008F07CF">
        <w:t>euro</w:t>
      </w:r>
      <w:r w:rsidR="009632DD" w:rsidRPr="008F07CF">
        <w:t xml:space="preserve">, vilket </w:t>
      </w:r>
      <w:r w:rsidR="008F07CF">
        <w:t xml:space="preserve">i stort sett </w:t>
      </w:r>
      <w:r w:rsidR="009632DD" w:rsidRPr="008F07CF">
        <w:t>är samma nettokostnad som 2019</w:t>
      </w:r>
      <w:r w:rsidR="008F07CF">
        <w:t xml:space="preserve"> och 2020</w:t>
      </w:r>
      <w:r w:rsidR="00535645">
        <w:t>, vilket i sin tur kan förklaras med att nettobeloppets nivå är ett aktivt val från landskapsregeringens sida</w:t>
      </w:r>
      <w:r w:rsidR="009632DD" w:rsidRPr="008F07CF">
        <w:t>.</w:t>
      </w:r>
      <w:r w:rsidR="004A03FE" w:rsidRPr="008F07CF">
        <w:t xml:space="preserve"> </w:t>
      </w:r>
      <w:r w:rsidR="00535645">
        <w:tab/>
      </w:r>
      <w:r w:rsidR="005B6DA1" w:rsidRPr="008F07CF">
        <w:t xml:space="preserve"> </w:t>
      </w:r>
    </w:p>
    <w:p w14:paraId="635E5A84" w14:textId="0147A3AD" w:rsidR="009632DD" w:rsidRPr="00F170DD" w:rsidRDefault="00D13619" w:rsidP="000F32A0">
      <w:pPr>
        <w:pStyle w:val="ANormal"/>
      </w:pPr>
      <w:r>
        <w:tab/>
      </w:r>
      <w:r w:rsidR="00E42523">
        <w:t>Pensionsintäkterna</w:t>
      </w:r>
      <w:r w:rsidR="00F3591F">
        <w:t>,</w:t>
      </w:r>
      <w:r w:rsidR="00E42523">
        <w:t xml:space="preserve"> som utgörs av uttaget från Landskapets pensionsfond</w:t>
      </w:r>
      <w:r w:rsidR="00F3591F">
        <w:t>,</w:t>
      </w:r>
      <w:r w:rsidR="00E42523">
        <w:t xml:space="preserve"> har ökat från 19,1 till 20,3 miljoner euro.</w:t>
      </w:r>
      <w:r w:rsidR="009632DD" w:rsidRPr="008F07CF">
        <w:t xml:space="preserve"> </w:t>
      </w:r>
      <w:r w:rsidR="00E42523">
        <w:t>Ökningen av uttaget görs för att hålla nettokostnaden någorlunda stabil</w:t>
      </w:r>
      <w:r w:rsidR="009632DD" w:rsidRPr="00F170DD">
        <w:t>.</w:t>
      </w:r>
      <w:r w:rsidR="00A41FD2" w:rsidRPr="00F170DD">
        <w:t xml:space="preserve"> </w:t>
      </w:r>
      <w:r w:rsidR="004568BA" w:rsidRPr="00F170DD">
        <w:t xml:space="preserve">Enligt lagen om pensionsfonden kan högst 75 % av den utbetalda pensionskostnaden täckas av överföringar från pensionsfonden, vilket skulle möjliggöra ett maximalt uttag om ca 28 miljoner euro i dagsläget. </w:t>
      </w:r>
    </w:p>
    <w:p w14:paraId="7A4FAB9D" w14:textId="04CE4853" w:rsidR="008F4736" w:rsidRDefault="009632DD" w:rsidP="000F32A0">
      <w:pPr>
        <w:pStyle w:val="ANormal"/>
      </w:pPr>
      <w:r w:rsidRPr="008F07CF">
        <w:t xml:space="preserve"> </w:t>
      </w:r>
    </w:p>
    <w:p w14:paraId="3EE06529" w14:textId="352710C3" w:rsidR="004A03FE" w:rsidRDefault="00A00CA6" w:rsidP="004A03FE">
      <w:pPr>
        <w:pStyle w:val="RubrikC"/>
      </w:pPr>
      <w:bookmarkStart w:id="13" w:name="_Toc115335757"/>
      <w:r w:rsidRPr="00A00CA6">
        <w:t>Personal</w:t>
      </w:r>
      <w:bookmarkEnd w:id="13"/>
    </w:p>
    <w:p w14:paraId="36BAEAC6" w14:textId="77777777" w:rsidR="004A03FE" w:rsidRPr="004A03FE" w:rsidRDefault="004A03FE" w:rsidP="004A03FE">
      <w:pPr>
        <w:pStyle w:val="Rubrikmellanrum"/>
      </w:pPr>
    </w:p>
    <w:p w14:paraId="172EDADC" w14:textId="2BA974C3" w:rsidR="003C4CFC" w:rsidRDefault="006A65AC" w:rsidP="00BC2A42">
      <w:pPr>
        <w:pStyle w:val="ANormal"/>
      </w:pPr>
      <w:r w:rsidRPr="00F25730">
        <w:t>I årsredovisningens relationstal för personalen ingår den allmänna förvaltningen och de underställda myndigheterna, förutom Landskapets fastighetsverk och Ålands hälso- och sjukvård</w:t>
      </w:r>
      <w:r w:rsidR="00EB43DB" w:rsidRPr="00F25730">
        <w:t xml:space="preserve"> (ÅHS)</w:t>
      </w:r>
      <w:r w:rsidR="002C5C9A">
        <w:t xml:space="preserve"> som redovisar personalparamet</w:t>
      </w:r>
      <w:r w:rsidR="002C5C9A">
        <w:lastRenderedPageBreak/>
        <w:t>rar i sina egna årsredovisningar</w:t>
      </w:r>
      <w:r w:rsidRPr="00F25730">
        <w:t xml:space="preserve">. Antalet årsverken inom allmänna förvaltningen uppgick till </w:t>
      </w:r>
      <w:r w:rsidR="00F25730" w:rsidRPr="00F25730">
        <w:t xml:space="preserve">301,7 </w:t>
      </w:r>
      <w:r w:rsidR="00F25730">
        <w:t>(</w:t>
      </w:r>
      <w:r w:rsidRPr="00F25730">
        <w:t>291,4</w:t>
      </w:r>
      <w:r w:rsidR="00F25730">
        <w:t>)</w:t>
      </w:r>
      <w:r w:rsidRPr="00F25730">
        <w:t xml:space="preserve"> och i de underställda myndigheterna till </w:t>
      </w:r>
      <w:r w:rsidR="00F25730" w:rsidRPr="00F25730">
        <w:t xml:space="preserve">503,5 </w:t>
      </w:r>
      <w:r w:rsidR="00F25730">
        <w:t>(</w:t>
      </w:r>
      <w:r w:rsidRPr="00F25730">
        <w:t>484,0</w:t>
      </w:r>
      <w:r w:rsidR="00F25730">
        <w:t>)</w:t>
      </w:r>
      <w:r w:rsidRPr="00F25730">
        <w:t xml:space="preserve">. </w:t>
      </w:r>
      <w:r w:rsidR="00535645">
        <w:t xml:space="preserve">Antalet årsverken ökade totalt med cirka </w:t>
      </w:r>
      <w:proofErr w:type="gramStart"/>
      <w:r w:rsidR="00535645">
        <w:t>30 stycken</w:t>
      </w:r>
      <w:proofErr w:type="gramEnd"/>
      <w:r w:rsidR="00535645">
        <w:t xml:space="preserve">. </w:t>
      </w:r>
      <w:r w:rsidR="00F25730">
        <w:t xml:space="preserve">Det verkar </w:t>
      </w:r>
      <w:r w:rsidR="00535645">
        <w:t>också vara</w:t>
      </w:r>
      <w:r w:rsidR="00F25730">
        <w:t xml:space="preserve"> så att personalen ökar mest i de underställda myndigheterna.</w:t>
      </w:r>
    </w:p>
    <w:p w14:paraId="061A4C5A" w14:textId="4506E2A1" w:rsidR="00B83952" w:rsidRPr="00535645" w:rsidRDefault="00B83952" w:rsidP="00BC2A42">
      <w:pPr>
        <w:pStyle w:val="ANormal"/>
        <w:rPr>
          <w:i/>
          <w:iCs/>
        </w:rPr>
      </w:pPr>
      <w:r>
        <w:tab/>
        <w:t>Personalkostnaderna har ökat med ungefär 4 miljoner euro</w:t>
      </w:r>
      <w:r w:rsidR="002D6491">
        <w:t>, av vilket</w:t>
      </w:r>
      <w:r w:rsidR="00535645">
        <w:t xml:space="preserve"> </w:t>
      </w:r>
      <w:proofErr w:type="gramStart"/>
      <w:r w:rsidR="00535645">
        <w:t xml:space="preserve">cirka </w:t>
      </w:r>
      <w:r w:rsidR="002D6491">
        <w:t xml:space="preserve"> 1</w:t>
      </w:r>
      <w:proofErr w:type="gramEnd"/>
      <w:r w:rsidR="002D6491">
        <w:t>,7 miljoner euro kan läggas på den ökade mängden årsverken och återstoden på lönejusteringar</w:t>
      </w:r>
      <w:r w:rsidR="006E6EB7">
        <w:t>.</w:t>
      </w:r>
      <w:r w:rsidR="00535645" w:rsidRPr="00535645">
        <w:rPr>
          <w:i/>
          <w:iCs/>
        </w:rPr>
        <w:t xml:space="preserve"> </w:t>
      </w:r>
    </w:p>
    <w:p w14:paraId="0A0F1D4D" w14:textId="0B44F3FB" w:rsidR="00EB43DB" w:rsidRPr="006213CE" w:rsidRDefault="00EB43DB" w:rsidP="00EB43DB">
      <w:pPr>
        <w:pStyle w:val="ANormal"/>
        <w:rPr>
          <w:color w:val="FF0000"/>
        </w:rPr>
      </w:pPr>
      <w:r w:rsidRPr="006213CE">
        <w:rPr>
          <w:color w:val="FF0000"/>
        </w:rPr>
        <w:tab/>
      </w:r>
      <w:r w:rsidRPr="00F25730">
        <w:t>Även den hälsorelaterade frånvaron redovisas på ett tydligt sätt</w:t>
      </w:r>
      <w:r w:rsidR="00047AF9" w:rsidRPr="00F25730">
        <w:t xml:space="preserve"> och</w:t>
      </w:r>
      <w:r w:rsidRPr="00F25730">
        <w:t xml:space="preserve"> uppgick år 202</w:t>
      </w:r>
      <w:r w:rsidR="00F25730">
        <w:t>1</w:t>
      </w:r>
      <w:r w:rsidRPr="00F25730">
        <w:t xml:space="preserve"> till</w:t>
      </w:r>
      <w:r w:rsidR="00F25730">
        <w:t xml:space="preserve"> 9</w:t>
      </w:r>
      <w:r w:rsidR="007F7EF6">
        <w:t xml:space="preserve"> </w:t>
      </w:r>
      <w:r w:rsidR="00F25730">
        <w:t>580</w:t>
      </w:r>
      <w:r w:rsidRPr="00F25730">
        <w:t xml:space="preserve"> </w:t>
      </w:r>
      <w:r w:rsidR="00F25730">
        <w:t>(</w:t>
      </w:r>
      <w:r w:rsidRPr="00F25730">
        <w:t xml:space="preserve">10 073) kalenderdagar, vilket </w:t>
      </w:r>
      <w:r w:rsidR="00F25730">
        <w:t xml:space="preserve">är en minskning jämfört med såväl 2019 som 2020. Räknat per </w:t>
      </w:r>
      <w:proofErr w:type="spellStart"/>
      <w:r w:rsidR="00F25730">
        <w:t>årsverk</w:t>
      </w:r>
      <w:proofErr w:type="spellEnd"/>
      <w:r w:rsidR="00F25730">
        <w:t xml:space="preserve"> är frånvaron 11,9</w:t>
      </w:r>
      <w:r w:rsidRPr="00F25730">
        <w:t xml:space="preserve"> </w:t>
      </w:r>
      <w:r w:rsidR="00F25730">
        <w:t>(</w:t>
      </w:r>
      <w:r w:rsidRPr="00F25730">
        <w:t>12,99</w:t>
      </w:r>
      <w:r w:rsidR="00F25730">
        <w:t>)</w:t>
      </w:r>
      <w:r w:rsidRPr="00F25730">
        <w:t xml:space="preserve"> dagar/</w:t>
      </w:r>
      <w:proofErr w:type="spellStart"/>
      <w:r w:rsidRPr="00F25730">
        <w:t>årsverk</w:t>
      </w:r>
      <w:proofErr w:type="spellEnd"/>
      <w:r w:rsidRPr="00F25730">
        <w:t xml:space="preserve">. </w:t>
      </w:r>
    </w:p>
    <w:p w14:paraId="684C303E" w14:textId="37106447" w:rsidR="00EB43DB" w:rsidRDefault="00EB43DB" w:rsidP="00BC2A42">
      <w:pPr>
        <w:pStyle w:val="ANormal"/>
      </w:pPr>
      <w:r w:rsidRPr="00A569BB">
        <w:tab/>
        <w:t xml:space="preserve">ÅHS gör upp ett eget personalbokslut. I </w:t>
      </w:r>
      <w:r w:rsidR="00C6568C" w:rsidRPr="00A569BB">
        <w:t>december</w:t>
      </w:r>
      <w:r w:rsidRPr="00A569BB">
        <w:t xml:space="preserve"> 202</w:t>
      </w:r>
      <w:r w:rsidR="00C6568C" w:rsidRPr="00A569BB">
        <w:t>1</w:t>
      </w:r>
      <w:r w:rsidRPr="00A569BB">
        <w:t xml:space="preserve"> fanns det </w:t>
      </w:r>
      <w:r w:rsidR="00C6568C" w:rsidRPr="00A569BB">
        <w:t>989 (</w:t>
      </w:r>
      <w:r w:rsidRPr="00A569BB">
        <w:t>945</w:t>
      </w:r>
      <w:r w:rsidR="00C6568C" w:rsidRPr="00A569BB">
        <w:t>)</w:t>
      </w:r>
      <w:r w:rsidRPr="00A569BB">
        <w:t xml:space="preserve"> anställda personer, varav </w:t>
      </w:r>
      <w:r w:rsidR="00C6568C" w:rsidRPr="00A569BB">
        <w:t>242 (</w:t>
      </w:r>
      <w:r w:rsidRPr="00A569BB">
        <w:t>200</w:t>
      </w:r>
      <w:r w:rsidR="00C6568C" w:rsidRPr="00A569BB">
        <w:t>)</w:t>
      </w:r>
      <w:r w:rsidR="002B0A4C" w:rsidRPr="00A569BB">
        <w:t xml:space="preserve"> personer</w:t>
      </w:r>
      <w:r w:rsidRPr="00A569BB">
        <w:t xml:space="preserve"> hade tidsbegränsade anställningar. </w:t>
      </w:r>
      <w:r w:rsidR="00C6568C" w:rsidRPr="00A569BB">
        <w:t xml:space="preserve">Totalt beräknar man att antalet årsverken uppgick till 918. </w:t>
      </w:r>
      <w:r w:rsidRPr="00A569BB">
        <w:t xml:space="preserve">Antalet sjukdagar uppgick till </w:t>
      </w:r>
      <w:r w:rsidR="00C6568C" w:rsidRPr="00A569BB">
        <w:t>19</w:t>
      </w:r>
      <w:r w:rsidR="00A569BB" w:rsidRPr="00A569BB">
        <w:t xml:space="preserve"> </w:t>
      </w:r>
      <w:r w:rsidR="00C6568C" w:rsidRPr="00A569BB">
        <w:t>211 (</w:t>
      </w:r>
      <w:r w:rsidRPr="00A569BB">
        <w:t>19</w:t>
      </w:r>
      <w:r w:rsidR="00C6568C" w:rsidRPr="00A569BB">
        <w:t> </w:t>
      </w:r>
      <w:r w:rsidRPr="00A569BB">
        <w:t>544</w:t>
      </w:r>
      <w:r w:rsidR="00C6568C" w:rsidRPr="00A569BB">
        <w:t>)</w:t>
      </w:r>
      <w:r w:rsidRPr="00A569BB">
        <w:t xml:space="preserve">, vilket är </w:t>
      </w:r>
      <w:r w:rsidR="00C6568C" w:rsidRPr="00A569BB">
        <w:t>19,4 (</w:t>
      </w:r>
      <w:r w:rsidRPr="00A569BB">
        <w:t>21</w:t>
      </w:r>
      <w:r w:rsidR="00C6568C" w:rsidRPr="00A569BB">
        <w:t>)</w:t>
      </w:r>
      <w:r w:rsidRPr="00A569BB">
        <w:t xml:space="preserve"> dagar per anställd. </w:t>
      </w:r>
      <w:r w:rsidR="00A569BB" w:rsidRPr="00A569BB">
        <w:t xml:space="preserve">På grund av pandemin har strängare närvaroregler än annars tillämpats, vilket har lett till att </w:t>
      </w:r>
      <w:r w:rsidR="004E493E">
        <w:t xml:space="preserve">antalet </w:t>
      </w:r>
      <w:r w:rsidR="00A569BB" w:rsidRPr="00A569BB">
        <w:t>s</w:t>
      </w:r>
      <w:r w:rsidRPr="00A569BB">
        <w:t xml:space="preserve">jukdagar </w:t>
      </w:r>
      <w:r w:rsidR="00A569BB" w:rsidRPr="00A569BB">
        <w:t xml:space="preserve">för </w:t>
      </w:r>
      <w:proofErr w:type="gramStart"/>
      <w:r w:rsidR="00A569BB" w:rsidRPr="00A569BB">
        <w:t>2020-2021</w:t>
      </w:r>
      <w:proofErr w:type="gramEnd"/>
      <w:r w:rsidR="00A569BB" w:rsidRPr="00A569BB">
        <w:t xml:space="preserve"> </w:t>
      </w:r>
      <w:r w:rsidRPr="00A569BB">
        <w:t>är betydligt högre än 2019</w:t>
      </w:r>
      <w:r w:rsidR="00A569BB" w:rsidRPr="00A569BB">
        <w:t>.</w:t>
      </w:r>
      <w:r w:rsidR="004E493E">
        <w:t xml:space="preserve"> En jämförelse mellan åren är således inte helt relevant.</w:t>
      </w:r>
    </w:p>
    <w:p w14:paraId="0AE3D575" w14:textId="6F509183" w:rsidR="006D548C" w:rsidRDefault="006D548C" w:rsidP="00BC2A42">
      <w:pPr>
        <w:pStyle w:val="ANormal"/>
      </w:pPr>
      <w:r>
        <w:tab/>
      </w:r>
      <w:r w:rsidR="007A37E8">
        <w:t xml:space="preserve">Det </w:t>
      </w:r>
      <w:r w:rsidR="0063082B">
        <w:t>genomsnittlig</w:t>
      </w:r>
      <w:r w:rsidR="007A37E8">
        <w:t>a antalet</w:t>
      </w:r>
      <w:r w:rsidR="0063082B">
        <w:t xml:space="preserve"> månadsanställda </w:t>
      </w:r>
      <w:r w:rsidR="007A37E8">
        <w:t xml:space="preserve">i Fastighetsverket </w:t>
      </w:r>
      <w:r w:rsidR="00313E09">
        <w:t xml:space="preserve">uppgår till </w:t>
      </w:r>
      <w:r w:rsidR="0063082B">
        <w:t xml:space="preserve">52 personer, vilket är 16 fler än </w:t>
      </w:r>
      <w:r w:rsidR="007A37E8">
        <w:t xml:space="preserve">under </w:t>
      </w:r>
      <w:r w:rsidR="0063082B">
        <w:t>Fastighetsverkets första verksamhetsår 2016</w:t>
      </w:r>
      <w:r w:rsidR="00CF569E">
        <w:t>. Av</w:t>
      </w:r>
      <w:r w:rsidR="007A37E8">
        <w:t xml:space="preserve"> </w:t>
      </w:r>
      <w:r w:rsidR="00CF569E">
        <w:t>ökningen utgörs</w:t>
      </w:r>
      <w:r w:rsidR="007A37E8">
        <w:t xml:space="preserve"> 6 årsarbeten</w:t>
      </w:r>
      <w:r w:rsidR="00CF569E">
        <w:t xml:space="preserve"> av personer som </w:t>
      </w:r>
      <w:r w:rsidR="007A37E8">
        <w:t>överfördes från ÅHS år 2018</w:t>
      </w:r>
      <w:r w:rsidR="0063082B">
        <w:t>.</w:t>
      </w:r>
    </w:p>
    <w:p w14:paraId="00EB4AAD" w14:textId="24963180" w:rsidR="007F7EF6" w:rsidRPr="00A569BB" w:rsidRDefault="007F7EF6" w:rsidP="00BC2A42">
      <w:pPr>
        <w:pStyle w:val="ANormal"/>
      </w:pPr>
      <w:r>
        <w:tab/>
        <w:t>Utskottet betonar vikten av att upprätthålla effektiva organisationer och konstaterar att en fortsatt kostnadsökning för personal sätter den offentliga ekonomin under hård press.</w:t>
      </w:r>
    </w:p>
    <w:p w14:paraId="2DEA7AE5" w14:textId="72DC2150" w:rsidR="00C46A55" w:rsidRDefault="00C46A55" w:rsidP="00C46A55">
      <w:pPr>
        <w:pStyle w:val="ANormal"/>
      </w:pPr>
    </w:p>
    <w:p w14:paraId="01F6FCE4" w14:textId="714AF9A7" w:rsidR="00A867C0" w:rsidRDefault="00A867C0" w:rsidP="00A867C0">
      <w:pPr>
        <w:pStyle w:val="RubrikC"/>
        <w:rPr>
          <w:color w:val="000000" w:themeColor="text1"/>
        </w:rPr>
      </w:pPr>
      <w:bookmarkStart w:id="14" w:name="_Toc115335758"/>
      <w:r w:rsidRPr="00A867C0">
        <w:rPr>
          <w:color w:val="000000" w:themeColor="text1"/>
        </w:rPr>
        <w:t>Landskapets tillgångar</w:t>
      </w:r>
      <w:bookmarkEnd w:id="14"/>
    </w:p>
    <w:p w14:paraId="64588203" w14:textId="3280A128" w:rsidR="00A867C0" w:rsidRDefault="00A867C0" w:rsidP="00A867C0">
      <w:pPr>
        <w:pStyle w:val="Rubrikmellanrum"/>
      </w:pPr>
    </w:p>
    <w:p w14:paraId="073274A3" w14:textId="5E160ADC" w:rsidR="00D10359" w:rsidRDefault="001A0448" w:rsidP="00A867C0">
      <w:pPr>
        <w:pStyle w:val="ANormal"/>
      </w:pPr>
      <w:r>
        <w:t xml:space="preserve">Landskapets </w:t>
      </w:r>
      <w:proofErr w:type="spellStart"/>
      <w:r w:rsidR="0000076A">
        <w:t>l</w:t>
      </w:r>
      <w:r w:rsidR="00D10359">
        <w:t>ånefordringar</w:t>
      </w:r>
      <w:proofErr w:type="spellEnd"/>
      <w:r w:rsidR="001D7281">
        <w:t xml:space="preserve"> </w:t>
      </w:r>
      <w:r w:rsidR="00733F66">
        <w:t xml:space="preserve">(not 11) </w:t>
      </w:r>
      <w:r w:rsidR="001D7281">
        <w:t xml:space="preserve">utgör finansiella tillgångar som kommer att återbetalas till landskapet och följaktligen successivt förbättra likviditeten. </w:t>
      </w:r>
      <w:proofErr w:type="spellStart"/>
      <w:r w:rsidR="001D7281">
        <w:t>Lånefo</w:t>
      </w:r>
      <w:r w:rsidR="00733F66">
        <w:t>r</w:t>
      </w:r>
      <w:r w:rsidR="001D7281">
        <w:t>dringarna</w:t>
      </w:r>
      <w:proofErr w:type="spellEnd"/>
      <w:r w:rsidR="001D7281">
        <w:t xml:space="preserve"> uppgår till 45,7 miljoner euro och består av bostadslån (41,2 m€), lån ur PAF-medel (3,9 m€) och övriga lån (0,6 m€). Lagtinget ändrade i december 2021 lagstiftningen om bostadsproduktion </w:t>
      </w:r>
      <w:r w:rsidR="00733F66">
        <w:t>för att möjliggöra snabbare återbetalning av bostadslånen, något som kan innebära att det utestående lånesaldot minskar snabbare än beräknat.</w:t>
      </w:r>
    </w:p>
    <w:p w14:paraId="69946BC1" w14:textId="6C3CB14D" w:rsidR="00C26D0C" w:rsidRDefault="00733F66" w:rsidP="00A867C0">
      <w:pPr>
        <w:pStyle w:val="ANormal"/>
      </w:pPr>
      <w:r>
        <w:tab/>
        <w:t xml:space="preserve">Under posten ”fondkapital” finns 59,7 miljoner euro upptaget (not 15). Av dessa medel ingår </w:t>
      </w:r>
      <w:r w:rsidR="00C26D0C">
        <w:t xml:space="preserve">1,9 miljoner euro i fonder som är avsedda för stipendier och liknande ändamål. Dessa medel är placerade på egna konton och </w:t>
      </w:r>
      <w:r w:rsidR="00CC73A3">
        <w:t xml:space="preserve">kan inte betraktas som en del av </w:t>
      </w:r>
      <w:r w:rsidR="00C26D0C">
        <w:t>landskapets likviditet.</w:t>
      </w:r>
    </w:p>
    <w:p w14:paraId="289C990B" w14:textId="3F3CD7AD" w:rsidR="00B9031E" w:rsidRDefault="00C26D0C" w:rsidP="00A867C0">
      <w:pPr>
        <w:pStyle w:val="ANormal"/>
      </w:pPr>
      <w:r>
        <w:tab/>
        <w:t xml:space="preserve">Återstoden om 57,8 miljoner euro </w:t>
      </w:r>
      <w:r w:rsidR="00637C11">
        <w:t>består av en reservation av</w:t>
      </w:r>
      <w:r>
        <w:t xml:space="preserve"> PAF-</w:t>
      </w:r>
      <w:r w:rsidR="003E4D86">
        <w:t>medel</w:t>
      </w:r>
      <w:r w:rsidR="00CC73A3">
        <w:t xml:space="preserve">. </w:t>
      </w:r>
      <w:r w:rsidR="00EB30C3">
        <w:t xml:space="preserve">Medlen </w:t>
      </w:r>
      <w:r w:rsidR="003E4D86">
        <w:t>består av</w:t>
      </w:r>
      <w:r w:rsidR="00EB30C3">
        <w:t xml:space="preserve"> </w:t>
      </w:r>
      <w:proofErr w:type="spellStart"/>
      <w:r w:rsidR="00EB30C3">
        <w:t>återbokningar</w:t>
      </w:r>
      <w:proofErr w:type="spellEnd"/>
      <w:r w:rsidR="00EB30C3">
        <w:t xml:space="preserve"> av outnyttjade PAF-medel samt amorteringarna</w:t>
      </w:r>
      <w:r w:rsidR="003E4D86">
        <w:t xml:space="preserve"> på</w:t>
      </w:r>
      <w:r w:rsidR="00EB30C3">
        <w:t xml:space="preserve"> återbetalade PAF-lån. </w:t>
      </w:r>
      <w:r w:rsidR="00CC73A3">
        <w:t xml:space="preserve">Dessa medel motsvaras inte av en egen likviditet, utan </w:t>
      </w:r>
      <w:r w:rsidR="00733A19">
        <w:t>medlen</w:t>
      </w:r>
      <w:r w:rsidR="00CC73A3">
        <w:t xml:space="preserve"> ingår </w:t>
      </w:r>
      <w:r w:rsidR="0036724F">
        <w:t>i landskapets allmänna likviditet.</w:t>
      </w:r>
      <w:r w:rsidR="00733F66">
        <w:t xml:space="preserve"> </w:t>
      </w:r>
      <w:r w:rsidR="00637C11">
        <w:t>De reserverade PAF-medlen har på en kort tid ökat i storlek till 57,8 miljoner euro. Eftersom reserveringen inte motsvaras av likvida medel och dessutom till karaktären väsentlig</w:t>
      </w:r>
      <w:r w:rsidR="00CF569E">
        <w:t>en</w:t>
      </w:r>
      <w:r w:rsidR="00637C11">
        <w:t xml:space="preserve"> avviker från de övriga fond</w:t>
      </w:r>
      <w:r w:rsidR="00ED1D0D">
        <w:t>erna</w:t>
      </w:r>
      <w:r w:rsidR="00637C11">
        <w:t xml:space="preserve"> borde reservationen i balansräkningen avskiljas från de övriga fondkontona. </w:t>
      </w:r>
      <w:r w:rsidR="00176D83">
        <w:t>Reservationen i balansräkningen är slutresultatet av ett antal bokföringstransaktioner som är svåra att följa för en oinvigd. Landskapsrevisorn lyfter också frågan i sin revision av årsredovisningen och föreslår att hanteringen av avkastningen från PAF borde utvecklas i en mer rätlinjig riktning för att öka transparensen i systemet.</w:t>
      </w:r>
      <w:r w:rsidR="00CF569E">
        <w:t xml:space="preserve"> </w:t>
      </w:r>
    </w:p>
    <w:p w14:paraId="0BB33CDF" w14:textId="590235E6" w:rsidR="00A867C0" w:rsidRDefault="00B9031E" w:rsidP="00A867C0">
      <w:pPr>
        <w:pStyle w:val="ANormal"/>
      </w:pPr>
      <w:r>
        <w:tab/>
        <w:t>Landskapsrevisionen publicerade i mars 2022 en granskningsrapport över hanteringen av PAF-medel inom landskapsförvaltningen.</w:t>
      </w:r>
      <w:r w:rsidR="00442692">
        <w:t xml:space="preserve"> Rapporten tar upp såväl fördelning av PAF-medel som budgetering och bokföring av PAF-medel. Utskottet kommer att behandla granskningsrapporten i </w:t>
      </w:r>
      <w:r w:rsidR="00981519">
        <w:t>samband med betänkandet över effektivitetsrevisionen</w:t>
      </w:r>
      <w:r w:rsidR="00442692">
        <w:t xml:space="preserve">. </w:t>
      </w:r>
    </w:p>
    <w:p w14:paraId="2D848D4A" w14:textId="6C86FA41" w:rsidR="00E44F5F" w:rsidRDefault="00E44F5F" w:rsidP="00A867C0">
      <w:pPr>
        <w:pStyle w:val="ANormal"/>
      </w:pPr>
      <w:r>
        <w:lastRenderedPageBreak/>
        <w:tab/>
        <w:t xml:space="preserve">En avsevärd finansiell tillgång är Landskapets pensionsfond. Landskapets </w:t>
      </w:r>
      <w:r w:rsidR="008769D9">
        <w:t>uppskattade</w:t>
      </w:r>
      <w:r w:rsidRPr="008F07CF">
        <w:t xml:space="preserve"> pensionsansvar </w:t>
      </w:r>
      <w:r>
        <w:t>per</w:t>
      </w:r>
      <w:r w:rsidRPr="008F07CF">
        <w:t xml:space="preserve"> </w:t>
      </w:r>
      <w:r>
        <w:t>31.12.</w:t>
      </w:r>
      <w:r w:rsidRPr="008F07CF">
        <w:t>202</w:t>
      </w:r>
      <w:r>
        <w:t>1</w:t>
      </w:r>
      <w:r w:rsidRPr="008F07CF">
        <w:t xml:space="preserve"> uppg</w:t>
      </w:r>
      <w:r>
        <w:t>ick</w:t>
      </w:r>
      <w:r w:rsidRPr="008F07CF">
        <w:t xml:space="preserve"> till </w:t>
      </w:r>
      <w:r>
        <w:t>818,2 (</w:t>
      </w:r>
      <w:r w:rsidRPr="008F07CF">
        <w:t>803,6</w:t>
      </w:r>
      <w:r>
        <w:t>)</w:t>
      </w:r>
      <w:r w:rsidRPr="008F07CF">
        <w:t xml:space="preserve"> miljoner euro</w:t>
      </w:r>
      <w:r>
        <w:t xml:space="preserve"> medan v</w:t>
      </w:r>
      <w:r w:rsidRPr="008F07CF">
        <w:t xml:space="preserve">ärdet på pensionsfondens tillgångar räknat till marknadsvärde uppgick till </w:t>
      </w:r>
      <w:r>
        <w:t>554,7 (</w:t>
      </w:r>
      <w:r w:rsidRPr="008F07CF">
        <w:t>498,6</w:t>
      </w:r>
      <w:r>
        <w:t>)</w:t>
      </w:r>
      <w:r w:rsidRPr="008F07CF">
        <w:t xml:space="preserve"> miljoner euro</w:t>
      </w:r>
      <w:r>
        <w:t xml:space="preserve"> </w:t>
      </w:r>
      <w:r w:rsidRPr="008F07CF">
        <w:t>per den 31.12.202</w:t>
      </w:r>
      <w:r>
        <w:t>1</w:t>
      </w:r>
      <w:r w:rsidRPr="008F07CF">
        <w:t xml:space="preserve">, vilket ger en </w:t>
      </w:r>
      <w:r>
        <w:t>fonderings</w:t>
      </w:r>
      <w:r w:rsidRPr="008F07CF">
        <w:t xml:space="preserve">grad om </w:t>
      </w:r>
      <w:r>
        <w:t>68 (</w:t>
      </w:r>
      <w:r w:rsidRPr="008F07CF">
        <w:t>62</w:t>
      </w:r>
      <w:r>
        <w:t>)</w:t>
      </w:r>
      <w:r w:rsidRPr="008F07CF">
        <w:t xml:space="preserve"> procent.</w:t>
      </w:r>
      <w:r>
        <w:t xml:space="preserve"> Fonderingsgraden kan jämföras med tillgångarna i Statens pensionsfond, som används på motsvarande sätt, vilken hade en fonderingsgrad om 25,4 procent vid årsskiftet.</w:t>
      </w:r>
    </w:p>
    <w:p w14:paraId="113B7D76" w14:textId="3248D66F" w:rsidR="00A91C50" w:rsidRDefault="00A91C50" w:rsidP="00A867C0">
      <w:pPr>
        <w:pStyle w:val="ANormal"/>
      </w:pPr>
    </w:p>
    <w:p w14:paraId="238F3C28" w14:textId="77777777" w:rsidR="00A91C50" w:rsidRDefault="00A91C50" w:rsidP="00A91C50">
      <w:pPr>
        <w:pStyle w:val="RubrikC"/>
      </w:pPr>
      <w:bookmarkStart w:id="15" w:name="_Toc115335759"/>
      <w:r>
        <w:t>Ålands fastighets Ab</w:t>
      </w:r>
      <w:bookmarkEnd w:id="15"/>
    </w:p>
    <w:p w14:paraId="490383A0" w14:textId="77777777" w:rsidR="00A91C50" w:rsidRPr="00CE4E30" w:rsidRDefault="00A91C50" w:rsidP="00A91C50">
      <w:pPr>
        <w:pStyle w:val="Rubrikmellanrum"/>
      </w:pPr>
    </w:p>
    <w:p w14:paraId="26DD7AB3" w14:textId="77777777" w:rsidR="00A91C50" w:rsidRDefault="00A91C50" w:rsidP="00A91C50">
      <w:pPr>
        <w:pStyle w:val="ANormal"/>
      </w:pPr>
      <w:r>
        <w:t>Landskapsregeringens näringspolitik bör fokusera på att skapa förhållanden som ger rättvisa och konkurrenskraftiga förutsättningar för det åländska näringslivet.</w:t>
      </w:r>
    </w:p>
    <w:p w14:paraId="19B8FC3F" w14:textId="77777777" w:rsidR="00A91C50" w:rsidRDefault="00A91C50" w:rsidP="00A91C50">
      <w:pPr>
        <w:pStyle w:val="ANormal"/>
      </w:pPr>
      <w:r>
        <w:tab/>
        <w:t>Utskottet noterar att Ålands utvecklings Ab är under avveckling och att innehaven är till försäljning. Mot den bakgrunden förutsätter utskottet att landskapets engagemang i Ålands fastighets Ab utvärderas med beaktande av förhållandet mellan den offentliga sektorn och det privata näringslivet.</w:t>
      </w:r>
    </w:p>
    <w:p w14:paraId="774339F2" w14:textId="77777777" w:rsidR="008769D9" w:rsidRDefault="008769D9" w:rsidP="0069237F">
      <w:pPr>
        <w:pStyle w:val="RubrikC"/>
      </w:pPr>
    </w:p>
    <w:p w14:paraId="46B95B70" w14:textId="6691825E" w:rsidR="001D7F15" w:rsidRDefault="0069237F" w:rsidP="0069237F">
      <w:pPr>
        <w:pStyle w:val="RubrikC"/>
      </w:pPr>
      <w:bookmarkStart w:id="16" w:name="_Toc115335760"/>
      <w:r>
        <w:t>Noterade felaktigheter</w:t>
      </w:r>
      <w:bookmarkEnd w:id="16"/>
    </w:p>
    <w:p w14:paraId="1C182368" w14:textId="65130174" w:rsidR="001D7F15" w:rsidRDefault="001D7F15" w:rsidP="001D7F15">
      <w:pPr>
        <w:pStyle w:val="Rubrikmellanrum"/>
      </w:pPr>
    </w:p>
    <w:p w14:paraId="7344746E" w14:textId="7B027D9C" w:rsidR="00525C29" w:rsidRDefault="001D7F15" w:rsidP="001D7F15">
      <w:pPr>
        <w:pStyle w:val="ANormal"/>
      </w:pPr>
      <w:r>
        <w:t xml:space="preserve">Utskottet har erfarit att det uppstått ett korrekturfel i </w:t>
      </w:r>
      <w:r w:rsidR="007476D2">
        <w:t>den konsoliderade resultaträkningen i den tryckta årsredovisningen</w:t>
      </w:r>
      <w:r w:rsidR="00525C29">
        <w:t xml:space="preserve"> (Bilaga 4</w:t>
      </w:r>
      <w:r w:rsidR="006178FB">
        <w:t>, sida 19</w:t>
      </w:r>
      <w:r w:rsidR="00A465B8">
        <w:t>5</w:t>
      </w:r>
      <w:r w:rsidR="00525C29">
        <w:t>)</w:t>
      </w:r>
      <w:r w:rsidR="007476D2">
        <w:t xml:space="preserve">. </w:t>
      </w:r>
      <w:r w:rsidR="00552D70">
        <w:t xml:space="preserve">De korrekta beloppen framgår </w:t>
      </w:r>
      <w:r w:rsidR="007A1C77">
        <w:t>som gulmarkerade i</w:t>
      </w:r>
      <w:r w:rsidR="00552D70">
        <w:t xml:space="preserve"> </w:t>
      </w:r>
      <w:r w:rsidR="00525C29">
        <w:t>nedanstående tabell</w:t>
      </w:r>
      <w:r w:rsidR="007A1C77">
        <w:t>.</w:t>
      </w:r>
    </w:p>
    <w:p w14:paraId="22157216" w14:textId="3D10C666" w:rsidR="007A1C77" w:rsidRDefault="007A1C77" w:rsidP="007A1C77">
      <w:pPr>
        <w:pStyle w:val="ANormal"/>
      </w:pPr>
      <w:r>
        <w:tab/>
      </w:r>
      <w:r w:rsidR="00097A7E">
        <w:t xml:space="preserve">Även </w:t>
      </w:r>
      <w:r w:rsidR="00AE62A8">
        <w:t xml:space="preserve">i </w:t>
      </w:r>
      <w:r w:rsidR="00097A7E">
        <w:t>den</w:t>
      </w:r>
      <w:r>
        <w:t xml:space="preserve"> konsoliderade balansräkningen (Bilaga 5, sida 198) förekommer ett antal korrekturfel. De korrekta beloppen framgår som gulmarkerade i tabellen nedan.</w:t>
      </w:r>
    </w:p>
    <w:p w14:paraId="64A69E6C" w14:textId="50CAA139" w:rsidR="007D3050" w:rsidRPr="008769D9" w:rsidRDefault="007D3050" w:rsidP="007A1C77">
      <w:pPr>
        <w:pStyle w:val="ANormal"/>
      </w:pPr>
      <w:r>
        <w:tab/>
      </w:r>
      <w:r w:rsidRPr="008769D9">
        <w:t xml:space="preserve">Vidare har utskottet uppmärksammat att landskapets garantiåtaganden till det statliga bolaget </w:t>
      </w:r>
      <w:proofErr w:type="spellStart"/>
      <w:r w:rsidRPr="008769D9">
        <w:t>Finnvera</w:t>
      </w:r>
      <w:proofErr w:type="spellEnd"/>
      <w:r w:rsidRPr="008769D9">
        <w:t xml:space="preserve"> Ab saknas i bokslutets </w:t>
      </w:r>
      <w:r w:rsidR="00581D4A" w:rsidRPr="008769D9">
        <w:t>n</w:t>
      </w:r>
      <w:r w:rsidRPr="008769D9">
        <w:t xml:space="preserve">ot 22 (sida 191). Enligt de uppgifter som utskottet erhållit torde garantiförbindelserna uppgå till cirka 6 miljoner euro. Landskapsregeringen har ett avtal med </w:t>
      </w:r>
      <w:proofErr w:type="spellStart"/>
      <w:r w:rsidRPr="008769D9">
        <w:t>Finnvera</w:t>
      </w:r>
      <w:proofErr w:type="spellEnd"/>
      <w:r w:rsidRPr="008769D9">
        <w:t xml:space="preserve"> Ab gällande vissa typer av företagsfinansiering. Utskottet förutsätter att missförhållandet korrigeras i bokslutet för 2022.</w:t>
      </w:r>
      <w:r w:rsidR="00652495" w:rsidRPr="008769D9">
        <w:t xml:space="preserve"> Därtill finns det ett mindre garantiåtagande om 400 000 euro utställt.</w:t>
      </w:r>
    </w:p>
    <w:p w14:paraId="04A5B7DF" w14:textId="4DFE1891" w:rsidR="009D34F4" w:rsidRPr="008769D9" w:rsidRDefault="009D34F4" w:rsidP="007A1C77">
      <w:pPr>
        <w:pStyle w:val="ANormal"/>
      </w:pPr>
      <w:r w:rsidRPr="008769D9">
        <w:tab/>
        <w:t xml:space="preserve">Utskottet noterar också en oförklarad minskning av det angivna beloppet för garantier för krediter till hyresbostadshus </w:t>
      </w:r>
      <w:r w:rsidR="008769D9" w:rsidRPr="008769D9">
        <w:t xml:space="preserve">som </w:t>
      </w:r>
      <w:r w:rsidRPr="008769D9">
        <w:t>sjunker drastiskt i bokslutet för år 2020, vilket har följt med till år 2021. Även detta bör rättas till i bokslutet för år 2022 (not 22</w:t>
      </w:r>
      <w:r w:rsidR="00581D4A" w:rsidRPr="008769D9">
        <w:t>,</w:t>
      </w:r>
      <w:r w:rsidRPr="008769D9">
        <w:t xml:space="preserve"> sida </w:t>
      </w:r>
      <w:r w:rsidR="00581D4A" w:rsidRPr="008769D9">
        <w:t>191)</w:t>
      </w:r>
      <w:r w:rsidRPr="008769D9">
        <w:t xml:space="preserve">. </w:t>
      </w:r>
    </w:p>
    <w:p w14:paraId="232FE56E" w14:textId="2BC66DF7" w:rsidR="007A1C77" w:rsidRDefault="007A1C77" w:rsidP="001D7F15">
      <w:pPr>
        <w:pStyle w:val="ANormal"/>
      </w:pPr>
    </w:p>
    <w:p w14:paraId="7532894C" w14:textId="77777777" w:rsidR="00E41D07" w:rsidRDefault="00E41D07" w:rsidP="00E41D07">
      <w:pPr>
        <w:pStyle w:val="ANormal"/>
      </w:pPr>
    </w:p>
    <w:p w14:paraId="59D6E5CC" w14:textId="77777777" w:rsidR="00CE4E30" w:rsidRDefault="00CE4E30" w:rsidP="00CE4E30"/>
    <w:p w14:paraId="243AAF28" w14:textId="77777777" w:rsidR="00CE4E30" w:rsidRDefault="00CE4E30" w:rsidP="00CE4E30"/>
    <w:p w14:paraId="708FD58F" w14:textId="6A6DFE70" w:rsidR="007A1C77" w:rsidRDefault="007A1C77" w:rsidP="001D7F15">
      <w:pPr>
        <w:pStyle w:val="ANormal"/>
      </w:pPr>
    </w:p>
    <w:p w14:paraId="18C6F9EA" w14:textId="54339752" w:rsidR="007A1C77" w:rsidRDefault="007A1C77" w:rsidP="001D7F15">
      <w:pPr>
        <w:pStyle w:val="ANormal"/>
      </w:pPr>
      <w:r w:rsidRPr="007A1C77">
        <w:rPr>
          <w:noProof/>
        </w:rPr>
        <w:lastRenderedPageBreak/>
        <w:drawing>
          <wp:inline distT="0" distB="0" distL="0" distR="0" wp14:anchorId="099DB579" wp14:editId="1E22E8D4">
            <wp:extent cx="4248150" cy="83756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B395" w14:textId="70E709C0" w:rsidR="001D7F15" w:rsidRPr="001D7F15" w:rsidRDefault="001D7F15" w:rsidP="001D7F15">
      <w:pPr>
        <w:pStyle w:val="ANormal"/>
      </w:pPr>
    </w:p>
    <w:p w14:paraId="38C5DEBB" w14:textId="151125E2" w:rsidR="00EB757C" w:rsidRPr="00A867C0" w:rsidRDefault="00EB757C" w:rsidP="00A867C0">
      <w:pPr>
        <w:pStyle w:val="ANormal"/>
      </w:pPr>
      <w:r w:rsidRPr="00EB757C">
        <w:rPr>
          <w:noProof/>
        </w:rPr>
        <w:lastRenderedPageBreak/>
        <w:drawing>
          <wp:inline distT="0" distB="0" distL="0" distR="0" wp14:anchorId="5A0A63D5" wp14:editId="41131B75">
            <wp:extent cx="3913505" cy="918019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91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5DD8" w14:textId="77777777" w:rsidR="000F4682" w:rsidRDefault="000F4682" w:rsidP="00C46A55">
      <w:pPr>
        <w:pStyle w:val="ANormal"/>
        <w:rPr>
          <w:color w:val="000000" w:themeColor="text1"/>
        </w:rPr>
      </w:pPr>
    </w:p>
    <w:p w14:paraId="0D5F85CC" w14:textId="77777777" w:rsidR="002401D0" w:rsidRPr="00794DFC" w:rsidRDefault="002401D0">
      <w:pPr>
        <w:pStyle w:val="RubrikA"/>
      </w:pPr>
      <w:bookmarkStart w:id="17" w:name="_Toc529800936"/>
      <w:bookmarkStart w:id="18" w:name="_Toc115335761"/>
      <w:r w:rsidRPr="00794DFC">
        <w:t>Ärendets behandling</w:t>
      </w:r>
      <w:bookmarkEnd w:id="17"/>
      <w:bookmarkEnd w:id="18"/>
    </w:p>
    <w:p w14:paraId="249CAB31" w14:textId="77777777" w:rsidR="002401D0" w:rsidRPr="00794DFC" w:rsidRDefault="002401D0">
      <w:pPr>
        <w:pStyle w:val="Rubrikmellanrum"/>
      </w:pPr>
    </w:p>
    <w:p w14:paraId="2960469A" w14:textId="3037F418" w:rsidR="0028660F" w:rsidRPr="00794DFC" w:rsidRDefault="0028660F" w:rsidP="0028660F">
      <w:pPr>
        <w:pStyle w:val="ANormal"/>
        <w:rPr>
          <w:szCs w:val="22"/>
        </w:rPr>
      </w:pPr>
      <w:r w:rsidRPr="00794DFC">
        <w:rPr>
          <w:szCs w:val="22"/>
        </w:rPr>
        <w:t xml:space="preserve">Lagtinget har den </w:t>
      </w:r>
      <w:r w:rsidR="00442692">
        <w:rPr>
          <w:szCs w:val="22"/>
        </w:rPr>
        <w:t>5</w:t>
      </w:r>
      <w:r w:rsidR="00C0663E">
        <w:rPr>
          <w:szCs w:val="22"/>
        </w:rPr>
        <w:t xml:space="preserve"> september</w:t>
      </w:r>
      <w:r w:rsidR="009D0715" w:rsidRPr="00794DFC">
        <w:rPr>
          <w:szCs w:val="22"/>
        </w:rPr>
        <w:t xml:space="preserve"> 20</w:t>
      </w:r>
      <w:r w:rsidR="00794DFC" w:rsidRPr="00794DFC">
        <w:rPr>
          <w:szCs w:val="22"/>
        </w:rPr>
        <w:t>2</w:t>
      </w:r>
      <w:r w:rsidR="00C0663E">
        <w:rPr>
          <w:szCs w:val="22"/>
        </w:rPr>
        <w:t>2</w:t>
      </w:r>
      <w:r w:rsidRPr="00794DFC">
        <w:rPr>
          <w:szCs w:val="22"/>
        </w:rPr>
        <w:t xml:space="preserve"> </w:t>
      </w:r>
      <w:proofErr w:type="spellStart"/>
      <w:r w:rsidRPr="00794DFC">
        <w:rPr>
          <w:szCs w:val="22"/>
        </w:rPr>
        <w:t>inbegärt</w:t>
      </w:r>
      <w:proofErr w:type="spellEnd"/>
      <w:r w:rsidRPr="00794DFC">
        <w:rPr>
          <w:szCs w:val="22"/>
        </w:rPr>
        <w:t xml:space="preserve"> finans- och näringsutskottets yttrande </w:t>
      </w:r>
      <w:r w:rsidR="00794DFC" w:rsidRPr="00794DFC">
        <w:rPr>
          <w:szCs w:val="22"/>
        </w:rPr>
        <w:t xml:space="preserve">över årsredovisningen </w:t>
      </w:r>
      <w:r w:rsidR="00794DFC" w:rsidRPr="00794DFC">
        <w:t xml:space="preserve">jämte landskapsrevisionens </w:t>
      </w:r>
      <w:r w:rsidR="00442692">
        <w:t>granskning av densamma.</w:t>
      </w:r>
      <w:r w:rsidR="00794DFC" w:rsidRPr="00794DFC">
        <w:t xml:space="preserve"> </w:t>
      </w:r>
    </w:p>
    <w:p w14:paraId="208B53D4" w14:textId="6B2CB02B" w:rsidR="00794DFC" w:rsidRPr="00794DFC" w:rsidRDefault="0028660F" w:rsidP="0028660F">
      <w:pPr>
        <w:pStyle w:val="ANormal"/>
      </w:pPr>
      <w:r w:rsidRPr="00794DFC">
        <w:tab/>
      </w:r>
      <w:r w:rsidRPr="00442692">
        <w:t>Utskottet har i ärendet hört</w:t>
      </w:r>
      <w:r w:rsidR="00C772BB" w:rsidRPr="00442692">
        <w:t xml:space="preserve"> </w:t>
      </w:r>
      <w:r w:rsidR="00794DFC" w:rsidRPr="00442692">
        <w:t xml:space="preserve">finansministern </w:t>
      </w:r>
      <w:r w:rsidR="002B0A4C" w:rsidRPr="00442692">
        <w:t>Roger Höglund</w:t>
      </w:r>
      <w:r w:rsidR="00442692" w:rsidRPr="00442692">
        <w:t>, finanschefen Conny Nyholm och</w:t>
      </w:r>
      <w:r w:rsidR="00794DFC" w:rsidRPr="00442692">
        <w:t xml:space="preserve"> </w:t>
      </w:r>
      <w:r w:rsidR="002B0A4C" w:rsidRPr="00442692">
        <w:t>budgetplaneraren</w:t>
      </w:r>
      <w:r w:rsidR="00C772BB" w:rsidRPr="00442692">
        <w:t xml:space="preserve"> </w:t>
      </w:r>
      <w:r w:rsidR="009F715D" w:rsidRPr="00442692">
        <w:t>Robert Lindblom</w:t>
      </w:r>
      <w:r w:rsidR="00BC52CC" w:rsidRPr="00442692">
        <w:t xml:space="preserve"> </w:t>
      </w:r>
      <w:r w:rsidR="00794DFC" w:rsidRPr="00442692">
        <w:t>från finansavdelningen</w:t>
      </w:r>
      <w:r w:rsidR="00442692" w:rsidRPr="00442692">
        <w:t xml:space="preserve">, </w:t>
      </w:r>
      <w:r w:rsidR="00A91C50">
        <w:t xml:space="preserve">näringsministern Fredrik Karlström, </w:t>
      </w:r>
      <w:r w:rsidR="00442692" w:rsidRPr="00442692">
        <w:t>lan</w:t>
      </w:r>
      <w:r w:rsidR="00472B1E">
        <w:t>d</w:t>
      </w:r>
      <w:r w:rsidR="00442692" w:rsidRPr="00442692">
        <w:t>skapsrevisorn Dan Bergman och revisorn Marika Björkman från Landskapsrevisione</w:t>
      </w:r>
      <w:r w:rsidR="00472B1E">
        <w:t>n.</w:t>
      </w:r>
    </w:p>
    <w:p w14:paraId="137D844B" w14:textId="1296867E" w:rsidR="0028660F" w:rsidRDefault="0028660F" w:rsidP="0028660F">
      <w:pPr>
        <w:pStyle w:val="ANormal"/>
        <w:rPr>
          <w:color w:val="000000" w:themeColor="text1"/>
        </w:rPr>
      </w:pPr>
      <w:r w:rsidRPr="00FD3F3C">
        <w:rPr>
          <w:color w:val="000000" w:themeColor="text1"/>
        </w:rPr>
        <w:tab/>
        <w:t>I ärendets avgörande behandling deltog</w:t>
      </w:r>
      <w:r w:rsidR="002B1EAA" w:rsidRPr="00FD3F3C">
        <w:rPr>
          <w:color w:val="000000" w:themeColor="text1"/>
        </w:rPr>
        <w:t xml:space="preserve"> </w:t>
      </w:r>
      <w:r w:rsidRPr="00FD3F3C">
        <w:rPr>
          <w:color w:val="000000" w:themeColor="text1"/>
        </w:rPr>
        <w:t>ordförande</w:t>
      </w:r>
      <w:r w:rsidR="002B1EAA" w:rsidRPr="00FD3F3C">
        <w:rPr>
          <w:color w:val="000000" w:themeColor="text1"/>
        </w:rPr>
        <w:t>n</w:t>
      </w:r>
      <w:r w:rsidRPr="00FD3F3C">
        <w:rPr>
          <w:color w:val="000000" w:themeColor="text1"/>
        </w:rPr>
        <w:t xml:space="preserve"> </w:t>
      </w:r>
      <w:r w:rsidR="00794DFC" w:rsidRPr="00FD3F3C">
        <w:rPr>
          <w:color w:val="000000" w:themeColor="text1"/>
        </w:rPr>
        <w:t xml:space="preserve">Jörgen Pettersson, viceordföranden </w:t>
      </w:r>
      <w:r w:rsidRPr="00FD3F3C">
        <w:rPr>
          <w:color w:val="000000" w:themeColor="text1"/>
        </w:rPr>
        <w:t>John Holmberg</w:t>
      </w:r>
      <w:r w:rsidR="00794DFC" w:rsidRPr="00FD3F3C">
        <w:rPr>
          <w:color w:val="000000" w:themeColor="text1"/>
        </w:rPr>
        <w:t xml:space="preserve"> samt ledamöterna </w:t>
      </w:r>
      <w:r w:rsidRPr="00FD3F3C">
        <w:rPr>
          <w:color w:val="000000" w:themeColor="text1"/>
        </w:rPr>
        <w:t xml:space="preserve">Lars Häggblom, </w:t>
      </w:r>
      <w:r w:rsidR="009F715D">
        <w:rPr>
          <w:color w:val="000000" w:themeColor="text1"/>
        </w:rPr>
        <w:t>Robert Mansén</w:t>
      </w:r>
      <w:r w:rsidR="00794DFC" w:rsidRPr="00FD3F3C">
        <w:rPr>
          <w:color w:val="000000" w:themeColor="text1"/>
        </w:rPr>
        <w:t xml:space="preserve">, Jörgen Strand och </w:t>
      </w:r>
      <w:r w:rsidR="00DB1184" w:rsidRPr="005E3E28">
        <w:rPr>
          <w:color w:val="000000" w:themeColor="text1"/>
        </w:rPr>
        <w:t>ersättaren</w:t>
      </w:r>
      <w:r w:rsidR="005E3E28">
        <w:rPr>
          <w:color w:val="000000" w:themeColor="text1"/>
        </w:rPr>
        <w:t xml:space="preserve"> Simon Holmström.</w:t>
      </w:r>
    </w:p>
    <w:p w14:paraId="33B25A1A" w14:textId="5C37787A" w:rsidR="009F2E86" w:rsidRDefault="009F2E86" w:rsidP="0028660F">
      <w:pPr>
        <w:pStyle w:val="ANormal"/>
        <w:rPr>
          <w:color w:val="000000" w:themeColor="text1"/>
        </w:rPr>
      </w:pPr>
    </w:p>
    <w:p w14:paraId="5715C2C6" w14:textId="025D6766" w:rsidR="009F2E86" w:rsidRDefault="009F2E86" w:rsidP="009F2E86">
      <w:pPr>
        <w:pStyle w:val="RubrikB"/>
      </w:pPr>
      <w:bookmarkStart w:id="19" w:name="_Toc115335762"/>
      <w:r>
        <w:t>Reservation</w:t>
      </w:r>
      <w:bookmarkEnd w:id="19"/>
    </w:p>
    <w:p w14:paraId="54547624" w14:textId="1ED1D73A" w:rsidR="009F2E86" w:rsidRPr="00FD3F3C" w:rsidRDefault="009F2E86" w:rsidP="0028660F">
      <w:pPr>
        <w:pStyle w:val="ANormal"/>
        <w:rPr>
          <w:color w:val="000000" w:themeColor="text1"/>
        </w:rPr>
      </w:pPr>
      <w:r>
        <w:rPr>
          <w:color w:val="000000" w:themeColor="text1"/>
        </w:rPr>
        <w:t>Viceordföranden John Holmberg har fogat en reservation till ärendet.</w:t>
      </w:r>
    </w:p>
    <w:p w14:paraId="5148F3B5" w14:textId="4BF1AB27" w:rsidR="002401D0" w:rsidRPr="00FD3F3C" w:rsidRDefault="002401D0">
      <w:pPr>
        <w:pStyle w:val="ANormal"/>
        <w:rPr>
          <w:color w:val="000000" w:themeColor="text1"/>
        </w:rPr>
      </w:pPr>
    </w:p>
    <w:p w14:paraId="62F67142" w14:textId="77777777" w:rsidR="002401D0" w:rsidRPr="00794DFC" w:rsidRDefault="002401D0">
      <w:pPr>
        <w:pStyle w:val="RubrikA"/>
      </w:pPr>
      <w:bookmarkStart w:id="20" w:name="_Toc529800937"/>
      <w:bookmarkStart w:id="21" w:name="_Toc115335763"/>
      <w:r w:rsidRPr="00794DFC">
        <w:t>Utskottets förslag</w:t>
      </w:r>
      <w:bookmarkEnd w:id="20"/>
      <w:bookmarkEnd w:id="21"/>
    </w:p>
    <w:p w14:paraId="2363E3D8" w14:textId="77777777" w:rsidR="002401D0" w:rsidRPr="00794DFC" w:rsidRDefault="002401D0">
      <w:pPr>
        <w:pStyle w:val="Rubrikmellanrum"/>
      </w:pPr>
    </w:p>
    <w:p w14:paraId="4A289A67" w14:textId="77777777" w:rsidR="002401D0" w:rsidRPr="00794DFC" w:rsidRDefault="002401D0">
      <w:pPr>
        <w:pStyle w:val="ANormal"/>
      </w:pPr>
      <w:r w:rsidRPr="00794DFC">
        <w:t>Med hänvisning till det anförda föreslår utskottet</w:t>
      </w:r>
    </w:p>
    <w:p w14:paraId="12B83F75" w14:textId="77777777" w:rsidR="002401D0" w:rsidRPr="00794DFC" w:rsidRDefault="002401D0">
      <w:pPr>
        <w:pStyle w:val="ANormal"/>
      </w:pPr>
    </w:p>
    <w:p w14:paraId="41671D68" w14:textId="37F943DB" w:rsidR="007730AE" w:rsidRPr="00794DFC" w:rsidRDefault="002401D0" w:rsidP="0028660F">
      <w:pPr>
        <w:pStyle w:val="Klam"/>
      </w:pPr>
      <w:r w:rsidRPr="00794DFC">
        <w:t>att lagtinget</w:t>
      </w:r>
      <w:r w:rsidR="0028660F" w:rsidRPr="00794DFC">
        <w:rPr>
          <w:szCs w:val="22"/>
        </w:rPr>
        <w:t xml:space="preserve"> </w:t>
      </w:r>
      <w:r w:rsidR="0028660F" w:rsidRPr="00794DFC">
        <w:t>antecknar sig landskapsregeringens redogörelse över årsredovisningen per den 31.12.20</w:t>
      </w:r>
      <w:r w:rsidR="000B1DB9">
        <w:t>2</w:t>
      </w:r>
      <w:r w:rsidR="00615822">
        <w:t>1</w:t>
      </w:r>
      <w:r w:rsidR="0028660F" w:rsidRPr="00794DFC">
        <w:t xml:space="preserve"> jämte landskapsrevisionens berättelse för kännedom samt </w:t>
      </w:r>
    </w:p>
    <w:p w14:paraId="2BDFF793" w14:textId="77777777" w:rsidR="004F27E9" w:rsidRPr="00794DFC" w:rsidRDefault="004F27E9" w:rsidP="004F27E9">
      <w:pPr>
        <w:pStyle w:val="ANormal"/>
      </w:pPr>
    </w:p>
    <w:p w14:paraId="4A297F3E" w14:textId="77777777" w:rsidR="0028660F" w:rsidRPr="00794DFC" w:rsidRDefault="0028660F" w:rsidP="0028660F">
      <w:pPr>
        <w:pStyle w:val="Klam"/>
      </w:pPr>
      <w:r w:rsidRPr="00794DFC">
        <w:t>att utskottets betänkande bringas till landskapsregeringens kännedom.</w:t>
      </w:r>
    </w:p>
    <w:p w14:paraId="5CA9EBDE" w14:textId="77777777" w:rsidR="002401D0" w:rsidRPr="00A2392D" w:rsidRDefault="00B86F66">
      <w:pPr>
        <w:pStyle w:val="ANormal"/>
        <w:jc w:val="center"/>
        <w:rPr>
          <w:color w:val="000000" w:themeColor="text1"/>
        </w:rPr>
      </w:pPr>
      <w:hyperlink w:anchor="_top" w:tooltip="Klicka för att gå till toppen av dokumentet" w:history="1">
        <w:r w:rsidR="002401D0" w:rsidRPr="00A2392D">
          <w:rPr>
            <w:rStyle w:val="Hyperlnk"/>
            <w:color w:val="000000" w:themeColor="text1"/>
          </w:rPr>
          <w:t>__________________</w:t>
        </w:r>
      </w:hyperlink>
    </w:p>
    <w:p w14:paraId="7DCA7A56" w14:textId="77777777" w:rsidR="002401D0" w:rsidRPr="00A2392D" w:rsidRDefault="002401D0">
      <w:pPr>
        <w:pStyle w:val="ANormal"/>
        <w:rPr>
          <w:color w:val="000000" w:themeColor="text1"/>
        </w:rPr>
      </w:pPr>
    </w:p>
    <w:p w14:paraId="5BC43B83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CAD2E87" w14:textId="77777777">
        <w:trPr>
          <w:cantSplit/>
        </w:trPr>
        <w:tc>
          <w:tcPr>
            <w:tcW w:w="7931" w:type="dxa"/>
            <w:gridSpan w:val="2"/>
          </w:tcPr>
          <w:p w14:paraId="122BFD9D" w14:textId="79706E2C" w:rsidR="002401D0" w:rsidRDefault="002401D0" w:rsidP="00FD3F3C">
            <w:pPr>
              <w:pStyle w:val="ANormal"/>
              <w:keepNext/>
            </w:pPr>
            <w:r>
              <w:t>Mariehamn den</w:t>
            </w:r>
            <w:r w:rsidR="00FD3F3C">
              <w:t xml:space="preserve"> </w:t>
            </w:r>
            <w:r w:rsidR="00A91C50">
              <w:t>29</w:t>
            </w:r>
            <w:r w:rsidR="0028660F">
              <w:t xml:space="preserve"> </w:t>
            </w:r>
            <w:r w:rsidR="008B2E9B">
              <w:t>september</w:t>
            </w:r>
            <w:r w:rsidR="0028660F">
              <w:t xml:space="preserve"> 20</w:t>
            </w:r>
            <w:r w:rsidR="004D3D04">
              <w:t>2</w:t>
            </w:r>
            <w:r w:rsidR="00615822">
              <w:t>2</w:t>
            </w:r>
          </w:p>
        </w:tc>
      </w:tr>
      <w:tr w:rsidR="002401D0" w14:paraId="5FC79617" w14:textId="77777777">
        <w:tc>
          <w:tcPr>
            <w:tcW w:w="4454" w:type="dxa"/>
            <w:vAlign w:val="bottom"/>
          </w:tcPr>
          <w:p w14:paraId="5ADEB740" w14:textId="77777777" w:rsidR="002401D0" w:rsidRDefault="002401D0">
            <w:pPr>
              <w:pStyle w:val="ANormal"/>
              <w:keepNext/>
            </w:pPr>
          </w:p>
          <w:p w14:paraId="2D28F3A9" w14:textId="77777777" w:rsidR="008B2E9B" w:rsidRDefault="008B2E9B">
            <w:pPr>
              <w:pStyle w:val="ANormal"/>
              <w:keepNext/>
            </w:pPr>
          </w:p>
          <w:p w14:paraId="171852F8" w14:textId="77777777" w:rsidR="002401D0" w:rsidRDefault="002401D0">
            <w:pPr>
              <w:pStyle w:val="ANormal"/>
              <w:keepNext/>
            </w:pPr>
          </w:p>
          <w:p w14:paraId="1B33ACE4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287C7488" w14:textId="77777777" w:rsidR="002401D0" w:rsidRDefault="002401D0">
            <w:pPr>
              <w:pStyle w:val="ANormal"/>
              <w:keepNext/>
            </w:pPr>
          </w:p>
          <w:p w14:paraId="498F46BE" w14:textId="77777777" w:rsidR="002401D0" w:rsidRDefault="002401D0">
            <w:pPr>
              <w:pStyle w:val="ANormal"/>
              <w:keepNext/>
            </w:pPr>
          </w:p>
          <w:p w14:paraId="1899CFDA" w14:textId="014C020D" w:rsidR="002401D0" w:rsidRDefault="004D3D04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7D528759" w14:textId="77777777">
        <w:tc>
          <w:tcPr>
            <w:tcW w:w="4454" w:type="dxa"/>
            <w:vAlign w:val="bottom"/>
          </w:tcPr>
          <w:p w14:paraId="06D5DD88" w14:textId="677FFF5A" w:rsidR="002401D0" w:rsidRDefault="002401D0">
            <w:pPr>
              <w:pStyle w:val="ANormal"/>
              <w:keepNext/>
            </w:pPr>
          </w:p>
          <w:p w14:paraId="34740167" w14:textId="77777777" w:rsidR="00FD3F3C" w:rsidRDefault="00FD3F3C">
            <w:pPr>
              <w:pStyle w:val="ANormal"/>
              <w:keepNext/>
            </w:pPr>
          </w:p>
          <w:p w14:paraId="55A05078" w14:textId="77777777" w:rsidR="002401D0" w:rsidRDefault="002401D0">
            <w:pPr>
              <w:pStyle w:val="ANormal"/>
              <w:keepNext/>
            </w:pPr>
          </w:p>
          <w:p w14:paraId="023BEFED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507012E4" w14:textId="77777777" w:rsidR="002401D0" w:rsidRDefault="002401D0">
            <w:pPr>
              <w:pStyle w:val="ANormal"/>
              <w:keepNext/>
            </w:pPr>
          </w:p>
          <w:p w14:paraId="76918CB8" w14:textId="77777777" w:rsidR="002401D0" w:rsidRDefault="002401D0">
            <w:pPr>
              <w:pStyle w:val="ANormal"/>
              <w:keepNext/>
            </w:pPr>
          </w:p>
          <w:p w14:paraId="48D06228" w14:textId="377C87A2" w:rsidR="002401D0" w:rsidRDefault="00E2185B">
            <w:pPr>
              <w:pStyle w:val="ANormal"/>
              <w:keepNext/>
            </w:pPr>
            <w:r>
              <w:t>Sten Eriksson</w:t>
            </w:r>
          </w:p>
        </w:tc>
      </w:tr>
    </w:tbl>
    <w:p w14:paraId="621F53F8" w14:textId="7C44FE24"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7B0A" w14:textId="77777777" w:rsidR="00122EA4" w:rsidRDefault="00122EA4">
      <w:r>
        <w:separator/>
      </w:r>
    </w:p>
  </w:endnote>
  <w:endnote w:type="continuationSeparator" w:id="0">
    <w:p w14:paraId="4B9C89BA" w14:textId="77777777" w:rsidR="00122EA4" w:rsidRDefault="0012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2F64" w14:textId="77777777" w:rsidR="00B97AC9" w:rsidRDefault="00B97AC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87BB" w14:textId="3ACE9B6A" w:rsidR="00B97AC9" w:rsidRDefault="00B97AC9">
    <w:pPr>
      <w:pStyle w:val="Sidfot"/>
      <w:rPr>
        <w:lang w:val="fi-FI"/>
      </w:rPr>
    </w:pPr>
    <w:r w:rsidRPr="003B645F">
      <w:fldChar w:fldCharType="begin"/>
    </w:r>
    <w:r w:rsidRPr="003B645F">
      <w:rPr>
        <w:lang w:val="fi-FI"/>
      </w:rPr>
      <w:instrText xml:space="preserve"> FILENAME  \* MERGEFORMAT </w:instrText>
    </w:r>
    <w:r w:rsidRPr="003B645F">
      <w:fldChar w:fldCharType="separate"/>
    </w:r>
    <w:r w:rsidR="00BD32B1">
      <w:rPr>
        <w:noProof/>
        <w:lang w:val="fi-FI"/>
      </w:rPr>
      <w:t>FNU2220212022.docx</w:t>
    </w:r>
    <w:r w:rsidRPr="003B64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7C94" w14:textId="77777777" w:rsidR="00B97AC9" w:rsidRDefault="00B97A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90C4" w14:textId="77777777" w:rsidR="00122EA4" w:rsidRDefault="00122EA4">
      <w:r>
        <w:separator/>
      </w:r>
    </w:p>
  </w:footnote>
  <w:footnote w:type="continuationSeparator" w:id="0">
    <w:p w14:paraId="12A4B519" w14:textId="77777777" w:rsidR="00122EA4" w:rsidRDefault="0012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2BE0" w14:textId="4980734D" w:rsidR="00B97AC9" w:rsidRDefault="00B97AC9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D3F3C">
      <w:rPr>
        <w:rStyle w:val="Sidnummer"/>
        <w:noProof/>
      </w:rPr>
      <w:t>4</w:t>
    </w:r>
    <w:r>
      <w:rPr>
        <w:rStyle w:val="Sidnummer"/>
      </w:rPr>
      <w:fldChar w:fldCharType="end"/>
    </w:r>
  </w:p>
  <w:p w14:paraId="26ACF95B" w14:textId="77777777" w:rsidR="00B97AC9" w:rsidRDefault="00B97A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1BA9" w14:textId="75CC3A3E" w:rsidR="00B97AC9" w:rsidRDefault="00B97AC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D3F3C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39FD"/>
    <w:multiLevelType w:val="hybridMultilevel"/>
    <w:tmpl w:val="87289DE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3112473">
    <w:abstractNumId w:val="6"/>
  </w:num>
  <w:num w:numId="2" w16cid:durableId="633412735">
    <w:abstractNumId w:val="3"/>
  </w:num>
  <w:num w:numId="3" w16cid:durableId="870606378">
    <w:abstractNumId w:val="2"/>
  </w:num>
  <w:num w:numId="4" w16cid:durableId="987243958">
    <w:abstractNumId w:val="1"/>
  </w:num>
  <w:num w:numId="5" w16cid:durableId="1490714233">
    <w:abstractNumId w:val="0"/>
  </w:num>
  <w:num w:numId="6" w16cid:durableId="1484732458">
    <w:abstractNumId w:val="7"/>
  </w:num>
  <w:num w:numId="7" w16cid:durableId="30083697">
    <w:abstractNumId w:val="5"/>
  </w:num>
  <w:num w:numId="8" w16cid:durableId="1639648846">
    <w:abstractNumId w:val="4"/>
  </w:num>
  <w:num w:numId="9" w16cid:durableId="1815641099">
    <w:abstractNumId w:val="11"/>
  </w:num>
  <w:num w:numId="10" w16cid:durableId="2007586321">
    <w:abstractNumId w:val="14"/>
  </w:num>
  <w:num w:numId="11" w16cid:durableId="372997827">
    <w:abstractNumId w:val="13"/>
  </w:num>
  <w:num w:numId="12" w16cid:durableId="281689276">
    <w:abstractNumId w:val="17"/>
  </w:num>
  <w:num w:numId="13" w16cid:durableId="994069191">
    <w:abstractNumId w:val="12"/>
  </w:num>
  <w:num w:numId="14" w16cid:durableId="1365210152">
    <w:abstractNumId w:val="16"/>
  </w:num>
  <w:num w:numId="15" w16cid:durableId="1991857939">
    <w:abstractNumId w:val="10"/>
  </w:num>
  <w:num w:numId="16" w16cid:durableId="948856903">
    <w:abstractNumId w:val="22"/>
  </w:num>
  <w:num w:numId="17" w16cid:durableId="756290074">
    <w:abstractNumId w:val="8"/>
  </w:num>
  <w:num w:numId="18" w16cid:durableId="1517385280">
    <w:abstractNumId w:val="18"/>
  </w:num>
  <w:num w:numId="19" w16cid:durableId="1140004145">
    <w:abstractNumId w:val="21"/>
  </w:num>
  <w:num w:numId="20" w16cid:durableId="1017538532">
    <w:abstractNumId w:val="24"/>
  </w:num>
  <w:num w:numId="21" w16cid:durableId="1381513153">
    <w:abstractNumId w:val="23"/>
  </w:num>
  <w:num w:numId="22" w16cid:durableId="879050078">
    <w:abstractNumId w:val="15"/>
  </w:num>
  <w:num w:numId="23" w16cid:durableId="1942493518">
    <w:abstractNumId w:val="19"/>
  </w:num>
  <w:num w:numId="24" w16cid:durableId="1547058826">
    <w:abstractNumId w:val="19"/>
  </w:num>
  <w:num w:numId="25" w16cid:durableId="305940179">
    <w:abstractNumId w:val="20"/>
  </w:num>
  <w:num w:numId="26" w16cid:durableId="1066614100">
    <w:abstractNumId w:val="15"/>
  </w:num>
  <w:num w:numId="27" w16cid:durableId="1864440656">
    <w:abstractNumId w:val="15"/>
  </w:num>
  <w:num w:numId="28" w16cid:durableId="1370957443">
    <w:abstractNumId w:val="15"/>
  </w:num>
  <w:num w:numId="29" w16cid:durableId="468211086">
    <w:abstractNumId w:val="15"/>
  </w:num>
  <w:num w:numId="30" w16cid:durableId="22289071">
    <w:abstractNumId w:val="15"/>
  </w:num>
  <w:num w:numId="31" w16cid:durableId="1210610807">
    <w:abstractNumId w:val="15"/>
  </w:num>
  <w:num w:numId="32" w16cid:durableId="421144393">
    <w:abstractNumId w:val="15"/>
  </w:num>
  <w:num w:numId="33" w16cid:durableId="1652129120">
    <w:abstractNumId w:val="15"/>
  </w:num>
  <w:num w:numId="34" w16cid:durableId="1466703526">
    <w:abstractNumId w:val="15"/>
  </w:num>
  <w:num w:numId="35" w16cid:durableId="676150749">
    <w:abstractNumId w:val="19"/>
  </w:num>
  <w:num w:numId="36" w16cid:durableId="2074770433">
    <w:abstractNumId w:val="20"/>
  </w:num>
  <w:num w:numId="37" w16cid:durableId="957644032">
    <w:abstractNumId w:val="15"/>
  </w:num>
  <w:num w:numId="38" w16cid:durableId="5325594">
    <w:abstractNumId w:val="15"/>
  </w:num>
  <w:num w:numId="39" w16cid:durableId="367030453">
    <w:abstractNumId w:val="15"/>
  </w:num>
  <w:num w:numId="40" w16cid:durableId="2073847725">
    <w:abstractNumId w:val="15"/>
  </w:num>
  <w:num w:numId="41" w16cid:durableId="1447575894">
    <w:abstractNumId w:val="15"/>
  </w:num>
  <w:num w:numId="42" w16cid:durableId="1066607222">
    <w:abstractNumId w:val="15"/>
  </w:num>
  <w:num w:numId="43" w16cid:durableId="1790003597">
    <w:abstractNumId w:val="15"/>
  </w:num>
  <w:num w:numId="44" w16cid:durableId="1101989640">
    <w:abstractNumId w:val="15"/>
  </w:num>
  <w:num w:numId="45" w16cid:durableId="1076824956">
    <w:abstractNumId w:val="15"/>
  </w:num>
  <w:num w:numId="46" w16cid:durableId="77869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85"/>
    <w:rsid w:val="000001AB"/>
    <w:rsid w:val="0000076A"/>
    <w:rsid w:val="0000155F"/>
    <w:rsid w:val="00003789"/>
    <w:rsid w:val="00015AEF"/>
    <w:rsid w:val="00015E9C"/>
    <w:rsid w:val="000230D5"/>
    <w:rsid w:val="00023409"/>
    <w:rsid w:val="0002582A"/>
    <w:rsid w:val="00047AF9"/>
    <w:rsid w:val="0005073A"/>
    <w:rsid w:val="00051556"/>
    <w:rsid w:val="000519F0"/>
    <w:rsid w:val="000677AA"/>
    <w:rsid w:val="0007018A"/>
    <w:rsid w:val="00074652"/>
    <w:rsid w:val="00077752"/>
    <w:rsid w:val="00080809"/>
    <w:rsid w:val="00084AE1"/>
    <w:rsid w:val="00097A7E"/>
    <w:rsid w:val="000A17FF"/>
    <w:rsid w:val="000A3626"/>
    <w:rsid w:val="000A3B5C"/>
    <w:rsid w:val="000A6DAB"/>
    <w:rsid w:val="000B1DB9"/>
    <w:rsid w:val="000B2DC9"/>
    <w:rsid w:val="000B53AE"/>
    <w:rsid w:val="000B734B"/>
    <w:rsid w:val="000C1885"/>
    <w:rsid w:val="000C5E78"/>
    <w:rsid w:val="000E74D9"/>
    <w:rsid w:val="000F32A0"/>
    <w:rsid w:val="000F4682"/>
    <w:rsid w:val="000F7417"/>
    <w:rsid w:val="00103629"/>
    <w:rsid w:val="00104E9F"/>
    <w:rsid w:val="00105474"/>
    <w:rsid w:val="00107DB4"/>
    <w:rsid w:val="00110090"/>
    <w:rsid w:val="0012136A"/>
    <w:rsid w:val="00122EA4"/>
    <w:rsid w:val="001344E8"/>
    <w:rsid w:val="00140161"/>
    <w:rsid w:val="00140BAE"/>
    <w:rsid w:val="00147A66"/>
    <w:rsid w:val="00151B71"/>
    <w:rsid w:val="0015337C"/>
    <w:rsid w:val="00157C9A"/>
    <w:rsid w:val="00161E67"/>
    <w:rsid w:val="001620C4"/>
    <w:rsid w:val="00164BD9"/>
    <w:rsid w:val="00167CB6"/>
    <w:rsid w:val="001709AE"/>
    <w:rsid w:val="00176D83"/>
    <w:rsid w:val="0019240D"/>
    <w:rsid w:val="00195A8B"/>
    <w:rsid w:val="00195FF1"/>
    <w:rsid w:val="00197DF5"/>
    <w:rsid w:val="001A0448"/>
    <w:rsid w:val="001B131E"/>
    <w:rsid w:val="001D24DD"/>
    <w:rsid w:val="001D2A05"/>
    <w:rsid w:val="001D3D91"/>
    <w:rsid w:val="001D683B"/>
    <w:rsid w:val="001D7281"/>
    <w:rsid w:val="001D7F15"/>
    <w:rsid w:val="001E0424"/>
    <w:rsid w:val="00203BD9"/>
    <w:rsid w:val="00214AEC"/>
    <w:rsid w:val="002151FD"/>
    <w:rsid w:val="00215926"/>
    <w:rsid w:val="00224726"/>
    <w:rsid w:val="002358E0"/>
    <w:rsid w:val="002401D0"/>
    <w:rsid w:val="002460A5"/>
    <w:rsid w:val="00250D54"/>
    <w:rsid w:val="002555BF"/>
    <w:rsid w:val="00256B7F"/>
    <w:rsid w:val="00261E9E"/>
    <w:rsid w:val="00274393"/>
    <w:rsid w:val="00276D4F"/>
    <w:rsid w:val="00280319"/>
    <w:rsid w:val="00282388"/>
    <w:rsid w:val="002827E4"/>
    <w:rsid w:val="00285510"/>
    <w:rsid w:val="0028660F"/>
    <w:rsid w:val="00287AE0"/>
    <w:rsid w:val="002A2CF6"/>
    <w:rsid w:val="002B0A4C"/>
    <w:rsid w:val="002B0EE8"/>
    <w:rsid w:val="002B1B9A"/>
    <w:rsid w:val="002B1EAA"/>
    <w:rsid w:val="002C1AC9"/>
    <w:rsid w:val="002C5C9A"/>
    <w:rsid w:val="002D6491"/>
    <w:rsid w:val="002F654E"/>
    <w:rsid w:val="00306A3F"/>
    <w:rsid w:val="0031113B"/>
    <w:rsid w:val="00311ED4"/>
    <w:rsid w:val="00313E09"/>
    <w:rsid w:val="003145DC"/>
    <w:rsid w:val="003633BA"/>
    <w:rsid w:val="0036359C"/>
    <w:rsid w:val="00366A7E"/>
    <w:rsid w:val="0036724F"/>
    <w:rsid w:val="00372727"/>
    <w:rsid w:val="00380074"/>
    <w:rsid w:val="00384C67"/>
    <w:rsid w:val="00390A57"/>
    <w:rsid w:val="00396C85"/>
    <w:rsid w:val="00397857"/>
    <w:rsid w:val="003A410F"/>
    <w:rsid w:val="003B645F"/>
    <w:rsid w:val="003B7559"/>
    <w:rsid w:val="003C4CFC"/>
    <w:rsid w:val="003C7A70"/>
    <w:rsid w:val="003D1556"/>
    <w:rsid w:val="003D2CBF"/>
    <w:rsid w:val="003D4464"/>
    <w:rsid w:val="003D6F3C"/>
    <w:rsid w:val="003E1373"/>
    <w:rsid w:val="003E4D86"/>
    <w:rsid w:val="003F0471"/>
    <w:rsid w:val="003F3A5C"/>
    <w:rsid w:val="003F4905"/>
    <w:rsid w:val="00412AD2"/>
    <w:rsid w:val="00414E83"/>
    <w:rsid w:val="00420216"/>
    <w:rsid w:val="004226F9"/>
    <w:rsid w:val="00431AF5"/>
    <w:rsid w:val="00431F72"/>
    <w:rsid w:val="00441C2B"/>
    <w:rsid w:val="00442692"/>
    <w:rsid w:val="004568BA"/>
    <w:rsid w:val="004652E7"/>
    <w:rsid w:val="00472B1E"/>
    <w:rsid w:val="004942D5"/>
    <w:rsid w:val="004A03FE"/>
    <w:rsid w:val="004A0E23"/>
    <w:rsid w:val="004A43C6"/>
    <w:rsid w:val="004D3D04"/>
    <w:rsid w:val="004E493E"/>
    <w:rsid w:val="004F1700"/>
    <w:rsid w:val="004F27E9"/>
    <w:rsid w:val="00506820"/>
    <w:rsid w:val="00506CE3"/>
    <w:rsid w:val="005173FD"/>
    <w:rsid w:val="0052146E"/>
    <w:rsid w:val="00525C29"/>
    <w:rsid w:val="0053343B"/>
    <w:rsid w:val="00535645"/>
    <w:rsid w:val="0053660C"/>
    <w:rsid w:val="00544483"/>
    <w:rsid w:val="00551A73"/>
    <w:rsid w:val="00552063"/>
    <w:rsid w:val="00552D70"/>
    <w:rsid w:val="0055767C"/>
    <w:rsid w:val="005632DA"/>
    <w:rsid w:val="00576A16"/>
    <w:rsid w:val="00577410"/>
    <w:rsid w:val="00577FBB"/>
    <w:rsid w:val="00581D4A"/>
    <w:rsid w:val="00586D81"/>
    <w:rsid w:val="005B184E"/>
    <w:rsid w:val="005B1A95"/>
    <w:rsid w:val="005B6DA1"/>
    <w:rsid w:val="005C7DA8"/>
    <w:rsid w:val="005D48B7"/>
    <w:rsid w:val="005D78B1"/>
    <w:rsid w:val="005E3E28"/>
    <w:rsid w:val="005F10D9"/>
    <w:rsid w:val="006031E1"/>
    <w:rsid w:val="006113A6"/>
    <w:rsid w:val="00615822"/>
    <w:rsid w:val="006178FB"/>
    <w:rsid w:val="006213CE"/>
    <w:rsid w:val="006219B7"/>
    <w:rsid w:val="0063064B"/>
    <w:rsid w:val="0063082B"/>
    <w:rsid w:val="00637C11"/>
    <w:rsid w:val="00640E2A"/>
    <w:rsid w:val="006440AE"/>
    <w:rsid w:val="0065138E"/>
    <w:rsid w:val="00652495"/>
    <w:rsid w:val="0066595E"/>
    <w:rsid w:val="00666876"/>
    <w:rsid w:val="00677227"/>
    <w:rsid w:val="0069237F"/>
    <w:rsid w:val="006A65AC"/>
    <w:rsid w:val="006A70A6"/>
    <w:rsid w:val="006B2E9E"/>
    <w:rsid w:val="006D548C"/>
    <w:rsid w:val="006E6EB7"/>
    <w:rsid w:val="006F5146"/>
    <w:rsid w:val="00702060"/>
    <w:rsid w:val="007115B4"/>
    <w:rsid w:val="00723B93"/>
    <w:rsid w:val="00731B30"/>
    <w:rsid w:val="00733A19"/>
    <w:rsid w:val="00733F66"/>
    <w:rsid w:val="007476D2"/>
    <w:rsid w:val="00752D7B"/>
    <w:rsid w:val="00770E5E"/>
    <w:rsid w:val="007730AE"/>
    <w:rsid w:val="00773766"/>
    <w:rsid w:val="00773C68"/>
    <w:rsid w:val="007857F4"/>
    <w:rsid w:val="00794DFC"/>
    <w:rsid w:val="007A1C77"/>
    <w:rsid w:val="007A37E8"/>
    <w:rsid w:val="007B41A0"/>
    <w:rsid w:val="007B4B30"/>
    <w:rsid w:val="007C1486"/>
    <w:rsid w:val="007C198F"/>
    <w:rsid w:val="007D3050"/>
    <w:rsid w:val="007D7E4E"/>
    <w:rsid w:val="007F7EF6"/>
    <w:rsid w:val="008040FD"/>
    <w:rsid w:val="0080623B"/>
    <w:rsid w:val="00810074"/>
    <w:rsid w:val="00811D50"/>
    <w:rsid w:val="008141E5"/>
    <w:rsid w:val="00817B04"/>
    <w:rsid w:val="00830A55"/>
    <w:rsid w:val="00831E23"/>
    <w:rsid w:val="00835020"/>
    <w:rsid w:val="00837646"/>
    <w:rsid w:val="008522F4"/>
    <w:rsid w:val="00857757"/>
    <w:rsid w:val="008660B8"/>
    <w:rsid w:val="0086750F"/>
    <w:rsid w:val="00876059"/>
    <w:rsid w:val="008769D9"/>
    <w:rsid w:val="008907E3"/>
    <w:rsid w:val="008A12D8"/>
    <w:rsid w:val="008A4892"/>
    <w:rsid w:val="008B2644"/>
    <w:rsid w:val="008B267F"/>
    <w:rsid w:val="008B2E9B"/>
    <w:rsid w:val="008B3E10"/>
    <w:rsid w:val="008B5CC6"/>
    <w:rsid w:val="008C010E"/>
    <w:rsid w:val="008C4867"/>
    <w:rsid w:val="008D070E"/>
    <w:rsid w:val="008E6281"/>
    <w:rsid w:val="008F07CF"/>
    <w:rsid w:val="008F11A4"/>
    <w:rsid w:val="008F4736"/>
    <w:rsid w:val="00901C71"/>
    <w:rsid w:val="00903ED3"/>
    <w:rsid w:val="009204CC"/>
    <w:rsid w:val="00923E3D"/>
    <w:rsid w:val="00925232"/>
    <w:rsid w:val="00926D1C"/>
    <w:rsid w:val="00930631"/>
    <w:rsid w:val="0093302F"/>
    <w:rsid w:val="009335E1"/>
    <w:rsid w:val="00935080"/>
    <w:rsid w:val="00937102"/>
    <w:rsid w:val="00957C36"/>
    <w:rsid w:val="00962EEE"/>
    <w:rsid w:val="009632DD"/>
    <w:rsid w:val="00963E35"/>
    <w:rsid w:val="00981519"/>
    <w:rsid w:val="00982306"/>
    <w:rsid w:val="00984B19"/>
    <w:rsid w:val="00994C1E"/>
    <w:rsid w:val="009A3632"/>
    <w:rsid w:val="009B2ED2"/>
    <w:rsid w:val="009B418F"/>
    <w:rsid w:val="009C0360"/>
    <w:rsid w:val="009C3ECD"/>
    <w:rsid w:val="009C69B2"/>
    <w:rsid w:val="009D0715"/>
    <w:rsid w:val="009D34F4"/>
    <w:rsid w:val="009D73B2"/>
    <w:rsid w:val="009D7F15"/>
    <w:rsid w:val="009E038E"/>
    <w:rsid w:val="009E7FCC"/>
    <w:rsid w:val="009F06C0"/>
    <w:rsid w:val="009F0ADE"/>
    <w:rsid w:val="009F2816"/>
    <w:rsid w:val="009F2E86"/>
    <w:rsid w:val="009F715D"/>
    <w:rsid w:val="009F7CE2"/>
    <w:rsid w:val="00A00441"/>
    <w:rsid w:val="00A00CA6"/>
    <w:rsid w:val="00A177E8"/>
    <w:rsid w:val="00A234A9"/>
    <w:rsid w:val="00A2392D"/>
    <w:rsid w:val="00A41FD2"/>
    <w:rsid w:val="00A465B8"/>
    <w:rsid w:val="00A569BB"/>
    <w:rsid w:val="00A629BF"/>
    <w:rsid w:val="00A6670A"/>
    <w:rsid w:val="00A7667D"/>
    <w:rsid w:val="00A80B1D"/>
    <w:rsid w:val="00A81289"/>
    <w:rsid w:val="00A855FB"/>
    <w:rsid w:val="00A85FEE"/>
    <w:rsid w:val="00A867C0"/>
    <w:rsid w:val="00A91C50"/>
    <w:rsid w:val="00A959EE"/>
    <w:rsid w:val="00AA1C2B"/>
    <w:rsid w:val="00AA37D1"/>
    <w:rsid w:val="00AA38B4"/>
    <w:rsid w:val="00AA579A"/>
    <w:rsid w:val="00AA58A0"/>
    <w:rsid w:val="00AA789B"/>
    <w:rsid w:val="00AB6B1C"/>
    <w:rsid w:val="00AC2DD5"/>
    <w:rsid w:val="00AE1714"/>
    <w:rsid w:val="00AE62A8"/>
    <w:rsid w:val="00AF4A8E"/>
    <w:rsid w:val="00AF6B8C"/>
    <w:rsid w:val="00B01CE8"/>
    <w:rsid w:val="00B03D6C"/>
    <w:rsid w:val="00B2631C"/>
    <w:rsid w:val="00B266EA"/>
    <w:rsid w:val="00B30F84"/>
    <w:rsid w:val="00B32E91"/>
    <w:rsid w:val="00B36A8F"/>
    <w:rsid w:val="00B45252"/>
    <w:rsid w:val="00B569FE"/>
    <w:rsid w:val="00B71A96"/>
    <w:rsid w:val="00B74B1D"/>
    <w:rsid w:val="00B765AF"/>
    <w:rsid w:val="00B83952"/>
    <w:rsid w:val="00B85135"/>
    <w:rsid w:val="00B86F66"/>
    <w:rsid w:val="00B9031E"/>
    <w:rsid w:val="00B90DEC"/>
    <w:rsid w:val="00B94710"/>
    <w:rsid w:val="00B9497B"/>
    <w:rsid w:val="00B96D48"/>
    <w:rsid w:val="00B97AC9"/>
    <w:rsid w:val="00BB290D"/>
    <w:rsid w:val="00BC2A42"/>
    <w:rsid w:val="00BC2BEF"/>
    <w:rsid w:val="00BC52CC"/>
    <w:rsid w:val="00BD32B1"/>
    <w:rsid w:val="00BE1563"/>
    <w:rsid w:val="00BE55DA"/>
    <w:rsid w:val="00BE72BC"/>
    <w:rsid w:val="00C0237C"/>
    <w:rsid w:val="00C0663E"/>
    <w:rsid w:val="00C1722F"/>
    <w:rsid w:val="00C20998"/>
    <w:rsid w:val="00C20B82"/>
    <w:rsid w:val="00C25CBC"/>
    <w:rsid w:val="00C26D0C"/>
    <w:rsid w:val="00C324A1"/>
    <w:rsid w:val="00C352B6"/>
    <w:rsid w:val="00C44361"/>
    <w:rsid w:val="00C46A55"/>
    <w:rsid w:val="00C56047"/>
    <w:rsid w:val="00C6183B"/>
    <w:rsid w:val="00C6568C"/>
    <w:rsid w:val="00C6611C"/>
    <w:rsid w:val="00C772BB"/>
    <w:rsid w:val="00C81F01"/>
    <w:rsid w:val="00C841CA"/>
    <w:rsid w:val="00C901DA"/>
    <w:rsid w:val="00CA0384"/>
    <w:rsid w:val="00CB087E"/>
    <w:rsid w:val="00CC5482"/>
    <w:rsid w:val="00CC73A3"/>
    <w:rsid w:val="00CD704E"/>
    <w:rsid w:val="00CE4E30"/>
    <w:rsid w:val="00CE5256"/>
    <w:rsid w:val="00CF4FA7"/>
    <w:rsid w:val="00CF569E"/>
    <w:rsid w:val="00CF700E"/>
    <w:rsid w:val="00D10359"/>
    <w:rsid w:val="00D11A6D"/>
    <w:rsid w:val="00D13619"/>
    <w:rsid w:val="00D16403"/>
    <w:rsid w:val="00D255C3"/>
    <w:rsid w:val="00D26588"/>
    <w:rsid w:val="00D41D6E"/>
    <w:rsid w:val="00D55443"/>
    <w:rsid w:val="00D558FA"/>
    <w:rsid w:val="00D93512"/>
    <w:rsid w:val="00D97E84"/>
    <w:rsid w:val="00DA4B23"/>
    <w:rsid w:val="00DB1184"/>
    <w:rsid w:val="00DC153D"/>
    <w:rsid w:val="00DC2DD2"/>
    <w:rsid w:val="00DC45B2"/>
    <w:rsid w:val="00DC7A0C"/>
    <w:rsid w:val="00DD200A"/>
    <w:rsid w:val="00DE0F61"/>
    <w:rsid w:val="00DF74C6"/>
    <w:rsid w:val="00E0709F"/>
    <w:rsid w:val="00E2185B"/>
    <w:rsid w:val="00E34A24"/>
    <w:rsid w:val="00E41D07"/>
    <w:rsid w:val="00E42523"/>
    <w:rsid w:val="00E44F5F"/>
    <w:rsid w:val="00E45CFC"/>
    <w:rsid w:val="00E56129"/>
    <w:rsid w:val="00E7038D"/>
    <w:rsid w:val="00E751B4"/>
    <w:rsid w:val="00E802AE"/>
    <w:rsid w:val="00E86072"/>
    <w:rsid w:val="00E95EF2"/>
    <w:rsid w:val="00EA6800"/>
    <w:rsid w:val="00EB30C3"/>
    <w:rsid w:val="00EB43DB"/>
    <w:rsid w:val="00EB757C"/>
    <w:rsid w:val="00EC018C"/>
    <w:rsid w:val="00EC53AA"/>
    <w:rsid w:val="00EC68F1"/>
    <w:rsid w:val="00ED1D0D"/>
    <w:rsid w:val="00EE4B0E"/>
    <w:rsid w:val="00EF2CB7"/>
    <w:rsid w:val="00EF2D73"/>
    <w:rsid w:val="00F170DD"/>
    <w:rsid w:val="00F21901"/>
    <w:rsid w:val="00F23C7C"/>
    <w:rsid w:val="00F25730"/>
    <w:rsid w:val="00F318FD"/>
    <w:rsid w:val="00F329AB"/>
    <w:rsid w:val="00F3591F"/>
    <w:rsid w:val="00F651A5"/>
    <w:rsid w:val="00F77544"/>
    <w:rsid w:val="00F82CEB"/>
    <w:rsid w:val="00F8578B"/>
    <w:rsid w:val="00F90A79"/>
    <w:rsid w:val="00F96115"/>
    <w:rsid w:val="00FA0917"/>
    <w:rsid w:val="00FB6B85"/>
    <w:rsid w:val="00FC493E"/>
    <w:rsid w:val="00FD1F54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A082"/>
  <w15:docId w15:val="{CA6F5244-1C2F-458F-AD6D-CB4D802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28660F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B266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66EA"/>
    <w:rPr>
      <w:rFonts w:ascii="Tahoma" w:hAnsi="Tahoma" w:cs="Tahoma"/>
      <w:sz w:val="16"/>
      <w:szCs w:val="16"/>
      <w:lang w:val="sv-SE" w:eastAsia="sv-SE"/>
    </w:rPr>
  </w:style>
  <w:style w:type="paragraph" w:customStyle="1" w:styleId="anormal0">
    <w:name w:val="anormal"/>
    <w:basedOn w:val="Normal"/>
    <w:rsid w:val="00AA1C2B"/>
    <w:pPr>
      <w:spacing w:before="100" w:beforeAutospacing="1" w:after="100" w:afterAutospacing="1"/>
    </w:pPr>
    <w:rPr>
      <w:lang w:val="sv-FI" w:eastAsia="sv-FI"/>
    </w:rPr>
  </w:style>
  <w:style w:type="paragraph" w:customStyle="1" w:styleId="lagparagraf0">
    <w:name w:val="lagparagraf"/>
    <w:basedOn w:val="Normal"/>
    <w:rsid w:val="00AA1C2B"/>
    <w:pPr>
      <w:spacing w:before="100" w:beforeAutospacing="1" w:after="100" w:afterAutospacing="1"/>
    </w:pPr>
    <w:rPr>
      <w:lang w:val="sv-FI" w:eastAsia="sv-FI"/>
    </w:rPr>
  </w:style>
  <w:style w:type="paragraph" w:customStyle="1" w:styleId="lagpararubrik0">
    <w:name w:val="lagpararubrik"/>
    <w:basedOn w:val="Normal"/>
    <w:rsid w:val="00AA1C2B"/>
    <w:pPr>
      <w:spacing w:before="100" w:beforeAutospacing="1" w:after="100" w:afterAutospacing="1"/>
    </w:pPr>
    <w:rPr>
      <w:lang w:val="sv-FI" w:eastAsia="sv-FI"/>
    </w:rPr>
  </w:style>
  <w:style w:type="paragraph" w:styleId="Liststycke">
    <w:name w:val="List Paragraph"/>
    <w:basedOn w:val="Normal"/>
    <w:uiPriority w:val="34"/>
    <w:qFormat/>
    <w:rsid w:val="0031113B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C0237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0237C"/>
    <w:rPr>
      <w:lang w:val="sv-SE" w:eastAsia="sv-SE"/>
    </w:rPr>
  </w:style>
  <w:style w:type="character" w:styleId="Fotnotsreferens">
    <w:name w:val="footnote reference"/>
    <w:basedOn w:val="Standardstycketeckensnitt"/>
    <w:semiHidden/>
    <w:unhideWhenUsed/>
    <w:rsid w:val="00C0237C"/>
    <w:rPr>
      <w:vertAlign w:val="superscript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A17FF"/>
    <w:rPr>
      <w:rFonts w:ascii="Calibri" w:eastAsiaTheme="minorHAnsi" w:hAnsi="Calibri" w:cstheme="minorBidi"/>
      <w:sz w:val="22"/>
      <w:szCs w:val="21"/>
      <w:lang w:val="sv-FI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A17FF"/>
    <w:rPr>
      <w:rFonts w:ascii="Calibri" w:eastAsiaTheme="minorHAnsi" w:hAnsi="Calibri" w:cstheme="minorBidi"/>
      <w:sz w:val="22"/>
      <w:szCs w:val="21"/>
      <w:lang w:eastAsia="en-US"/>
    </w:rPr>
  </w:style>
  <w:style w:type="paragraph" w:styleId="Rubrik">
    <w:name w:val="Title"/>
    <w:basedOn w:val="Normal"/>
    <w:next w:val="Normal"/>
    <w:link w:val="RubrikChar"/>
    <w:qFormat/>
    <w:rsid w:val="00B86F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86F66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gtinget.ax/dokument/redogorelse-32019-2020-475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2089</Words>
  <Characters>14886</Characters>
  <Application>Microsoft Office Word</Application>
  <DocSecurity>0</DocSecurity>
  <Lines>124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25/2018-2019</vt:lpstr>
    </vt:vector>
  </TitlesOfParts>
  <Company>Ålands lagting</Company>
  <LinksUpToDate>false</LinksUpToDate>
  <CharactersWithSpaces>16942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22/2021-2022</dc:title>
  <dc:creator>Jessica Laaksonen</dc:creator>
  <cp:lastModifiedBy>Jessica Laaksonen</cp:lastModifiedBy>
  <cp:revision>2</cp:revision>
  <cp:lastPrinted>2022-09-29T07:07:00Z</cp:lastPrinted>
  <dcterms:created xsi:type="dcterms:W3CDTF">2022-09-29T10:30:00Z</dcterms:created>
  <dcterms:modified xsi:type="dcterms:W3CDTF">2022-09-29T10:30:00Z</dcterms:modified>
</cp:coreProperties>
</file>