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48A2702" w14:textId="77777777">
        <w:trPr>
          <w:cantSplit/>
          <w:trHeight w:val="20"/>
        </w:trPr>
        <w:tc>
          <w:tcPr>
            <w:tcW w:w="861" w:type="dxa"/>
            <w:vMerge w:val="restart"/>
          </w:tcPr>
          <w:p w14:paraId="1037B6CA" w14:textId="7AE2DCD6" w:rsidR="002401D0" w:rsidRDefault="00876523">
            <w:pPr>
              <w:pStyle w:val="xLedtext"/>
              <w:rPr>
                <w:noProof/>
              </w:rPr>
            </w:pPr>
            <w:bookmarkStart w:id="0" w:name="_top"/>
            <w:bookmarkEnd w:id="0"/>
            <w:r>
              <w:rPr>
                <w:noProof/>
              </w:rPr>
              <w:t>Bakgrund</w:t>
            </w:r>
            <w:r w:rsidR="00AA02E9">
              <w:rPr>
                <w:noProof/>
                <w:lang w:val="sv-FI" w:eastAsia="sv-FI"/>
              </w:rPr>
              <w:drawing>
                <wp:inline distT="0" distB="0" distL="0" distR="0" wp14:anchorId="48C4188F" wp14:editId="25EF014A">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46C29BE" w14:textId="77777777" w:rsidR="002401D0" w:rsidRDefault="00AA02E9">
            <w:pPr>
              <w:pStyle w:val="xMellanrum"/>
            </w:pPr>
            <w:r>
              <w:rPr>
                <w:noProof/>
                <w:lang w:val="sv-FI" w:eastAsia="sv-FI"/>
              </w:rPr>
              <w:drawing>
                <wp:inline distT="0" distB="0" distL="0" distR="0" wp14:anchorId="5D113777" wp14:editId="7889CA49">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40688B1A" w14:textId="77777777">
        <w:trPr>
          <w:cantSplit/>
          <w:trHeight w:val="299"/>
        </w:trPr>
        <w:tc>
          <w:tcPr>
            <w:tcW w:w="861" w:type="dxa"/>
            <w:vMerge/>
          </w:tcPr>
          <w:p w14:paraId="4307280E" w14:textId="77777777" w:rsidR="002401D0" w:rsidRDefault="002401D0">
            <w:pPr>
              <w:pStyle w:val="xLedtext"/>
            </w:pPr>
          </w:p>
        </w:tc>
        <w:tc>
          <w:tcPr>
            <w:tcW w:w="4448" w:type="dxa"/>
            <w:vAlign w:val="bottom"/>
          </w:tcPr>
          <w:p w14:paraId="04988100" w14:textId="77777777" w:rsidR="002401D0" w:rsidRDefault="002401D0">
            <w:pPr>
              <w:pStyle w:val="xAvsandare1"/>
            </w:pPr>
            <w:r>
              <w:t>Ålands lagting</w:t>
            </w:r>
          </w:p>
        </w:tc>
        <w:tc>
          <w:tcPr>
            <w:tcW w:w="4288" w:type="dxa"/>
            <w:gridSpan w:val="2"/>
            <w:vAlign w:val="bottom"/>
          </w:tcPr>
          <w:p w14:paraId="69997D4B" w14:textId="268E7923" w:rsidR="002401D0" w:rsidRDefault="002401D0" w:rsidP="00B36A8F">
            <w:pPr>
              <w:pStyle w:val="xDokTypNr"/>
            </w:pPr>
            <w:r>
              <w:t xml:space="preserve">BETÄNKANDE nr </w:t>
            </w:r>
            <w:r w:rsidR="00212DE8">
              <w:t>9</w:t>
            </w:r>
            <w:r>
              <w:t>/20</w:t>
            </w:r>
            <w:r w:rsidR="002B6EB2">
              <w:t>2</w:t>
            </w:r>
            <w:r w:rsidR="00B63724">
              <w:t>2</w:t>
            </w:r>
            <w:r w:rsidR="0015337C">
              <w:t>-20</w:t>
            </w:r>
            <w:r w:rsidR="00382CD5">
              <w:t>2</w:t>
            </w:r>
            <w:r w:rsidR="00B63724">
              <w:t>3</w:t>
            </w:r>
          </w:p>
        </w:tc>
      </w:tr>
      <w:tr w:rsidR="002401D0" w14:paraId="73D71C9E" w14:textId="77777777">
        <w:trPr>
          <w:cantSplit/>
          <w:trHeight w:val="238"/>
        </w:trPr>
        <w:tc>
          <w:tcPr>
            <w:tcW w:w="861" w:type="dxa"/>
            <w:vMerge/>
          </w:tcPr>
          <w:p w14:paraId="05AD2AA8" w14:textId="77777777" w:rsidR="002401D0" w:rsidRDefault="002401D0">
            <w:pPr>
              <w:pStyle w:val="xLedtext"/>
            </w:pPr>
          </w:p>
        </w:tc>
        <w:tc>
          <w:tcPr>
            <w:tcW w:w="4448" w:type="dxa"/>
            <w:vAlign w:val="bottom"/>
          </w:tcPr>
          <w:p w14:paraId="5F4A2A13" w14:textId="77777777" w:rsidR="002401D0" w:rsidRDefault="002401D0">
            <w:pPr>
              <w:pStyle w:val="xLedtext"/>
            </w:pPr>
          </w:p>
        </w:tc>
        <w:tc>
          <w:tcPr>
            <w:tcW w:w="1725" w:type="dxa"/>
            <w:vAlign w:val="bottom"/>
          </w:tcPr>
          <w:p w14:paraId="3B3CF9D6" w14:textId="77777777" w:rsidR="002401D0" w:rsidRDefault="002401D0">
            <w:pPr>
              <w:pStyle w:val="xLedtext"/>
            </w:pPr>
            <w:r>
              <w:t>Datum</w:t>
            </w:r>
          </w:p>
        </w:tc>
        <w:tc>
          <w:tcPr>
            <w:tcW w:w="2563" w:type="dxa"/>
            <w:vAlign w:val="bottom"/>
          </w:tcPr>
          <w:p w14:paraId="2D4965E7" w14:textId="77777777" w:rsidR="002401D0" w:rsidRDefault="002401D0">
            <w:pPr>
              <w:pStyle w:val="xLedtext"/>
            </w:pPr>
          </w:p>
        </w:tc>
      </w:tr>
      <w:tr w:rsidR="002401D0" w14:paraId="42A0D1C3" w14:textId="77777777">
        <w:trPr>
          <w:cantSplit/>
          <w:trHeight w:val="238"/>
        </w:trPr>
        <w:tc>
          <w:tcPr>
            <w:tcW w:w="861" w:type="dxa"/>
            <w:vMerge/>
          </w:tcPr>
          <w:p w14:paraId="1E71C11A" w14:textId="77777777" w:rsidR="002401D0" w:rsidRDefault="002401D0">
            <w:pPr>
              <w:pStyle w:val="xAvsandare2"/>
            </w:pPr>
          </w:p>
        </w:tc>
        <w:tc>
          <w:tcPr>
            <w:tcW w:w="4448" w:type="dxa"/>
            <w:vAlign w:val="center"/>
          </w:tcPr>
          <w:p w14:paraId="0D09C4E9" w14:textId="7A22DE4C" w:rsidR="002401D0" w:rsidRDefault="000054FE">
            <w:pPr>
              <w:pStyle w:val="xAvsandare2"/>
            </w:pPr>
            <w:r>
              <w:t>Social</w:t>
            </w:r>
            <w:r w:rsidR="00382CD5">
              <w:t xml:space="preserve">- och </w:t>
            </w:r>
            <w:r>
              <w:t>miljö</w:t>
            </w:r>
            <w:r w:rsidR="002401D0">
              <w:t>utskottet</w:t>
            </w:r>
          </w:p>
        </w:tc>
        <w:tc>
          <w:tcPr>
            <w:tcW w:w="1725" w:type="dxa"/>
            <w:vAlign w:val="center"/>
          </w:tcPr>
          <w:p w14:paraId="4AD3D68A" w14:textId="10552C14" w:rsidR="002401D0" w:rsidRDefault="002401D0">
            <w:pPr>
              <w:pStyle w:val="xDatum1"/>
            </w:pPr>
            <w:r>
              <w:t>20</w:t>
            </w:r>
            <w:r w:rsidR="00382CD5">
              <w:t>2</w:t>
            </w:r>
            <w:r w:rsidR="00F32038">
              <w:t>3-05-</w:t>
            </w:r>
            <w:r w:rsidR="00212DE8">
              <w:t>30</w:t>
            </w:r>
          </w:p>
        </w:tc>
        <w:tc>
          <w:tcPr>
            <w:tcW w:w="2563" w:type="dxa"/>
            <w:vAlign w:val="center"/>
          </w:tcPr>
          <w:p w14:paraId="3BDA594E" w14:textId="77777777" w:rsidR="002401D0" w:rsidRDefault="002401D0">
            <w:pPr>
              <w:pStyle w:val="xBeteckning1"/>
            </w:pPr>
          </w:p>
        </w:tc>
      </w:tr>
      <w:tr w:rsidR="002401D0" w14:paraId="2E44D56A" w14:textId="77777777">
        <w:trPr>
          <w:cantSplit/>
          <w:trHeight w:val="238"/>
        </w:trPr>
        <w:tc>
          <w:tcPr>
            <w:tcW w:w="861" w:type="dxa"/>
            <w:vMerge/>
          </w:tcPr>
          <w:p w14:paraId="2E9C0A2C" w14:textId="77777777" w:rsidR="002401D0" w:rsidRDefault="002401D0">
            <w:pPr>
              <w:pStyle w:val="xLedtext"/>
            </w:pPr>
          </w:p>
        </w:tc>
        <w:tc>
          <w:tcPr>
            <w:tcW w:w="4448" w:type="dxa"/>
            <w:vAlign w:val="bottom"/>
          </w:tcPr>
          <w:p w14:paraId="333EF5C7" w14:textId="77777777" w:rsidR="002401D0" w:rsidRDefault="002401D0">
            <w:pPr>
              <w:pStyle w:val="xLedtext"/>
            </w:pPr>
          </w:p>
        </w:tc>
        <w:tc>
          <w:tcPr>
            <w:tcW w:w="1725" w:type="dxa"/>
            <w:vAlign w:val="bottom"/>
          </w:tcPr>
          <w:p w14:paraId="1167AB30" w14:textId="77777777" w:rsidR="002401D0" w:rsidRDefault="002401D0">
            <w:pPr>
              <w:pStyle w:val="xLedtext"/>
            </w:pPr>
          </w:p>
        </w:tc>
        <w:tc>
          <w:tcPr>
            <w:tcW w:w="2563" w:type="dxa"/>
            <w:vAlign w:val="bottom"/>
          </w:tcPr>
          <w:p w14:paraId="511F0663" w14:textId="77777777" w:rsidR="002401D0" w:rsidRDefault="002401D0">
            <w:pPr>
              <w:pStyle w:val="xLedtext"/>
            </w:pPr>
          </w:p>
        </w:tc>
      </w:tr>
      <w:tr w:rsidR="002401D0" w14:paraId="29474F32" w14:textId="77777777">
        <w:trPr>
          <w:cantSplit/>
          <w:trHeight w:val="238"/>
        </w:trPr>
        <w:tc>
          <w:tcPr>
            <w:tcW w:w="861" w:type="dxa"/>
            <w:vMerge/>
            <w:tcBorders>
              <w:bottom w:val="single" w:sz="4" w:space="0" w:color="auto"/>
            </w:tcBorders>
          </w:tcPr>
          <w:p w14:paraId="21BC07FF" w14:textId="77777777" w:rsidR="002401D0" w:rsidRDefault="002401D0">
            <w:pPr>
              <w:pStyle w:val="xAvsandare3"/>
            </w:pPr>
          </w:p>
        </w:tc>
        <w:tc>
          <w:tcPr>
            <w:tcW w:w="4448" w:type="dxa"/>
            <w:tcBorders>
              <w:bottom w:val="single" w:sz="4" w:space="0" w:color="auto"/>
            </w:tcBorders>
            <w:vAlign w:val="center"/>
          </w:tcPr>
          <w:p w14:paraId="458B75DD" w14:textId="77777777" w:rsidR="002401D0" w:rsidRDefault="002401D0">
            <w:pPr>
              <w:pStyle w:val="xAvsandare3"/>
            </w:pPr>
          </w:p>
        </w:tc>
        <w:tc>
          <w:tcPr>
            <w:tcW w:w="1725" w:type="dxa"/>
            <w:tcBorders>
              <w:bottom w:val="single" w:sz="4" w:space="0" w:color="auto"/>
            </w:tcBorders>
            <w:vAlign w:val="center"/>
          </w:tcPr>
          <w:p w14:paraId="123569EB" w14:textId="77777777" w:rsidR="002401D0" w:rsidRDefault="002401D0">
            <w:pPr>
              <w:pStyle w:val="xDatum2"/>
            </w:pPr>
          </w:p>
        </w:tc>
        <w:tc>
          <w:tcPr>
            <w:tcW w:w="2563" w:type="dxa"/>
            <w:tcBorders>
              <w:bottom w:val="single" w:sz="4" w:space="0" w:color="auto"/>
            </w:tcBorders>
            <w:vAlign w:val="center"/>
          </w:tcPr>
          <w:p w14:paraId="262D0C8D" w14:textId="77777777" w:rsidR="002401D0" w:rsidRDefault="002401D0">
            <w:pPr>
              <w:pStyle w:val="xBeteckning2"/>
            </w:pPr>
          </w:p>
        </w:tc>
      </w:tr>
      <w:tr w:rsidR="002401D0" w14:paraId="39A17D17" w14:textId="77777777">
        <w:trPr>
          <w:cantSplit/>
          <w:trHeight w:val="238"/>
        </w:trPr>
        <w:tc>
          <w:tcPr>
            <w:tcW w:w="861" w:type="dxa"/>
            <w:tcBorders>
              <w:top w:val="single" w:sz="4" w:space="0" w:color="auto"/>
            </w:tcBorders>
            <w:vAlign w:val="bottom"/>
          </w:tcPr>
          <w:p w14:paraId="2FB60011" w14:textId="77777777" w:rsidR="002401D0" w:rsidRDefault="002401D0">
            <w:pPr>
              <w:pStyle w:val="xLedtext"/>
            </w:pPr>
          </w:p>
        </w:tc>
        <w:tc>
          <w:tcPr>
            <w:tcW w:w="4448" w:type="dxa"/>
            <w:tcBorders>
              <w:top w:val="single" w:sz="4" w:space="0" w:color="auto"/>
            </w:tcBorders>
            <w:vAlign w:val="bottom"/>
          </w:tcPr>
          <w:p w14:paraId="742D49EA" w14:textId="77777777" w:rsidR="002401D0" w:rsidRDefault="002401D0">
            <w:pPr>
              <w:pStyle w:val="xLedtext"/>
            </w:pPr>
          </w:p>
        </w:tc>
        <w:tc>
          <w:tcPr>
            <w:tcW w:w="4288" w:type="dxa"/>
            <w:gridSpan w:val="2"/>
            <w:tcBorders>
              <w:top w:val="single" w:sz="4" w:space="0" w:color="auto"/>
            </w:tcBorders>
            <w:vAlign w:val="bottom"/>
          </w:tcPr>
          <w:p w14:paraId="087989A0" w14:textId="77777777" w:rsidR="002401D0" w:rsidRDefault="002401D0">
            <w:pPr>
              <w:pStyle w:val="xLedtext"/>
            </w:pPr>
          </w:p>
        </w:tc>
      </w:tr>
      <w:tr w:rsidR="002401D0" w14:paraId="5274B316" w14:textId="77777777">
        <w:trPr>
          <w:cantSplit/>
          <w:trHeight w:val="238"/>
        </w:trPr>
        <w:tc>
          <w:tcPr>
            <w:tcW w:w="861" w:type="dxa"/>
          </w:tcPr>
          <w:p w14:paraId="0348BD84" w14:textId="77777777" w:rsidR="002401D0" w:rsidRDefault="002401D0">
            <w:pPr>
              <w:pStyle w:val="xCelltext"/>
            </w:pPr>
          </w:p>
        </w:tc>
        <w:tc>
          <w:tcPr>
            <w:tcW w:w="4448" w:type="dxa"/>
            <w:vMerge w:val="restart"/>
          </w:tcPr>
          <w:p w14:paraId="189B227C" w14:textId="77777777" w:rsidR="002401D0" w:rsidRDefault="002401D0">
            <w:pPr>
              <w:pStyle w:val="xMottagare1"/>
            </w:pPr>
            <w:r>
              <w:t>Till Ålands lagting</w:t>
            </w:r>
          </w:p>
        </w:tc>
        <w:tc>
          <w:tcPr>
            <w:tcW w:w="4288" w:type="dxa"/>
            <w:gridSpan w:val="2"/>
            <w:vMerge w:val="restart"/>
          </w:tcPr>
          <w:p w14:paraId="1286A500" w14:textId="77777777" w:rsidR="002401D0" w:rsidRDefault="002401D0">
            <w:pPr>
              <w:pStyle w:val="xMottagare1"/>
              <w:tabs>
                <w:tab w:val="left" w:pos="2349"/>
              </w:tabs>
            </w:pPr>
          </w:p>
        </w:tc>
      </w:tr>
      <w:tr w:rsidR="002401D0" w14:paraId="287FB941" w14:textId="77777777">
        <w:trPr>
          <w:cantSplit/>
          <w:trHeight w:val="238"/>
        </w:trPr>
        <w:tc>
          <w:tcPr>
            <w:tcW w:w="861" w:type="dxa"/>
          </w:tcPr>
          <w:p w14:paraId="620734C6" w14:textId="77777777" w:rsidR="002401D0" w:rsidRDefault="002401D0">
            <w:pPr>
              <w:pStyle w:val="xCelltext"/>
            </w:pPr>
          </w:p>
        </w:tc>
        <w:tc>
          <w:tcPr>
            <w:tcW w:w="4448" w:type="dxa"/>
            <w:vMerge/>
            <w:vAlign w:val="center"/>
          </w:tcPr>
          <w:p w14:paraId="49806B58" w14:textId="77777777" w:rsidR="002401D0" w:rsidRDefault="002401D0">
            <w:pPr>
              <w:pStyle w:val="xCelltext"/>
            </w:pPr>
          </w:p>
        </w:tc>
        <w:tc>
          <w:tcPr>
            <w:tcW w:w="4288" w:type="dxa"/>
            <w:gridSpan w:val="2"/>
            <w:vMerge/>
            <w:vAlign w:val="center"/>
          </w:tcPr>
          <w:p w14:paraId="5EA2D985" w14:textId="77777777" w:rsidR="002401D0" w:rsidRDefault="002401D0">
            <w:pPr>
              <w:pStyle w:val="xCelltext"/>
            </w:pPr>
          </w:p>
        </w:tc>
      </w:tr>
      <w:tr w:rsidR="002401D0" w14:paraId="375A2FCE" w14:textId="77777777">
        <w:trPr>
          <w:cantSplit/>
          <w:trHeight w:val="238"/>
        </w:trPr>
        <w:tc>
          <w:tcPr>
            <w:tcW w:w="861" w:type="dxa"/>
          </w:tcPr>
          <w:p w14:paraId="46F2C8B5" w14:textId="77777777" w:rsidR="002401D0" w:rsidRDefault="002401D0">
            <w:pPr>
              <w:pStyle w:val="xCelltext"/>
            </w:pPr>
          </w:p>
        </w:tc>
        <w:tc>
          <w:tcPr>
            <w:tcW w:w="4448" w:type="dxa"/>
            <w:vMerge/>
            <w:vAlign w:val="center"/>
          </w:tcPr>
          <w:p w14:paraId="6B0A9647" w14:textId="77777777" w:rsidR="002401D0" w:rsidRDefault="002401D0">
            <w:pPr>
              <w:pStyle w:val="xCelltext"/>
            </w:pPr>
          </w:p>
        </w:tc>
        <w:tc>
          <w:tcPr>
            <w:tcW w:w="4288" w:type="dxa"/>
            <w:gridSpan w:val="2"/>
            <w:vMerge/>
            <w:vAlign w:val="center"/>
          </w:tcPr>
          <w:p w14:paraId="1034096C" w14:textId="77777777" w:rsidR="002401D0" w:rsidRDefault="002401D0">
            <w:pPr>
              <w:pStyle w:val="xCelltext"/>
            </w:pPr>
          </w:p>
        </w:tc>
      </w:tr>
      <w:tr w:rsidR="002401D0" w14:paraId="4483D023" w14:textId="77777777">
        <w:trPr>
          <w:cantSplit/>
          <w:trHeight w:val="238"/>
        </w:trPr>
        <w:tc>
          <w:tcPr>
            <w:tcW w:w="861" w:type="dxa"/>
          </w:tcPr>
          <w:p w14:paraId="19E8B4D3" w14:textId="77777777" w:rsidR="002401D0" w:rsidRDefault="002401D0">
            <w:pPr>
              <w:pStyle w:val="xCelltext"/>
            </w:pPr>
          </w:p>
        </w:tc>
        <w:tc>
          <w:tcPr>
            <w:tcW w:w="4448" w:type="dxa"/>
            <w:vMerge/>
            <w:vAlign w:val="center"/>
          </w:tcPr>
          <w:p w14:paraId="0F6DC4F8" w14:textId="77777777" w:rsidR="002401D0" w:rsidRDefault="002401D0">
            <w:pPr>
              <w:pStyle w:val="xCelltext"/>
            </w:pPr>
          </w:p>
        </w:tc>
        <w:tc>
          <w:tcPr>
            <w:tcW w:w="4288" w:type="dxa"/>
            <w:gridSpan w:val="2"/>
            <w:vMerge/>
            <w:vAlign w:val="center"/>
          </w:tcPr>
          <w:p w14:paraId="012A080F" w14:textId="77777777" w:rsidR="002401D0" w:rsidRDefault="002401D0">
            <w:pPr>
              <w:pStyle w:val="xCelltext"/>
            </w:pPr>
          </w:p>
        </w:tc>
      </w:tr>
      <w:tr w:rsidR="002401D0" w14:paraId="56CB8952" w14:textId="77777777">
        <w:trPr>
          <w:cantSplit/>
          <w:trHeight w:val="238"/>
        </w:trPr>
        <w:tc>
          <w:tcPr>
            <w:tcW w:w="861" w:type="dxa"/>
          </w:tcPr>
          <w:p w14:paraId="0FD49A66" w14:textId="77777777" w:rsidR="002401D0" w:rsidRDefault="002401D0">
            <w:pPr>
              <w:pStyle w:val="xCelltext"/>
            </w:pPr>
          </w:p>
        </w:tc>
        <w:tc>
          <w:tcPr>
            <w:tcW w:w="4448" w:type="dxa"/>
            <w:vMerge/>
            <w:vAlign w:val="center"/>
          </w:tcPr>
          <w:p w14:paraId="6A33E52A" w14:textId="77777777" w:rsidR="002401D0" w:rsidRDefault="002401D0">
            <w:pPr>
              <w:pStyle w:val="xCelltext"/>
            </w:pPr>
          </w:p>
        </w:tc>
        <w:tc>
          <w:tcPr>
            <w:tcW w:w="4288" w:type="dxa"/>
            <w:gridSpan w:val="2"/>
            <w:vMerge/>
            <w:vAlign w:val="center"/>
          </w:tcPr>
          <w:p w14:paraId="63EB593E" w14:textId="77777777" w:rsidR="002401D0" w:rsidRDefault="002401D0">
            <w:pPr>
              <w:pStyle w:val="xCelltext"/>
            </w:pPr>
          </w:p>
        </w:tc>
      </w:tr>
    </w:tbl>
    <w:p w14:paraId="595FFAE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2299A9B" w14:textId="48A6BAE5" w:rsidR="002401D0" w:rsidRDefault="000054FE" w:rsidP="00382CD5">
      <w:pPr>
        <w:pStyle w:val="ArendeOverRubrik"/>
      </w:pPr>
      <w:r>
        <w:t>Social</w:t>
      </w:r>
      <w:r w:rsidR="00382CD5">
        <w:t xml:space="preserve">- och </w:t>
      </w:r>
      <w:r>
        <w:t>miljö</w:t>
      </w:r>
      <w:r w:rsidR="002401D0">
        <w:t>utskottets betänkande</w:t>
      </w:r>
    </w:p>
    <w:p w14:paraId="4DA6F546" w14:textId="54E1C812" w:rsidR="00B63724" w:rsidRPr="00B63724" w:rsidRDefault="002B6EB2" w:rsidP="00B63724">
      <w:pPr>
        <w:widowControl/>
        <w:suppressAutoHyphens/>
        <w:autoSpaceDE/>
        <w:autoSpaceDN/>
        <w:adjustRightInd/>
      </w:pPr>
      <w:r>
        <w:rPr>
          <w:rFonts w:ascii="Arial" w:hAnsi="Arial" w:cs="Arial"/>
          <w:b/>
          <w:bCs/>
          <w:sz w:val="26"/>
          <w:szCs w:val="20"/>
          <w:lang w:val="sv-SE"/>
        </w:rPr>
        <w:t>R</w:t>
      </w:r>
      <w:r w:rsidRPr="0043258F">
        <w:rPr>
          <w:rFonts w:ascii="Arial" w:hAnsi="Arial" w:cs="Arial"/>
          <w:b/>
          <w:bCs/>
          <w:sz w:val="26"/>
          <w:szCs w:val="20"/>
          <w:lang w:val="sv-SE"/>
        </w:rPr>
        <w:t>epublikens presidents framställning till Ålands lagting</w:t>
      </w:r>
      <w:r w:rsidR="00B63724">
        <w:rPr>
          <w:rFonts w:ascii="Arial" w:hAnsi="Arial" w:cs="Arial"/>
          <w:b/>
          <w:bCs/>
          <w:sz w:val="26"/>
          <w:szCs w:val="20"/>
          <w:lang w:val="sv-SE"/>
        </w:rPr>
        <w:t xml:space="preserve"> </w:t>
      </w:r>
      <w:r w:rsidR="00B63724" w:rsidRPr="00B63724">
        <w:rPr>
          <w:rFonts w:ascii="Arial" w:hAnsi="Arial" w:cs="Arial"/>
          <w:b/>
          <w:bCs/>
          <w:sz w:val="26"/>
          <w:szCs w:val="20"/>
        </w:rPr>
        <w:t xml:space="preserve">om </w:t>
      </w:r>
      <w:r w:rsidR="0030183C">
        <w:rPr>
          <w:rFonts w:ascii="Arial" w:hAnsi="Arial" w:cs="Arial"/>
          <w:b/>
          <w:bCs/>
          <w:sz w:val="26"/>
          <w:szCs w:val="20"/>
        </w:rPr>
        <w:t xml:space="preserve">godkännande av </w:t>
      </w:r>
      <w:r w:rsidR="00B63724" w:rsidRPr="00B63724">
        <w:rPr>
          <w:rFonts w:ascii="Arial" w:hAnsi="Arial" w:cs="Arial"/>
          <w:b/>
          <w:bCs/>
          <w:sz w:val="26"/>
          <w:szCs w:val="20"/>
        </w:rPr>
        <w:t>utkastet till statsrådets förordning om ändringar i del II i bilaga III till 1992 års konvention om skydd av Östersjöområdets marina miljö</w:t>
      </w:r>
    </w:p>
    <w:p w14:paraId="703A0038" w14:textId="4FECB816" w:rsidR="002401D0" w:rsidRPr="002B6EB2" w:rsidRDefault="00382CD5" w:rsidP="002B6EB2">
      <w:pPr>
        <w:widowControl/>
        <w:tabs>
          <w:tab w:val="num" w:pos="283"/>
        </w:tabs>
        <w:suppressAutoHyphens/>
        <w:autoSpaceDE/>
        <w:autoSpaceDN/>
        <w:adjustRightInd/>
        <w:ind w:left="283" w:hanging="283"/>
        <w:rPr>
          <w:rFonts w:ascii="Verdana" w:hAnsi="Verdana" w:cs="Arial"/>
          <w:sz w:val="16"/>
          <w:szCs w:val="20"/>
          <w:lang w:val="sv-SE"/>
        </w:rPr>
      </w:pPr>
      <w:r w:rsidRPr="002B6EB2">
        <w:rPr>
          <w:rFonts w:ascii="Verdana" w:hAnsi="Verdana" w:cs="Arial"/>
          <w:sz w:val="16"/>
          <w:szCs w:val="20"/>
          <w:lang w:val="sv-SE"/>
        </w:rPr>
        <w:t>Republikens presidents framställning n</w:t>
      </w:r>
      <w:r w:rsidR="002619A1" w:rsidRPr="002B6EB2">
        <w:rPr>
          <w:rFonts w:ascii="Verdana" w:hAnsi="Verdana" w:cs="Arial"/>
          <w:sz w:val="16"/>
          <w:szCs w:val="20"/>
          <w:lang w:val="sv-SE"/>
        </w:rPr>
        <w:t xml:space="preserve">r </w:t>
      </w:r>
      <w:r w:rsidR="00B63724">
        <w:rPr>
          <w:rFonts w:ascii="Verdana" w:hAnsi="Verdana" w:cs="Arial"/>
          <w:sz w:val="16"/>
          <w:szCs w:val="20"/>
          <w:lang w:val="sv-SE"/>
        </w:rPr>
        <w:t>11</w:t>
      </w:r>
      <w:r w:rsidR="002619A1" w:rsidRPr="002B6EB2">
        <w:rPr>
          <w:rFonts w:ascii="Verdana" w:hAnsi="Verdana" w:cs="Arial"/>
          <w:sz w:val="16"/>
          <w:szCs w:val="20"/>
          <w:lang w:val="sv-SE"/>
        </w:rPr>
        <w:t>/20</w:t>
      </w:r>
      <w:r w:rsidR="006063AB">
        <w:rPr>
          <w:rFonts w:ascii="Verdana" w:hAnsi="Verdana" w:cs="Arial"/>
          <w:sz w:val="16"/>
          <w:szCs w:val="20"/>
          <w:lang w:val="sv-SE"/>
        </w:rPr>
        <w:t>2</w:t>
      </w:r>
      <w:r w:rsidR="00B63724">
        <w:rPr>
          <w:rFonts w:ascii="Verdana" w:hAnsi="Verdana" w:cs="Arial"/>
          <w:sz w:val="16"/>
          <w:szCs w:val="20"/>
          <w:lang w:val="sv-SE"/>
        </w:rPr>
        <w:t>1</w:t>
      </w:r>
      <w:r w:rsidR="002619A1" w:rsidRPr="002B6EB2">
        <w:rPr>
          <w:rFonts w:ascii="Verdana" w:hAnsi="Verdana" w:cs="Arial"/>
          <w:sz w:val="16"/>
          <w:szCs w:val="20"/>
          <w:lang w:val="sv-SE"/>
        </w:rPr>
        <w:t>-202</w:t>
      </w:r>
      <w:r w:rsidR="00B63724">
        <w:rPr>
          <w:rFonts w:ascii="Verdana" w:hAnsi="Verdana" w:cs="Arial"/>
          <w:sz w:val="16"/>
          <w:szCs w:val="20"/>
          <w:lang w:val="sv-SE"/>
        </w:rPr>
        <w:t>2</w:t>
      </w:r>
    </w:p>
    <w:p w14:paraId="7C27472C" w14:textId="77777777" w:rsidR="002401D0" w:rsidRDefault="002401D0">
      <w:pPr>
        <w:pStyle w:val="ANormal"/>
      </w:pPr>
    </w:p>
    <w:p w14:paraId="09E2534E" w14:textId="2E3E804C" w:rsidR="002401D0" w:rsidRDefault="002401D0">
      <w:pPr>
        <w:pStyle w:val="Innehll1"/>
      </w:pPr>
    </w:p>
    <w:p w14:paraId="69203AD1" w14:textId="77777777" w:rsidR="00C01665" w:rsidRDefault="00C01665" w:rsidP="00C01665">
      <w:pPr>
        <w:pStyle w:val="Innehll1"/>
      </w:pPr>
      <w:r>
        <w:t>INNEHÅLL</w:t>
      </w:r>
    </w:p>
    <w:p w14:paraId="6B564EAC" w14:textId="510E8920" w:rsidR="00C01665" w:rsidRDefault="00C01665">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6241767" w:history="1">
        <w:r w:rsidRPr="009F7814">
          <w:rPr>
            <w:rStyle w:val="Hyperlnk"/>
          </w:rPr>
          <w:t>Sammanfattning</w:t>
        </w:r>
        <w:r>
          <w:rPr>
            <w:webHidden/>
          </w:rPr>
          <w:tab/>
        </w:r>
        <w:r>
          <w:rPr>
            <w:webHidden/>
          </w:rPr>
          <w:fldChar w:fldCharType="begin"/>
        </w:r>
        <w:r>
          <w:rPr>
            <w:webHidden/>
          </w:rPr>
          <w:instrText xml:space="preserve"> PAGEREF _Toc136241767 \h </w:instrText>
        </w:r>
        <w:r>
          <w:rPr>
            <w:webHidden/>
          </w:rPr>
        </w:r>
        <w:r>
          <w:rPr>
            <w:webHidden/>
          </w:rPr>
          <w:fldChar w:fldCharType="separate"/>
        </w:r>
        <w:r>
          <w:rPr>
            <w:webHidden/>
          </w:rPr>
          <w:t>1</w:t>
        </w:r>
        <w:r>
          <w:rPr>
            <w:webHidden/>
          </w:rPr>
          <w:fldChar w:fldCharType="end"/>
        </w:r>
      </w:hyperlink>
    </w:p>
    <w:p w14:paraId="6914FB6B" w14:textId="478D8F90" w:rsidR="00C01665" w:rsidRDefault="00B83E89">
      <w:pPr>
        <w:pStyle w:val="Innehll2"/>
        <w:rPr>
          <w:rFonts w:asciiTheme="minorHAnsi" w:eastAsiaTheme="minorEastAsia" w:hAnsiTheme="minorHAnsi" w:cstheme="minorBidi"/>
          <w:sz w:val="22"/>
          <w:szCs w:val="22"/>
          <w:lang w:val="sv-FI" w:eastAsia="sv-FI"/>
        </w:rPr>
      </w:pPr>
      <w:hyperlink w:anchor="_Toc136241768" w:history="1">
        <w:r w:rsidR="00C01665" w:rsidRPr="009F7814">
          <w:rPr>
            <w:rStyle w:val="Hyperlnk"/>
          </w:rPr>
          <w:t>Republikens presidents förslag</w:t>
        </w:r>
        <w:r w:rsidR="00C01665">
          <w:rPr>
            <w:webHidden/>
          </w:rPr>
          <w:tab/>
        </w:r>
        <w:r w:rsidR="00C01665">
          <w:rPr>
            <w:webHidden/>
          </w:rPr>
          <w:fldChar w:fldCharType="begin"/>
        </w:r>
        <w:r w:rsidR="00C01665">
          <w:rPr>
            <w:webHidden/>
          </w:rPr>
          <w:instrText xml:space="preserve"> PAGEREF _Toc136241768 \h </w:instrText>
        </w:r>
        <w:r w:rsidR="00C01665">
          <w:rPr>
            <w:webHidden/>
          </w:rPr>
        </w:r>
        <w:r w:rsidR="00C01665">
          <w:rPr>
            <w:webHidden/>
          </w:rPr>
          <w:fldChar w:fldCharType="separate"/>
        </w:r>
        <w:r w:rsidR="00C01665">
          <w:rPr>
            <w:webHidden/>
          </w:rPr>
          <w:t>1</w:t>
        </w:r>
        <w:r w:rsidR="00C01665">
          <w:rPr>
            <w:webHidden/>
          </w:rPr>
          <w:fldChar w:fldCharType="end"/>
        </w:r>
      </w:hyperlink>
    </w:p>
    <w:p w14:paraId="64FE171A" w14:textId="30588BB4" w:rsidR="00C01665" w:rsidRDefault="00B83E89">
      <w:pPr>
        <w:pStyle w:val="Innehll1"/>
        <w:rPr>
          <w:rFonts w:asciiTheme="minorHAnsi" w:eastAsiaTheme="minorEastAsia" w:hAnsiTheme="minorHAnsi" w:cstheme="minorBidi"/>
          <w:sz w:val="22"/>
          <w:szCs w:val="22"/>
          <w:lang w:val="sv-FI" w:eastAsia="sv-FI"/>
        </w:rPr>
      </w:pPr>
      <w:hyperlink w:anchor="_Toc136241769" w:history="1">
        <w:r w:rsidR="00C01665" w:rsidRPr="009F7814">
          <w:rPr>
            <w:rStyle w:val="Hyperlnk"/>
          </w:rPr>
          <w:t>Landskapsregeringens utlåtande</w:t>
        </w:r>
        <w:r w:rsidR="00C01665">
          <w:rPr>
            <w:webHidden/>
          </w:rPr>
          <w:tab/>
        </w:r>
        <w:r w:rsidR="00C01665">
          <w:rPr>
            <w:webHidden/>
          </w:rPr>
          <w:fldChar w:fldCharType="begin"/>
        </w:r>
        <w:r w:rsidR="00C01665">
          <w:rPr>
            <w:webHidden/>
          </w:rPr>
          <w:instrText xml:space="preserve"> PAGEREF _Toc136241769 \h </w:instrText>
        </w:r>
        <w:r w:rsidR="00C01665">
          <w:rPr>
            <w:webHidden/>
          </w:rPr>
        </w:r>
        <w:r w:rsidR="00C01665">
          <w:rPr>
            <w:webHidden/>
          </w:rPr>
          <w:fldChar w:fldCharType="separate"/>
        </w:r>
        <w:r w:rsidR="00C01665">
          <w:rPr>
            <w:webHidden/>
          </w:rPr>
          <w:t>1</w:t>
        </w:r>
        <w:r w:rsidR="00C01665">
          <w:rPr>
            <w:webHidden/>
          </w:rPr>
          <w:fldChar w:fldCharType="end"/>
        </w:r>
      </w:hyperlink>
    </w:p>
    <w:p w14:paraId="02C93B7B" w14:textId="305E37EF" w:rsidR="00C01665" w:rsidRDefault="00B83E89">
      <w:pPr>
        <w:pStyle w:val="Innehll1"/>
        <w:rPr>
          <w:rFonts w:asciiTheme="minorHAnsi" w:eastAsiaTheme="minorEastAsia" w:hAnsiTheme="minorHAnsi" w:cstheme="minorBidi"/>
          <w:sz w:val="22"/>
          <w:szCs w:val="22"/>
          <w:lang w:val="sv-FI" w:eastAsia="sv-FI"/>
        </w:rPr>
      </w:pPr>
      <w:hyperlink w:anchor="_Toc136241770" w:history="1">
        <w:r w:rsidR="00C01665" w:rsidRPr="009F7814">
          <w:rPr>
            <w:rStyle w:val="Hyperlnk"/>
          </w:rPr>
          <w:t>Utskottets förslag</w:t>
        </w:r>
        <w:r w:rsidR="00C01665">
          <w:rPr>
            <w:webHidden/>
          </w:rPr>
          <w:tab/>
        </w:r>
        <w:r w:rsidR="00C01665">
          <w:rPr>
            <w:webHidden/>
          </w:rPr>
          <w:fldChar w:fldCharType="begin"/>
        </w:r>
        <w:r w:rsidR="00C01665">
          <w:rPr>
            <w:webHidden/>
          </w:rPr>
          <w:instrText xml:space="preserve"> PAGEREF _Toc136241770 \h </w:instrText>
        </w:r>
        <w:r w:rsidR="00C01665">
          <w:rPr>
            <w:webHidden/>
          </w:rPr>
        </w:r>
        <w:r w:rsidR="00C01665">
          <w:rPr>
            <w:webHidden/>
          </w:rPr>
          <w:fldChar w:fldCharType="separate"/>
        </w:r>
        <w:r w:rsidR="00C01665">
          <w:rPr>
            <w:webHidden/>
          </w:rPr>
          <w:t>3</w:t>
        </w:r>
        <w:r w:rsidR="00C01665">
          <w:rPr>
            <w:webHidden/>
          </w:rPr>
          <w:fldChar w:fldCharType="end"/>
        </w:r>
      </w:hyperlink>
    </w:p>
    <w:p w14:paraId="7CFB9AE6" w14:textId="0E40DF0E" w:rsidR="00C01665" w:rsidRDefault="00B83E89">
      <w:pPr>
        <w:pStyle w:val="Innehll1"/>
        <w:rPr>
          <w:rFonts w:asciiTheme="minorHAnsi" w:eastAsiaTheme="minorEastAsia" w:hAnsiTheme="minorHAnsi" w:cstheme="minorBidi"/>
          <w:sz w:val="22"/>
          <w:szCs w:val="22"/>
          <w:lang w:val="sv-FI" w:eastAsia="sv-FI"/>
        </w:rPr>
      </w:pPr>
      <w:hyperlink w:anchor="_Toc136241771" w:history="1">
        <w:r w:rsidR="00C01665" w:rsidRPr="009F7814">
          <w:rPr>
            <w:rStyle w:val="Hyperlnk"/>
          </w:rPr>
          <w:t>Ärendets behandling</w:t>
        </w:r>
        <w:r w:rsidR="00C01665">
          <w:rPr>
            <w:webHidden/>
          </w:rPr>
          <w:tab/>
        </w:r>
        <w:r w:rsidR="00C01665">
          <w:rPr>
            <w:webHidden/>
          </w:rPr>
          <w:fldChar w:fldCharType="begin"/>
        </w:r>
        <w:r w:rsidR="00C01665">
          <w:rPr>
            <w:webHidden/>
          </w:rPr>
          <w:instrText xml:space="preserve"> PAGEREF _Toc136241771 \h </w:instrText>
        </w:r>
        <w:r w:rsidR="00C01665">
          <w:rPr>
            <w:webHidden/>
          </w:rPr>
        </w:r>
        <w:r w:rsidR="00C01665">
          <w:rPr>
            <w:webHidden/>
          </w:rPr>
          <w:fldChar w:fldCharType="separate"/>
        </w:r>
        <w:r w:rsidR="00C01665">
          <w:rPr>
            <w:webHidden/>
          </w:rPr>
          <w:t>3</w:t>
        </w:r>
        <w:r w:rsidR="00C01665">
          <w:rPr>
            <w:webHidden/>
          </w:rPr>
          <w:fldChar w:fldCharType="end"/>
        </w:r>
      </w:hyperlink>
    </w:p>
    <w:p w14:paraId="5B7252C1" w14:textId="06703467" w:rsidR="00C01665" w:rsidRDefault="00B83E89">
      <w:pPr>
        <w:pStyle w:val="Innehll1"/>
        <w:rPr>
          <w:rFonts w:asciiTheme="minorHAnsi" w:eastAsiaTheme="minorEastAsia" w:hAnsiTheme="minorHAnsi" w:cstheme="minorBidi"/>
          <w:sz w:val="22"/>
          <w:szCs w:val="22"/>
          <w:lang w:val="sv-FI" w:eastAsia="sv-FI"/>
        </w:rPr>
      </w:pPr>
      <w:hyperlink w:anchor="_Toc136241772" w:history="1">
        <w:r w:rsidR="00C01665" w:rsidRPr="009F7814">
          <w:rPr>
            <w:rStyle w:val="Hyperlnk"/>
          </w:rPr>
          <w:t>Utskottets förslag</w:t>
        </w:r>
        <w:r w:rsidR="00C01665">
          <w:rPr>
            <w:webHidden/>
          </w:rPr>
          <w:tab/>
        </w:r>
        <w:r w:rsidR="00C01665">
          <w:rPr>
            <w:webHidden/>
          </w:rPr>
          <w:fldChar w:fldCharType="begin"/>
        </w:r>
        <w:r w:rsidR="00C01665">
          <w:rPr>
            <w:webHidden/>
          </w:rPr>
          <w:instrText xml:space="preserve"> PAGEREF _Toc136241772 \h </w:instrText>
        </w:r>
        <w:r w:rsidR="00C01665">
          <w:rPr>
            <w:webHidden/>
          </w:rPr>
        </w:r>
        <w:r w:rsidR="00C01665">
          <w:rPr>
            <w:webHidden/>
          </w:rPr>
          <w:fldChar w:fldCharType="separate"/>
        </w:r>
        <w:r w:rsidR="00C01665">
          <w:rPr>
            <w:webHidden/>
          </w:rPr>
          <w:t>3</w:t>
        </w:r>
        <w:r w:rsidR="00C01665">
          <w:rPr>
            <w:webHidden/>
          </w:rPr>
          <w:fldChar w:fldCharType="end"/>
        </w:r>
      </w:hyperlink>
    </w:p>
    <w:p w14:paraId="36ACDA18" w14:textId="4BDDA7EE" w:rsidR="002401D0" w:rsidRDefault="00C01665" w:rsidP="00C01665">
      <w:pPr>
        <w:pStyle w:val="ANormal"/>
        <w:rPr>
          <w:noProof/>
        </w:rPr>
      </w:pPr>
      <w:r>
        <w:rPr>
          <w:rFonts w:ascii="Verdana" w:hAnsi="Verdana"/>
          <w:noProof/>
          <w:sz w:val="16"/>
          <w:szCs w:val="36"/>
        </w:rPr>
        <w:fldChar w:fldCharType="end"/>
      </w:r>
    </w:p>
    <w:p w14:paraId="2037ACF4" w14:textId="544C9DF2" w:rsidR="002401D0" w:rsidRDefault="00422F1C" w:rsidP="002F6DF8">
      <w:pPr>
        <w:pStyle w:val="RubrikA"/>
      </w:pPr>
      <w:bookmarkStart w:id="1" w:name="_Toc135734072"/>
      <w:bookmarkStart w:id="2" w:name="_Toc136241767"/>
      <w:r>
        <w:t>Sammanfattning</w:t>
      </w:r>
      <w:bookmarkEnd w:id="1"/>
      <w:bookmarkEnd w:id="2"/>
      <w:r>
        <w:t xml:space="preserve"> </w:t>
      </w:r>
    </w:p>
    <w:p w14:paraId="1A5422C9" w14:textId="28C732A4" w:rsidR="00422F1C" w:rsidRDefault="00422F1C">
      <w:pPr>
        <w:pStyle w:val="ANormal"/>
      </w:pPr>
    </w:p>
    <w:p w14:paraId="12F2C524" w14:textId="6B6282D1" w:rsidR="002619A1" w:rsidRDefault="002619A1" w:rsidP="002F6DF8">
      <w:pPr>
        <w:pStyle w:val="RubrikB"/>
      </w:pPr>
      <w:bookmarkStart w:id="3" w:name="_Toc531597707"/>
      <w:bookmarkStart w:id="4" w:name="_Toc536022285"/>
      <w:bookmarkStart w:id="5" w:name="_Toc26797532"/>
      <w:bookmarkStart w:id="6" w:name="_Toc135734073"/>
      <w:bookmarkStart w:id="7" w:name="_Toc136241768"/>
      <w:r>
        <w:t>Republikens presidents förslag</w:t>
      </w:r>
      <w:bookmarkEnd w:id="3"/>
      <w:bookmarkEnd w:id="4"/>
      <w:bookmarkEnd w:id="5"/>
      <w:bookmarkEnd w:id="6"/>
      <w:bookmarkEnd w:id="7"/>
    </w:p>
    <w:p w14:paraId="3D417E1E" w14:textId="77777777" w:rsidR="006E55CA" w:rsidRPr="006E55CA" w:rsidRDefault="006E55CA" w:rsidP="006E55CA">
      <w:pPr>
        <w:pStyle w:val="Rubrikmellanrum"/>
      </w:pPr>
    </w:p>
    <w:p w14:paraId="2510407B" w14:textId="1D717E8B" w:rsidR="00B63724" w:rsidRPr="00557EC5" w:rsidRDefault="002619A1" w:rsidP="00B63724">
      <w:pPr>
        <w:pStyle w:val="ANormal"/>
      </w:pPr>
      <w:r w:rsidRPr="00B63724">
        <w:t>Republikens president föreslår att Åland</w:t>
      </w:r>
      <w:r w:rsidR="006E55CA" w:rsidRPr="00B63724">
        <w:t>s</w:t>
      </w:r>
      <w:r w:rsidRPr="00B63724">
        <w:t xml:space="preserve"> </w:t>
      </w:r>
      <w:r w:rsidR="002B6EB2" w:rsidRPr="00B63724">
        <w:t xml:space="preserve">lagting </w:t>
      </w:r>
      <w:bookmarkStart w:id="8" w:name="_Toc524345509"/>
      <w:bookmarkStart w:id="9" w:name="_Toc528748836"/>
      <w:bookmarkStart w:id="10" w:name="_Toc531597708"/>
      <w:bookmarkStart w:id="11" w:name="_Toc536022286"/>
      <w:bookmarkStart w:id="12" w:name="_Toc26797533"/>
      <w:bookmarkStart w:id="13" w:name="_Toc41562745"/>
      <w:r w:rsidR="00B63724" w:rsidRPr="00476994">
        <w:t xml:space="preserve">ger sitt bifall till </w:t>
      </w:r>
      <w:r w:rsidR="00B63724" w:rsidRPr="00557EC5">
        <w:t xml:space="preserve">att </w:t>
      </w:r>
      <w:r w:rsidR="00557EC5" w:rsidRPr="00557EC5">
        <w:rPr>
          <w:lang w:val="en-US"/>
        </w:rPr>
        <w:t xml:space="preserve"> statsrådets förordning om ändringar i del II i bilaga III till 1992 års konvention om skydd av Östersjöområdets marina miljö </w:t>
      </w:r>
      <w:r w:rsidR="00B63724" w:rsidRPr="00557EC5">
        <w:t xml:space="preserve"> träder i kraft på Åland till de delar avtalet faller inom landskapets behörighet.</w:t>
      </w:r>
    </w:p>
    <w:p w14:paraId="001E0ACF" w14:textId="77777777" w:rsidR="00B63724" w:rsidRDefault="00B63724" w:rsidP="00B63724">
      <w:pPr>
        <w:pStyle w:val="ANormal"/>
      </w:pPr>
    </w:p>
    <w:p w14:paraId="2EC64E36" w14:textId="44587085" w:rsidR="002B6EB2" w:rsidRDefault="002B6EB2" w:rsidP="00FC7583">
      <w:pPr>
        <w:pStyle w:val="RubrikA"/>
      </w:pPr>
      <w:bookmarkStart w:id="14" w:name="_Toc135734074"/>
      <w:bookmarkStart w:id="15" w:name="_Toc136241769"/>
      <w:r>
        <w:t xml:space="preserve">Landskapsregeringens </w:t>
      </w:r>
      <w:r w:rsidR="00DD575F">
        <w:t>utlåtande</w:t>
      </w:r>
      <w:bookmarkEnd w:id="8"/>
      <w:bookmarkEnd w:id="9"/>
      <w:bookmarkEnd w:id="10"/>
      <w:bookmarkEnd w:id="11"/>
      <w:bookmarkEnd w:id="12"/>
      <w:bookmarkEnd w:id="13"/>
      <w:bookmarkEnd w:id="14"/>
      <w:bookmarkEnd w:id="15"/>
    </w:p>
    <w:p w14:paraId="684904AF" w14:textId="77777777" w:rsidR="005C4464" w:rsidRPr="005C4464" w:rsidRDefault="005C4464" w:rsidP="005C4464">
      <w:pPr>
        <w:pStyle w:val="Rubrikmellanrum"/>
      </w:pPr>
    </w:p>
    <w:p w14:paraId="4EF03573" w14:textId="77777777" w:rsidR="001D28D7" w:rsidRPr="001D28D7" w:rsidRDefault="00280A28" w:rsidP="00B63724">
      <w:pPr>
        <w:pStyle w:val="ANormal"/>
        <w:rPr>
          <w:rFonts w:eastAsiaTheme="minorHAnsi"/>
          <w:b/>
          <w:bCs/>
          <w:i/>
          <w:iCs/>
          <w:lang w:eastAsia="en-US"/>
        </w:rPr>
      </w:pPr>
      <w:bookmarkStart w:id="16" w:name="_Toc529800935"/>
      <w:r w:rsidRPr="001D28D7">
        <w:rPr>
          <w:rFonts w:eastAsiaTheme="minorHAnsi"/>
          <w:b/>
          <w:bCs/>
          <w:i/>
          <w:iCs/>
          <w:lang w:eastAsia="en-US"/>
        </w:rPr>
        <w:t>Skydd av Östersjöområdets marina miljö, HEL</w:t>
      </w:r>
      <w:r w:rsidR="001D28D7" w:rsidRPr="001D28D7">
        <w:rPr>
          <w:rFonts w:eastAsiaTheme="minorHAnsi"/>
          <w:b/>
          <w:bCs/>
          <w:i/>
          <w:iCs/>
          <w:lang w:eastAsia="en-US"/>
        </w:rPr>
        <w:t>COM-konventionen</w:t>
      </w:r>
    </w:p>
    <w:p w14:paraId="4B23E377" w14:textId="77777777" w:rsidR="001D28D7" w:rsidRPr="001D28D7" w:rsidRDefault="001D28D7" w:rsidP="00B63724">
      <w:pPr>
        <w:pStyle w:val="ANormal"/>
        <w:rPr>
          <w:rFonts w:eastAsiaTheme="minorHAnsi"/>
          <w:sz w:val="10"/>
          <w:szCs w:val="10"/>
          <w:lang w:eastAsia="en-US"/>
        </w:rPr>
      </w:pPr>
    </w:p>
    <w:p w14:paraId="07E7AE67" w14:textId="45E5AD8C" w:rsidR="00B63724" w:rsidRPr="00BA7A74" w:rsidRDefault="00B63724" w:rsidP="00B63724">
      <w:pPr>
        <w:pStyle w:val="ANormal"/>
        <w:rPr>
          <w:rFonts w:eastAsiaTheme="minorHAnsi"/>
          <w:lang w:eastAsia="en-US"/>
        </w:rPr>
      </w:pPr>
      <w:r>
        <w:rPr>
          <w:rFonts w:eastAsiaTheme="minorHAnsi"/>
          <w:lang w:eastAsia="en-US"/>
        </w:rPr>
        <w:t>HELCOM</w:t>
      </w:r>
      <w:r w:rsidR="00EB537E">
        <w:rPr>
          <w:rFonts w:eastAsiaTheme="minorHAnsi"/>
          <w:lang w:eastAsia="en-US"/>
        </w:rPr>
        <w:t>-konventionen</w:t>
      </w:r>
      <w:r>
        <w:rPr>
          <w:rFonts w:eastAsiaTheme="minorHAnsi"/>
          <w:lang w:eastAsia="en-US"/>
        </w:rPr>
        <w:t xml:space="preserve"> beslutade </w:t>
      </w:r>
      <w:r w:rsidR="00FE430B">
        <w:rPr>
          <w:rFonts w:eastAsiaTheme="minorHAnsi"/>
          <w:lang w:eastAsia="en-US"/>
        </w:rPr>
        <w:t xml:space="preserve">år </w:t>
      </w:r>
      <w:r>
        <w:rPr>
          <w:rFonts w:eastAsiaTheme="minorHAnsi"/>
          <w:lang w:eastAsia="en-US"/>
        </w:rPr>
        <w:t xml:space="preserve">1992 om en allmän överenskommelse för att skydda Östersjöområdets marina miljö. I samarbetet för att skydda Östersjöområdets marina miljö </w:t>
      </w:r>
      <w:r w:rsidRPr="00BA7A74">
        <w:rPr>
          <w:rFonts w:eastAsiaTheme="minorHAnsi"/>
          <w:lang w:eastAsia="en-US"/>
        </w:rPr>
        <w:t>har en handlingsplan för Östersjön (Baltic Sea Action Plan, BSAP)</w:t>
      </w:r>
      <w:r w:rsidR="00FC7583">
        <w:rPr>
          <w:rFonts w:eastAsiaTheme="minorHAnsi"/>
          <w:lang w:eastAsia="en-US"/>
        </w:rPr>
        <w:t xml:space="preserve"> tagits fram</w:t>
      </w:r>
      <w:r w:rsidRPr="00BA7A74">
        <w:rPr>
          <w:rFonts w:eastAsiaTheme="minorHAnsi"/>
          <w:lang w:eastAsia="en-US"/>
        </w:rPr>
        <w:t xml:space="preserve">. Målet är att Östersjön ska vara opåverkat av övergödning, ostört av miljögifter, ha en miljöanpassad sjöfart och en väl bevarad biologisk mångfald. </w:t>
      </w:r>
    </w:p>
    <w:p w14:paraId="5E1A6987" w14:textId="3C898C31" w:rsidR="00B63724" w:rsidRPr="002D1730" w:rsidRDefault="00FE430B" w:rsidP="00B63724">
      <w:pPr>
        <w:pStyle w:val="ANormal"/>
      </w:pPr>
      <w:r>
        <w:tab/>
      </w:r>
      <w:r w:rsidR="00B63724" w:rsidRPr="002D1730">
        <w:t xml:space="preserve">Bilaga III till 1992 års </w:t>
      </w:r>
      <w:r w:rsidR="00C01665">
        <w:t xml:space="preserve">allmänna överenskommelse </w:t>
      </w:r>
      <w:r w:rsidR="00B63724" w:rsidRPr="002D1730">
        <w:t>om skydd av Östersjöområdets marina miljö (FördrS 2/2000, nedan HELCOM-konventionen) gäller bedömningsgrunder och åtgärder för förhindrande av förorening från land. Del II i bilagan gäller belastning från jordbruk. Enligt bilagan ska konventionsparterna genomföra de åtgärder som anges i bilagan, beakta bästa miljöpraxis (BEP) och bästa tillgängliga teknik (BAT) för att minska belastningen från jordbruket. Dessutom ska avtalsparterna utarbeta anvisningar och rapportera till kommissionen.</w:t>
      </w:r>
    </w:p>
    <w:p w14:paraId="364F3E27" w14:textId="34BA0780" w:rsidR="00B63724" w:rsidRPr="002D1730" w:rsidRDefault="00FE430B" w:rsidP="00B63724">
      <w:pPr>
        <w:pStyle w:val="ANormal"/>
      </w:pPr>
      <w:r>
        <w:tab/>
      </w:r>
      <w:r w:rsidR="00B63724" w:rsidRPr="002D1730">
        <w:t>HELCOM</w:t>
      </w:r>
      <w:r w:rsidR="00C01665">
        <w:t xml:space="preserve">-konventionens </w:t>
      </w:r>
      <w:r w:rsidR="00B63724" w:rsidRPr="002D1730">
        <w:t>ministermöte beslutade den 20 oktober 2021 om ändring av del II i bilaga III till den allmänna överenskommelsen. Ändringar i bilagorna till HELCOM-</w:t>
      </w:r>
      <w:r w:rsidR="001D28D7">
        <w:t>konventionen</w:t>
      </w:r>
      <w:r w:rsidR="00B63724" w:rsidRPr="002D1730">
        <w:t xml:space="preserve"> ska i enlighet med artikel 32.3 anses ha blivit godkända efter utgången av den tid som kommissionen har fastställt, om inte en enda part under denna tid skriftligen har meddelat att </w:t>
      </w:r>
      <w:r w:rsidR="00B63724" w:rsidRPr="002D1730">
        <w:lastRenderedPageBreak/>
        <w:t>den motsätter sig ändringarna. Ändringarna i bilaga III till avtalet träd</w:t>
      </w:r>
      <w:r w:rsidR="00280A28">
        <w:t>de</w:t>
      </w:r>
      <w:r w:rsidR="00B63724" w:rsidRPr="002D1730">
        <w:t xml:space="preserve"> i enlighet med kommissionens beslut i kraft den 20 oktober 2022.</w:t>
      </w:r>
    </w:p>
    <w:p w14:paraId="0A2D0F01" w14:textId="5FBE9AD5" w:rsidR="00D42E46" w:rsidRPr="00D42E46" w:rsidRDefault="00C01665" w:rsidP="00D42E46">
      <w:pPr>
        <w:pStyle w:val="ANormal"/>
        <w:rPr>
          <w:lang w:val="sv-FI"/>
        </w:rPr>
      </w:pPr>
      <w:r>
        <w:tab/>
      </w:r>
      <w:r w:rsidR="00B63724" w:rsidRPr="002D1730">
        <w:t>Bestämmelserna gäller naturskydd, som enligt 18 § 10 punkten i självstyrelselagen för Åland (</w:t>
      </w:r>
      <w:r w:rsidR="00FE430B">
        <w:t xml:space="preserve">FFS </w:t>
      </w:r>
      <w:r w:rsidR="00B63724" w:rsidRPr="002D1730">
        <w:t>1144/1991) hör till landskapets lagstiftningsbehörighet</w:t>
      </w:r>
      <w:r w:rsidR="00FE430B">
        <w:t xml:space="preserve"> v</w:t>
      </w:r>
      <w:r w:rsidR="00B63724" w:rsidRPr="00CC2F3D">
        <w:t xml:space="preserve">arför republikens president </w:t>
      </w:r>
      <w:r w:rsidR="00FE430B">
        <w:t xml:space="preserve">inbegär </w:t>
      </w:r>
      <w:r w:rsidR="00B63724" w:rsidRPr="00CC2F3D">
        <w:t>lagting</w:t>
      </w:r>
      <w:r w:rsidR="00FE430B">
        <w:t>ets</w:t>
      </w:r>
      <w:r w:rsidR="00B63724" w:rsidRPr="00CC2F3D">
        <w:t xml:space="preserve"> </w:t>
      </w:r>
      <w:r w:rsidR="00FE430B">
        <w:t xml:space="preserve">bifall </w:t>
      </w:r>
      <w:r w:rsidR="00D42E46" w:rsidRPr="00D42E46">
        <w:t>till att förordningen träder i kraft på Åland till de delar avtalet faller inom landskapets behörighet.</w:t>
      </w:r>
    </w:p>
    <w:p w14:paraId="45947DE5" w14:textId="77777777" w:rsidR="00D42E46" w:rsidRDefault="00D42E46" w:rsidP="00D42E46">
      <w:pPr>
        <w:pStyle w:val="ANormal"/>
      </w:pPr>
      <w:r w:rsidRPr="00D42E46">
        <w:t> </w:t>
      </w:r>
    </w:p>
    <w:p w14:paraId="1F106D17" w14:textId="5C947E02" w:rsidR="00B63724" w:rsidRDefault="00B63724" w:rsidP="00D42E46">
      <w:pPr>
        <w:pStyle w:val="ANormal"/>
        <w:rPr>
          <w:b/>
          <w:bCs/>
          <w:i/>
          <w:iCs/>
        </w:rPr>
      </w:pPr>
      <w:r w:rsidRPr="00280A28">
        <w:rPr>
          <w:b/>
          <w:bCs/>
          <w:i/>
          <w:iCs/>
        </w:rPr>
        <w:t>EU</w:t>
      </w:r>
      <w:r w:rsidR="00280A28">
        <w:rPr>
          <w:b/>
          <w:bCs/>
          <w:i/>
          <w:iCs/>
        </w:rPr>
        <w:t>:</w:t>
      </w:r>
      <w:r w:rsidRPr="00280A28">
        <w:rPr>
          <w:b/>
          <w:bCs/>
          <w:i/>
          <w:iCs/>
        </w:rPr>
        <w:t>s ståndpunkt COM(2021) 534 final</w:t>
      </w:r>
    </w:p>
    <w:p w14:paraId="32379861" w14:textId="77777777" w:rsidR="00280A28" w:rsidRPr="00280A28" w:rsidRDefault="00280A28" w:rsidP="00D42E46">
      <w:pPr>
        <w:pStyle w:val="ANormal"/>
        <w:rPr>
          <w:b/>
          <w:bCs/>
          <w:i/>
          <w:iCs/>
          <w:sz w:val="10"/>
          <w:szCs w:val="10"/>
        </w:rPr>
      </w:pPr>
    </w:p>
    <w:p w14:paraId="2B9768E6" w14:textId="4D8CA00E" w:rsidR="00B63724" w:rsidRPr="009D4581" w:rsidRDefault="00B63724" w:rsidP="00B63724">
      <w:pPr>
        <w:pStyle w:val="ANormal"/>
      </w:pPr>
      <w:r>
        <w:t xml:space="preserve">Europeiska unionen är part i </w:t>
      </w:r>
      <w:r w:rsidR="001D28D7" w:rsidRPr="001D28D7">
        <w:rPr>
          <w:lang w:val="en-US"/>
        </w:rPr>
        <w:t>konvention</w:t>
      </w:r>
      <w:r w:rsidR="001D28D7">
        <w:rPr>
          <w:lang w:val="en-US"/>
        </w:rPr>
        <w:t>en</w:t>
      </w:r>
      <w:r w:rsidR="001D28D7" w:rsidRPr="001D28D7">
        <w:rPr>
          <w:lang w:val="en-US"/>
        </w:rPr>
        <w:t xml:space="preserve"> om skydd av Östersjöområdets marina miljö</w:t>
      </w:r>
      <w:r>
        <w:t xml:space="preserve"> och har fattat ett beslut </w:t>
      </w:r>
      <w:r w:rsidR="00280A28">
        <w:t xml:space="preserve">om </w:t>
      </w:r>
      <w:r>
        <w:t xml:space="preserve">att anta ändringen </w:t>
      </w:r>
      <w:r w:rsidR="001D28D7">
        <w:t xml:space="preserve">av del II i bilaga III </w:t>
      </w:r>
      <w:r>
        <w:t>i konventionen.</w:t>
      </w:r>
      <w:r w:rsidR="00280A28">
        <w:t xml:space="preserve"> </w:t>
      </w:r>
      <w:r>
        <w:t>Ändringen av del II i bilaga III till konventionen kommer att vara bindande för unionen. Eftersom ändringen av bilagan innebär en modernisering av kraven rörande skyddet av Östersjön, en ändring av EU:s internationella åtaganden och ambitioner och ett ökat skydd av miljön stöd</w:t>
      </w:r>
      <w:r w:rsidR="001D28D7">
        <w:t>jer</w:t>
      </w:r>
      <w:r>
        <w:t xml:space="preserve"> unionen antagandet av rekommendationen.</w:t>
      </w:r>
    </w:p>
    <w:p w14:paraId="6AA0181E" w14:textId="0B3A7483" w:rsidR="00B63724" w:rsidRDefault="00B63724" w:rsidP="00B63724">
      <w:pPr>
        <w:pStyle w:val="Rubrik6"/>
      </w:pPr>
      <w:r>
        <w:t>Landskapsregeringens utlåtande</w:t>
      </w:r>
    </w:p>
    <w:p w14:paraId="407AD896" w14:textId="77777777" w:rsidR="001D28D7" w:rsidRPr="001D28D7" w:rsidRDefault="001D28D7" w:rsidP="001D28D7">
      <w:pPr>
        <w:rPr>
          <w:sz w:val="10"/>
          <w:szCs w:val="10"/>
          <w:lang w:val="sv-SE"/>
        </w:rPr>
      </w:pPr>
    </w:p>
    <w:p w14:paraId="1ACA2B90" w14:textId="0EF56C35" w:rsidR="00B63724" w:rsidRDefault="00B63724" w:rsidP="00B63724">
      <w:pPr>
        <w:pStyle w:val="ANormal"/>
      </w:pPr>
      <w:r>
        <w:t xml:space="preserve">HELCOM-konventionen </w:t>
      </w:r>
      <w:r w:rsidR="00013252">
        <w:t>o</w:t>
      </w:r>
      <w:r>
        <w:t>ch aktionsplan</w:t>
      </w:r>
      <w:r w:rsidR="00013252">
        <w:t>en</w:t>
      </w:r>
      <w:r>
        <w:t xml:space="preserve"> för Östersjön (BSAP) är i linje med de krav som finns i EU-direktiv, FN</w:t>
      </w:r>
      <w:r w:rsidR="00D54D4F">
        <w:t>:</w:t>
      </w:r>
      <w:r>
        <w:t>s hållbarhetsmål och Bärkraftmålen. Landskapsregeringen arbetar aktivt med att genomföra så många som möjligt av BSAP:s åtgärder, vilket huvudsakligen genomförs genom de åtgärdsprogram som upprättats enligt vattendirektivets och havsmiljödirektivets krav. I övrigt genomförs jordbruksåtgärder genom CAP-strategin (EU-medel).</w:t>
      </w:r>
    </w:p>
    <w:p w14:paraId="7DB25FE1" w14:textId="26CBB110" w:rsidR="00B63724" w:rsidRDefault="00D54D4F" w:rsidP="00B63724">
      <w:pPr>
        <w:pStyle w:val="ANormal"/>
      </w:pPr>
      <w:r>
        <w:tab/>
      </w:r>
      <w:r w:rsidR="00B63724">
        <w:t>I HELCOM-rekommendation 42</w:t>
      </w:r>
      <w:r w:rsidR="0059594C">
        <w:t xml:space="preserve"> </w:t>
      </w:r>
      <w:r w:rsidR="00B63724">
        <w:t>-</w:t>
      </w:r>
      <w:r w:rsidR="0059594C">
        <w:t xml:space="preserve"> </w:t>
      </w:r>
      <w:r w:rsidR="00B63724">
        <w:t>43/2, reviderad bilaga III, del II, regel 1 och allmänna bestämmelser st</w:t>
      </w:r>
      <w:r w:rsidR="00C01665">
        <w:t>adgas att</w:t>
      </w:r>
      <w:r w:rsidR="00B63724">
        <w:t xml:space="preserve">: ”I enlighet med de relevanta delarna i denna konvention ska de fördragsslutande parterna vidta de åtgärder som beskrivs och ta hänsyn till de bästa miljövårdsmetoderna (BEP) och bästa tillgängliga teknik (BAT) för att minska föroreningarna från jordbruket. De fördragsslutande parterna ska utarbeta riktlinjer för de ämnesområden som beskrivs i bilagan”. </w:t>
      </w:r>
      <w:r w:rsidR="00C01665">
        <w:t xml:space="preserve">I rekommendationen finns 6 regler </w:t>
      </w:r>
      <w:r w:rsidR="00B63724">
        <w:t>med underliggande punkter</w:t>
      </w:r>
      <w:r w:rsidR="00C01665">
        <w:t xml:space="preserve">. </w:t>
      </w:r>
    </w:p>
    <w:p w14:paraId="451F0171" w14:textId="610153B1" w:rsidR="00B06C51" w:rsidRPr="004E0900" w:rsidRDefault="0059594C" w:rsidP="005C5C3D">
      <w:pPr>
        <w:pStyle w:val="ANormal"/>
        <w:numPr>
          <w:ilvl w:val="2"/>
          <w:numId w:val="39"/>
        </w:numPr>
      </w:pPr>
      <w:r>
        <w:tab/>
      </w:r>
      <w:r w:rsidR="00B63724">
        <w:t xml:space="preserve">Regel 2 handlar om växtnäring och definitioner. I </w:t>
      </w:r>
      <w:r w:rsidR="00324BCF">
        <w:t xml:space="preserve">regel </w:t>
      </w:r>
      <w:r w:rsidR="00B63724">
        <w:t>2</w:t>
      </w:r>
      <w:r w:rsidR="00324BCF">
        <w:t xml:space="preserve">.2 </w:t>
      </w:r>
      <w:r w:rsidR="00B63724" w:rsidRPr="004E0900">
        <w:rPr>
          <w:i/>
          <w:iCs/>
        </w:rPr>
        <w:t>Inledning</w:t>
      </w:r>
      <w:r w:rsidR="00B63724">
        <w:t xml:space="preserve"> framgår att </w:t>
      </w:r>
      <w:r w:rsidR="00B63724" w:rsidRPr="00D31599">
        <w:t>de fördragsslutande parterna ska införa grundprinciper i sin nationella lagstiftning eller i sina riktlinjer</w:t>
      </w:r>
      <w:r w:rsidR="00B63724">
        <w:t xml:space="preserve"> och anpassa dem efter omständigheter i landet i syfte att minska de skadliga verkningarna av jordbruket på miljön.</w:t>
      </w:r>
      <w:r w:rsidR="00F519C8">
        <w:t xml:space="preserve"> </w:t>
      </w:r>
      <w:r w:rsidR="00B06C51">
        <w:t xml:space="preserve">Landskapsregeringen konstaterar att </w:t>
      </w:r>
      <w:r w:rsidR="00327FC2">
        <w:t xml:space="preserve">regel 2.2 punkterna </w:t>
      </w:r>
      <w:r w:rsidR="00B63724">
        <w:t>3</w:t>
      </w:r>
      <w:r w:rsidR="00327FC2">
        <w:t xml:space="preserve"> </w:t>
      </w:r>
      <w:r w:rsidR="00B63724">
        <w:t>-</w:t>
      </w:r>
      <w:r w:rsidR="00327FC2">
        <w:t xml:space="preserve"> 1</w:t>
      </w:r>
      <w:r w:rsidR="00B63724">
        <w:t>2</w:t>
      </w:r>
      <w:r w:rsidR="00F519C8">
        <w:t xml:space="preserve"> </w:t>
      </w:r>
      <w:r w:rsidR="00B06C51">
        <w:t xml:space="preserve">som gäller </w:t>
      </w:r>
      <w:r w:rsidR="00B63724">
        <w:t>djurtäthet, avloppsvatten från jordbruket, mängden näringsämnen, minskade ammoniakutsläpp, täckgrödor under vintern</w:t>
      </w:r>
      <w:r w:rsidR="00B06C51">
        <w:t>,</w:t>
      </w:r>
      <w:r w:rsidR="00B63724">
        <w:t xml:space="preserve"> vattenskyddsåtgärder (skyddszoner vid behov och våtmarker)</w:t>
      </w:r>
      <w:r w:rsidR="00B06C51">
        <w:t xml:space="preserve"> och återvinning av näringsämnen huvudsakligen genomförs genom gällande lagstiftning</w:t>
      </w:r>
      <w:r w:rsidR="00D21C85">
        <w:t xml:space="preserve"> och CAP-strategin.</w:t>
      </w:r>
      <w:r w:rsidR="00327FC2">
        <w:t xml:space="preserve"> </w:t>
      </w:r>
      <w:r w:rsidR="00C01665">
        <w:t>A</w:t>
      </w:r>
      <w:r w:rsidR="00327FC2" w:rsidRPr="00327FC2">
        <w:rPr>
          <w:lang w:val="sv-FI"/>
        </w:rPr>
        <w:t>lla</w:t>
      </w:r>
      <w:r w:rsidR="00BE0358" w:rsidRPr="004E0900">
        <w:rPr>
          <w:lang w:val="sv-FI"/>
        </w:rPr>
        <w:t xml:space="preserve"> </w:t>
      </w:r>
      <w:r w:rsidR="00327FC2" w:rsidRPr="00327FC2">
        <w:rPr>
          <w:lang w:val="sv-FI"/>
        </w:rPr>
        <w:t>jordbrukare som erhåller EU:s jordbruksstöd måste följa villkorlighetens goda odlingsmetoder som fastställ</w:t>
      </w:r>
      <w:r w:rsidR="00BE0358" w:rsidRPr="004E0900">
        <w:rPr>
          <w:lang w:val="sv-FI"/>
        </w:rPr>
        <w:t>t</w:t>
      </w:r>
      <w:r w:rsidR="00327FC2" w:rsidRPr="00327FC2">
        <w:rPr>
          <w:lang w:val="sv-FI"/>
        </w:rPr>
        <w:t xml:space="preserve">s i </w:t>
      </w:r>
      <w:r w:rsidR="00327FC2" w:rsidRPr="004E0900">
        <w:rPr>
          <w:lang w:val="sv-FI"/>
        </w:rPr>
        <w:t>statsrådets förordning om krav enligt Europeiska unionen och de nationella stöden till jordbrukare avseende god jordbrukshävd och goda miljöförhållanden (FFS</w:t>
      </w:r>
      <w:r w:rsidR="00327FC2" w:rsidRPr="00327FC2">
        <w:rPr>
          <w:lang w:val="sv-FI"/>
        </w:rPr>
        <w:t xml:space="preserve"> 1384/2022</w:t>
      </w:r>
      <w:r w:rsidR="00327FC2" w:rsidRPr="004E0900">
        <w:rPr>
          <w:lang w:val="sv-FI"/>
        </w:rPr>
        <w:t>)</w:t>
      </w:r>
      <w:r w:rsidR="00327FC2" w:rsidRPr="00327FC2">
        <w:rPr>
          <w:lang w:val="sv-FI"/>
        </w:rPr>
        <w:t>.</w:t>
      </w:r>
      <w:r w:rsidR="00327FC2" w:rsidRPr="004E0900">
        <w:rPr>
          <w:lang w:val="sv-FI"/>
        </w:rPr>
        <w:t xml:space="preserve"> </w:t>
      </w:r>
      <w:r w:rsidR="00327FC2" w:rsidRPr="00327FC2">
        <w:rPr>
          <w:lang w:val="sv-FI"/>
        </w:rPr>
        <w:t xml:space="preserve">I dem ingår krav på </w:t>
      </w:r>
      <w:r w:rsidR="00327FC2" w:rsidRPr="004E0900">
        <w:rPr>
          <w:lang w:val="sv-FI"/>
        </w:rPr>
        <w:t xml:space="preserve">en tre </w:t>
      </w:r>
      <w:r w:rsidR="00327FC2" w:rsidRPr="00327FC2">
        <w:rPr>
          <w:lang w:val="sv-FI"/>
        </w:rPr>
        <w:t>meter bred skyddsremsa mot vattendrag (7§) och krav på att minst 33</w:t>
      </w:r>
      <w:r w:rsidR="00CE55FE" w:rsidRPr="004E0900">
        <w:rPr>
          <w:lang w:val="sv-FI"/>
        </w:rPr>
        <w:t xml:space="preserve"> procent </w:t>
      </w:r>
      <w:r w:rsidR="00327FC2" w:rsidRPr="00327FC2">
        <w:rPr>
          <w:lang w:val="sv-FI"/>
        </w:rPr>
        <w:t xml:space="preserve">av gårdens åkerareal ska ha </w:t>
      </w:r>
      <w:r w:rsidR="00CE55FE" w:rsidRPr="004E0900">
        <w:rPr>
          <w:lang w:val="sv-FI"/>
        </w:rPr>
        <w:t xml:space="preserve">ett </w:t>
      </w:r>
      <w:r w:rsidR="00327FC2" w:rsidRPr="00327FC2">
        <w:rPr>
          <w:lang w:val="sv-FI"/>
        </w:rPr>
        <w:t>marktäcke under tiden 31.10. – 15.3 (9§).</w:t>
      </w:r>
      <w:r w:rsidR="00CE55FE" w:rsidRPr="004E0900">
        <w:rPr>
          <w:lang w:val="sv-FI"/>
        </w:rPr>
        <w:t xml:space="preserve"> Vad gäller regel 2.2 punkt 9 sägs att i</w:t>
      </w:r>
      <w:r w:rsidR="00327FC2" w:rsidRPr="00327FC2">
        <w:rPr>
          <w:lang w:val="sv-FI"/>
        </w:rPr>
        <w:t xml:space="preserve"> miljösystemstödet</w:t>
      </w:r>
      <w:r w:rsidR="00CE55FE" w:rsidRPr="004E0900">
        <w:rPr>
          <w:lang w:val="sv-FI"/>
        </w:rPr>
        <w:t xml:space="preserve">, </w:t>
      </w:r>
      <w:r w:rsidR="00327FC2" w:rsidRPr="00327FC2">
        <w:rPr>
          <w:lang w:val="sv-FI"/>
        </w:rPr>
        <w:t>som är frivilligt för odlarna</w:t>
      </w:r>
      <w:r w:rsidR="00CE55FE" w:rsidRPr="004E0900">
        <w:rPr>
          <w:lang w:val="sv-FI"/>
        </w:rPr>
        <w:t xml:space="preserve">, </w:t>
      </w:r>
      <w:r w:rsidR="00327FC2" w:rsidRPr="00327FC2">
        <w:rPr>
          <w:lang w:val="sv-FI"/>
        </w:rPr>
        <w:t xml:space="preserve">kan ersättning </w:t>
      </w:r>
      <w:r w:rsidR="00CE55FE" w:rsidRPr="004E0900">
        <w:rPr>
          <w:lang w:val="sv-FI"/>
        </w:rPr>
        <w:t xml:space="preserve">fås </w:t>
      </w:r>
      <w:r w:rsidR="00327FC2" w:rsidRPr="00327FC2">
        <w:rPr>
          <w:lang w:val="sv-FI"/>
        </w:rPr>
        <w:t xml:space="preserve">för ett växttäcke </w:t>
      </w:r>
      <w:r w:rsidR="00C01665">
        <w:rPr>
          <w:lang w:val="sv-FI"/>
        </w:rPr>
        <w:t xml:space="preserve">i </w:t>
      </w:r>
      <w:r w:rsidR="00327FC2" w:rsidRPr="00327FC2">
        <w:rPr>
          <w:lang w:val="sv-FI"/>
        </w:rPr>
        <w:t>enlig</w:t>
      </w:r>
      <w:r w:rsidR="00C01665">
        <w:rPr>
          <w:lang w:val="sv-FI"/>
        </w:rPr>
        <w:t xml:space="preserve">het med </w:t>
      </w:r>
      <w:r w:rsidR="00327FC2" w:rsidRPr="00327FC2">
        <w:rPr>
          <w:lang w:val="sv-FI"/>
        </w:rPr>
        <w:t xml:space="preserve">12 § i </w:t>
      </w:r>
      <w:r w:rsidR="00CE55FE" w:rsidRPr="004E0900">
        <w:rPr>
          <w:lang w:val="sv-FI"/>
        </w:rPr>
        <w:t>s</w:t>
      </w:r>
      <w:r w:rsidR="00327FC2" w:rsidRPr="00327FC2">
        <w:rPr>
          <w:lang w:val="sv-FI"/>
        </w:rPr>
        <w:t xml:space="preserve">tatsrådets förordning </w:t>
      </w:r>
      <w:r w:rsidR="00BE0358" w:rsidRPr="004E0900">
        <w:rPr>
          <w:lang w:val="sv-FI"/>
        </w:rPr>
        <w:t xml:space="preserve">om sådant från produktionen frikopplat direktstöd till jordbruket som betalas för 2023 </w:t>
      </w:r>
      <w:r w:rsidR="00CE55FE" w:rsidRPr="004E0900">
        <w:rPr>
          <w:lang w:val="sv-FI"/>
        </w:rPr>
        <w:t xml:space="preserve">(FFS </w:t>
      </w:r>
      <w:r w:rsidR="00327FC2" w:rsidRPr="00327FC2">
        <w:rPr>
          <w:lang w:val="sv-FI"/>
        </w:rPr>
        <w:t>126/2023</w:t>
      </w:r>
      <w:r w:rsidR="00CE55FE" w:rsidRPr="004E0900">
        <w:rPr>
          <w:lang w:val="sv-FI"/>
        </w:rPr>
        <w:t>)</w:t>
      </w:r>
      <w:r w:rsidR="00327FC2" w:rsidRPr="00327FC2">
        <w:rPr>
          <w:lang w:val="sv-FI"/>
        </w:rPr>
        <w:t xml:space="preserve">. </w:t>
      </w:r>
      <w:r w:rsidR="00C01665">
        <w:rPr>
          <w:lang w:val="sv-FI"/>
        </w:rPr>
        <w:t>Vad gäller regel</w:t>
      </w:r>
      <w:r w:rsidR="004E0900" w:rsidRPr="004E0900">
        <w:rPr>
          <w:lang w:val="sv-FI"/>
        </w:rPr>
        <w:t xml:space="preserve"> 2.2 punkt 10 om vattenskyddsåtgärder </w:t>
      </w:r>
      <w:r w:rsidR="00C01665">
        <w:rPr>
          <w:lang w:val="sv-FI"/>
        </w:rPr>
        <w:t xml:space="preserve">konstateras att det </w:t>
      </w:r>
      <w:r w:rsidR="004E0900" w:rsidRPr="004E0900">
        <w:rPr>
          <w:lang w:val="sv-FI"/>
        </w:rPr>
        <w:t>finns m</w:t>
      </w:r>
      <w:r w:rsidR="00327FC2" w:rsidRPr="00327FC2">
        <w:rPr>
          <w:lang w:val="sv-FI"/>
        </w:rPr>
        <w:t>öjlig</w:t>
      </w:r>
      <w:r w:rsidR="00BE0358" w:rsidRPr="004E0900">
        <w:rPr>
          <w:lang w:val="sv-FI"/>
        </w:rPr>
        <w:t xml:space="preserve">het </w:t>
      </w:r>
      <w:r w:rsidR="00327FC2" w:rsidRPr="00327FC2">
        <w:rPr>
          <w:lang w:val="sv-FI"/>
        </w:rPr>
        <w:t>att få ersättning för att anlägga en våtmark</w:t>
      </w:r>
      <w:r w:rsidR="00361E12">
        <w:rPr>
          <w:lang w:val="sv-FI"/>
        </w:rPr>
        <w:t xml:space="preserve"> och för regel </w:t>
      </w:r>
      <w:r w:rsidR="004E0900" w:rsidRPr="004E0900">
        <w:rPr>
          <w:lang w:val="sv-FI"/>
        </w:rPr>
        <w:t xml:space="preserve">2.2 punkt 12 om återvinning av näringsämnen att  det i </w:t>
      </w:r>
      <w:r w:rsidR="00327FC2" w:rsidRPr="00327FC2">
        <w:rPr>
          <w:lang w:val="sv-FI"/>
        </w:rPr>
        <w:t>miljöersättningen finns en frivillig åtgärd för främjande av cirkulär ekonomi</w:t>
      </w:r>
      <w:r w:rsidR="004E0900" w:rsidRPr="004E0900">
        <w:rPr>
          <w:lang w:val="sv-FI"/>
        </w:rPr>
        <w:t>,</w:t>
      </w:r>
      <w:r w:rsidR="00327FC2" w:rsidRPr="00327FC2">
        <w:rPr>
          <w:lang w:val="sv-FI"/>
        </w:rPr>
        <w:t xml:space="preserve"> vilket innebär att odlaren ska sprida </w:t>
      </w:r>
      <w:r w:rsidR="00327FC2" w:rsidRPr="00327FC2">
        <w:rPr>
          <w:lang w:val="sv-FI"/>
        </w:rPr>
        <w:lastRenderedPageBreak/>
        <w:t>flytande organiska gödselmedel med en placerande eller nedmyllande utrustning och att en växtodlingsgård kan få ersättning för att ta emot och sprida organiskt material från en husdjursgård.</w:t>
      </w:r>
    </w:p>
    <w:p w14:paraId="4A614EBD" w14:textId="6CA64A0D" w:rsidR="0046027A" w:rsidRPr="0046027A" w:rsidRDefault="0046027A" w:rsidP="0046027A">
      <w:pPr>
        <w:pStyle w:val="ANormal"/>
        <w:rPr>
          <w:lang w:val="sv-FI"/>
        </w:rPr>
      </w:pPr>
      <w:r>
        <w:tab/>
        <w:t>R</w:t>
      </w:r>
      <w:r w:rsidR="00B63724">
        <w:t>egel 3 om växtskyddsmedel</w:t>
      </w:r>
      <w:r w:rsidR="004E0900">
        <w:t xml:space="preserve">, </w:t>
      </w:r>
      <w:r w:rsidR="00B63724">
        <w:t>regel 4 om miljötillstånd, regel 5 om övervakning och utvärdering samt regel 6 om utbildnings-, informations- och rådgivningstjänster</w:t>
      </w:r>
      <w:r w:rsidR="004E0900">
        <w:t xml:space="preserve"> genomförs enligt landskapsregeringen </w:t>
      </w:r>
      <w:r w:rsidR="00361E12">
        <w:t xml:space="preserve">genom </w:t>
      </w:r>
      <w:r w:rsidR="004E0900">
        <w:t>riktlinjer</w:t>
      </w:r>
      <w:r w:rsidRPr="0046027A">
        <w:rPr>
          <w:rFonts w:ascii="Segoe UI" w:hAnsi="Segoe UI" w:cs="Segoe UI"/>
          <w:color w:val="555555"/>
          <w:lang w:val="sv-FI" w:eastAsia="sv-FI"/>
        </w:rPr>
        <w:t xml:space="preserve"> </w:t>
      </w:r>
      <w:r w:rsidRPr="0046027A">
        <w:rPr>
          <w:lang w:val="sv-FI"/>
        </w:rPr>
        <w:t xml:space="preserve">och </w:t>
      </w:r>
      <w:r>
        <w:rPr>
          <w:lang w:val="sv-FI"/>
        </w:rPr>
        <w:t xml:space="preserve">befintlig </w:t>
      </w:r>
      <w:r w:rsidRPr="0046027A">
        <w:rPr>
          <w:lang w:val="sv-FI"/>
        </w:rPr>
        <w:t>lagstiftning</w:t>
      </w:r>
      <w:r w:rsidR="00F72A4B">
        <w:rPr>
          <w:lang w:val="sv-FI"/>
        </w:rPr>
        <w:t xml:space="preserve"> som</w:t>
      </w:r>
      <w:r>
        <w:rPr>
          <w:lang w:val="sv-FI"/>
        </w:rPr>
        <w:t xml:space="preserve"> v</w:t>
      </w:r>
      <w:r w:rsidRPr="0046027A">
        <w:rPr>
          <w:lang w:val="sv-FI"/>
        </w:rPr>
        <w:t>attenlag (1996:61) för landskapet Åland</w:t>
      </w:r>
      <w:r w:rsidR="00F72A4B">
        <w:rPr>
          <w:lang w:val="sv-FI"/>
        </w:rPr>
        <w:t xml:space="preserve"> </w:t>
      </w:r>
      <w:r>
        <w:rPr>
          <w:lang w:val="sv-FI"/>
        </w:rPr>
        <w:t>och</w:t>
      </w:r>
      <w:r w:rsidR="00F72A4B">
        <w:rPr>
          <w:lang w:val="sv-FI"/>
        </w:rPr>
        <w:t xml:space="preserve"> </w:t>
      </w:r>
      <w:r w:rsidR="00F72A4B" w:rsidRPr="00F72A4B">
        <w:rPr>
          <w:lang w:val="sv-FI"/>
        </w:rPr>
        <w:t>Ålands landskapsregerings beslut (2016:41) om begränsning av utsläpp i vatten av nitrater från jordbruket, nitratbeslutet</w:t>
      </w:r>
      <w:r w:rsidR="00F72A4B">
        <w:rPr>
          <w:lang w:val="sv-FI"/>
        </w:rPr>
        <w:t xml:space="preserve"> </w:t>
      </w:r>
      <w:r>
        <w:rPr>
          <w:lang w:val="sv-FI"/>
        </w:rPr>
        <w:t xml:space="preserve">samt </w:t>
      </w:r>
      <w:r w:rsidRPr="0046027A">
        <w:rPr>
          <w:lang w:val="sv-FI"/>
        </w:rPr>
        <w:t>den lagstiftning och de förordningar som jordbruksbyrån ansvarar för.</w:t>
      </w:r>
    </w:p>
    <w:p w14:paraId="121690BD" w14:textId="1B599C6A" w:rsidR="0046027A" w:rsidRPr="0046027A" w:rsidRDefault="00B1300A" w:rsidP="0046027A">
      <w:pPr>
        <w:pStyle w:val="ANormal"/>
        <w:rPr>
          <w:lang w:val="sv-FI"/>
        </w:rPr>
      </w:pPr>
      <w:r>
        <w:rPr>
          <w:lang w:val="sv-FI"/>
        </w:rPr>
        <w:tab/>
        <w:t xml:space="preserve">Av landskapsregeringens utlåtande framgår vidare att det i </w:t>
      </w:r>
      <w:r w:rsidR="0046027A" w:rsidRPr="0046027A">
        <w:rPr>
          <w:lang w:val="sv-FI"/>
        </w:rPr>
        <w:t xml:space="preserve">jordbrukets nya CAP-strategi finns riktlinjer och krav uppställda för bästa miljöpraxis och bästa tillgängliga teknik för att minska belastningen från jordbruk, vilket är i linje med både </w:t>
      </w:r>
      <w:r>
        <w:rPr>
          <w:lang w:val="sv-FI"/>
        </w:rPr>
        <w:t>B</w:t>
      </w:r>
      <w:r w:rsidR="0046027A" w:rsidRPr="0046027A">
        <w:rPr>
          <w:lang w:val="sv-FI"/>
        </w:rPr>
        <w:t xml:space="preserve">SAP och EU-kraven. </w:t>
      </w:r>
    </w:p>
    <w:p w14:paraId="405BBAD4" w14:textId="77777777" w:rsidR="00F72A4B" w:rsidRDefault="0046027A" w:rsidP="00F72A4B">
      <w:pPr>
        <w:pStyle w:val="ANormal"/>
        <w:rPr>
          <w:lang w:val="sv-FI"/>
        </w:rPr>
      </w:pPr>
      <w:r w:rsidRPr="0046027A">
        <w:rPr>
          <w:lang w:val="sv-FI"/>
        </w:rPr>
        <w:t> </w:t>
      </w:r>
    </w:p>
    <w:p w14:paraId="5030C602" w14:textId="701713B3" w:rsidR="00B63724" w:rsidRDefault="00F72A4B" w:rsidP="00F72A4B">
      <w:pPr>
        <w:pStyle w:val="ANormal"/>
        <w:rPr>
          <w:b/>
          <w:bCs/>
          <w:i/>
          <w:iCs/>
        </w:rPr>
      </w:pPr>
      <w:r w:rsidRPr="00F72A4B">
        <w:rPr>
          <w:b/>
          <w:bCs/>
          <w:i/>
          <w:iCs/>
        </w:rPr>
        <w:t>S</w:t>
      </w:r>
      <w:r w:rsidR="00B63724" w:rsidRPr="00F72A4B">
        <w:rPr>
          <w:b/>
          <w:bCs/>
          <w:i/>
          <w:iCs/>
        </w:rPr>
        <w:t>lutsatser</w:t>
      </w:r>
    </w:p>
    <w:p w14:paraId="6872F202" w14:textId="77777777" w:rsidR="00F72A4B" w:rsidRPr="00F72A4B" w:rsidRDefault="00F72A4B" w:rsidP="00F72A4B">
      <w:pPr>
        <w:pStyle w:val="ANormal"/>
        <w:rPr>
          <w:b/>
          <w:bCs/>
          <w:i/>
          <w:iCs/>
          <w:sz w:val="10"/>
          <w:szCs w:val="10"/>
        </w:rPr>
      </w:pPr>
    </w:p>
    <w:p w14:paraId="14B3741A" w14:textId="57D258C3" w:rsidR="00B63724" w:rsidRDefault="00B63724" w:rsidP="00B63724">
      <w:pPr>
        <w:pStyle w:val="ANormal"/>
      </w:pPr>
      <w:r w:rsidRPr="00613394">
        <w:t>Landskapsregering</w:t>
      </w:r>
      <w:r w:rsidR="00B1300A">
        <w:t>en</w:t>
      </w:r>
      <w:r w:rsidRPr="00613394">
        <w:t xml:space="preserve"> </w:t>
      </w:r>
      <w:r w:rsidR="00B1300A">
        <w:t xml:space="preserve">konstaterar avslutningsvis att </w:t>
      </w:r>
      <w:r w:rsidRPr="00613394">
        <w:t xml:space="preserve">nitratbeslutet </w:t>
      </w:r>
      <w:r w:rsidR="00B1300A">
        <w:t xml:space="preserve">behöver ses över samt </w:t>
      </w:r>
      <w:r w:rsidR="00A56415">
        <w:t xml:space="preserve">att </w:t>
      </w:r>
      <w:r w:rsidR="00B1300A">
        <w:t>n</w:t>
      </w:r>
      <w:r>
        <w:t xml:space="preserve">ågra av </w:t>
      </w:r>
      <w:r w:rsidRPr="00613394">
        <w:t>de EU-definitioner som anges i regel 2.1</w:t>
      </w:r>
      <w:r>
        <w:t xml:space="preserve"> </w:t>
      </w:r>
      <w:r w:rsidRPr="00613394">
        <w:t>punkt 1-</w:t>
      </w:r>
      <w:r w:rsidR="00B1300A">
        <w:t xml:space="preserve"> </w:t>
      </w:r>
      <w:r w:rsidRPr="00613394">
        <w:t>20</w:t>
      </w:r>
      <w:r w:rsidR="00B1300A">
        <w:t xml:space="preserve"> </w:t>
      </w:r>
      <w:r w:rsidR="00FC7583">
        <w:t>behöver</w:t>
      </w:r>
      <w:r w:rsidR="00B1300A">
        <w:t xml:space="preserve"> införas, vilket </w:t>
      </w:r>
      <w:r w:rsidR="00A56415">
        <w:t xml:space="preserve">enligt landskapsregeringen </w:t>
      </w:r>
      <w:r w:rsidRPr="00613394">
        <w:t>kan genomföras i samband med uppdateringen av vattenlagen och vattenförordningen</w:t>
      </w:r>
      <w:r w:rsidR="00A56415">
        <w:t xml:space="preserve">. </w:t>
      </w:r>
      <w:r w:rsidRPr="00613394">
        <w:t>I övrigt konstaterar landskapsregeringen att ändringarna i bilagorna till HELCOM-</w:t>
      </w:r>
      <w:r w:rsidR="00B1300A">
        <w:t>konventionen</w:t>
      </w:r>
      <w:r w:rsidR="00A56415">
        <w:t xml:space="preserve"> </w:t>
      </w:r>
      <w:r w:rsidRPr="00613394">
        <w:t>inte står i strid med självstyrelselagen eller annan landskapslagstiftning</w:t>
      </w:r>
      <w:r>
        <w:t>.</w:t>
      </w:r>
    </w:p>
    <w:p w14:paraId="1D185DDA" w14:textId="77777777" w:rsidR="00D42E46" w:rsidRPr="00613394" w:rsidRDefault="00D42E46" w:rsidP="00B63724">
      <w:pPr>
        <w:pStyle w:val="ANormal"/>
      </w:pPr>
    </w:p>
    <w:p w14:paraId="41FBCF4F" w14:textId="4D0ADC75" w:rsidR="002401D0" w:rsidRDefault="00D42E46" w:rsidP="00FC7583">
      <w:pPr>
        <w:pStyle w:val="RubrikA"/>
      </w:pPr>
      <w:bookmarkStart w:id="17" w:name="_Toc136241770"/>
      <w:r>
        <w:t>U</w:t>
      </w:r>
      <w:r w:rsidR="002401D0">
        <w:t xml:space="preserve">tskottets </w:t>
      </w:r>
      <w:r w:rsidR="0030183C">
        <w:t>förslag</w:t>
      </w:r>
      <w:bookmarkEnd w:id="16"/>
      <w:bookmarkEnd w:id="17"/>
    </w:p>
    <w:p w14:paraId="03C00D9E" w14:textId="4AA59F7D" w:rsidR="00530FB7" w:rsidRPr="00FB59E1" w:rsidRDefault="00530FB7" w:rsidP="00B63724">
      <w:pPr>
        <w:pStyle w:val="ANormal"/>
        <w:rPr>
          <w:sz w:val="10"/>
          <w:szCs w:val="10"/>
        </w:rPr>
      </w:pPr>
    </w:p>
    <w:p w14:paraId="4EE458D9" w14:textId="490FFDD9" w:rsidR="00530FB7" w:rsidRPr="00530FB7" w:rsidRDefault="00530FB7" w:rsidP="00B63724">
      <w:pPr>
        <w:pStyle w:val="ANormal"/>
      </w:pPr>
      <w:r w:rsidRPr="00530FB7">
        <w:rPr>
          <w:lang w:val="en-US"/>
        </w:rPr>
        <w:t xml:space="preserve">Utskottet </w:t>
      </w:r>
      <w:r w:rsidR="0030183C">
        <w:rPr>
          <w:lang w:val="en-US"/>
        </w:rPr>
        <w:t xml:space="preserve">föreslår att lagtinget </w:t>
      </w:r>
      <w:r w:rsidRPr="00530FB7">
        <w:rPr>
          <w:lang w:val="en-US"/>
        </w:rPr>
        <w:t xml:space="preserve">ger </w:t>
      </w:r>
      <w:r w:rsidR="00FB59E1">
        <w:rPr>
          <w:lang w:val="en-US"/>
        </w:rPr>
        <w:t xml:space="preserve">det </w:t>
      </w:r>
      <w:r w:rsidR="00B1252F">
        <w:rPr>
          <w:lang w:val="en-US"/>
        </w:rPr>
        <w:t>b</w:t>
      </w:r>
      <w:r w:rsidR="00FB59E1">
        <w:rPr>
          <w:lang w:val="en-US"/>
        </w:rPr>
        <w:t>e</w:t>
      </w:r>
      <w:r w:rsidR="00B1252F">
        <w:rPr>
          <w:lang w:val="en-US"/>
        </w:rPr>
        <w:t xml:space="preserve">gärda bifallet. </w:t>
      </w:r>
      <w:r>
        <w:rPr>
          <w:lang w:val="en-US"/>
        </w:rPr>
        <w:t xml:space="preserve"> </w:t>
      </w:r>
    </w:p>
    <w:p w14:paraId="744CD48D" w14:textId="77777777" w:rsidR="002401D0" w:rsidRDefault="002401D0">
      <w:pPr>
        <w:pStyle w:val="Rubrikmellanrum"/>
      </w:pPr>
    </w:p>
    <w:p w14:paraId="65C65116" w14:textId="77777777" w:rsidR="00E84AB7" w:rsidRDefault="00E84AB7">
      <w:pPr>
        <w:pStyle w:val="ANormal"/>
      </w:pPr>
    </w:p>
    <w:p w14:paraId="1C96947C" w14:textId="77777777" w:rsidR="002401D0" w:rsidRDefault="002401D0">
      <w:pPr>
        <w:pStyle w:val="RubrikA"/>
      </w:pPr>
      <w:bookmarkStart w:id="18" w:name="_Toc529800936"/>
      <w:bookmarkStart w:id="19" w:name="_Toc135734075"/>
      <w:bookmarkStart w:id="20" w:name="_Toc136241771"/>
      <w:r>
        <w:t>Ärendets behandling</w:t>
      </w:r>
      <w:bookmarkEnd w:id="18"/>
      <w:bookmarkEnd w:id="19"/>
      <w:bookmarkEnd w:id="20"/>
    </w:p>
    <w:p w14:paraId="57CB2A58" w14:textId="77777777" w:rsidR="002401D0" w:rsidRDefault="002401D0">
      <w:pPr>
        <w:pStyle w:val="Rubrikmellanrum"/>
      </w:pPr>
    </w:p>
    <w:p w14:paraId="42AE9280" w14:textId="2D042D7E" w:rsidR="00085342" w:rsidRDefault="00E46DAA" w:rsidP="00E46DAA">
      <w:pPr>
        <w:pStyle w:val="ANormal"/>
      </w:pPr>
      <w:r>
        <w:t xml:space="preserve">Lagtinget har den </w:t>
      </w:r>
      <w:r w:rsidR="00B63724">
        <w:t>24</w:t>
      </w:r>
      <w:r w:rsidR="00422F1C">
        <w:t xml:space="preserve"> </w:t>
      </w:r>
      <w:r w:rsidR="00B63724">
        <w:t xml:space="preserve">maj </w:t>
      </w:r>
      <w:r w:rsidR="00422F1C">
        <w:t>20</w:t>
      </w:r>
      <w:r w:rsidR="001F04D7">
        <w:t>2</w:t>
      </w:r>
      <w:r w:rsidR="00B63724">
        <w:t>3</w:t>
      </w:r>
      <w:r>
        <w:t xml:space="preserve"> inbegärt </w:t>
      </w:r>
      <w:r w:rsidR="000054FE">
        <w:t>social</w:t>
      </w:r>
      <w:r>
        <w:t xml:space="preserve">- och </w:t>
      </w:r>
      <w:r w:rsidR="000054FE">
        <w:t>miljö</w:t>
      </w:r>
      <w:r>
        <w:t xml:space="preserve">utskottets yttrande i ärendet. </w:t>
      </w:r>
    </w:p>
    <w:p w14:paraId="2E893A41" w14:textId="21A755CB" w:rsidR="00975BD3" w:rsidRPr="00ED0B51" w:rsidRDefault="00085342" w:rsidP="00975BD3">
      <w:pPr>
        <w:pStyle w:val="ANormal"/>
      </w:pPr>
      <w:r>
        <w:tab/>
      </w:r>
      <w:r w:rsidR="00975BD3">
        <w:t>Utskottet har i ärendet hört</w:t>
      </w:r>
      <w:r w:rsidR="00212DE8">
        <w:t xml:space="preserve"> ministern Christian Wikström och vattenbiologen Susanne Vävare.</w:t>
      </w:r>
      <w:r w:rsidR="00E1085B">
        <w:t xml:space="preserve"> </w:t>
      </w:r>
    </w:p>
    <w:p w14:paraId="3F41C1B6" w14:textId="152167E0" w:rsidR="00F32038" w:rsidRPr="00CA0EA6" w:rsidRDefault="00975BD3" w:rsidP="00F32038">
      <w:pPr>
        <w:pStyle w:val="ANormal"/>
        <w:rPr>
          <w:color w:val="000000"/>
        </w:rPr>
      </w:pPr>
      <w:r>
        <w:rPr>
          <w:color w:val="000000"/>
        </w:rPr>
        <w:tab/>
      </w:r>
      <w:r w:rsidR="00F32038" w:rsidRPr="00CA0EA6">
        <w:rPr>
          <w:color w:val="000000"/>
        </w:rPr>
        <w:t xml:space="preserve">I ärendets avgörande behandling deltog ordföranden </w:t>
      </w:r>
      <w:r w:rsidR="00F32038">
        <w:rPr>
          <w:color w:val="000000"/>
        </w:rPr>
        <w:t>Pernilla Söderlund</w:t>
      </w:r>
      <w:r w:rsidR="00F32038" w:rsidRPr="00CA0EA6">
        <w:rPr>
          <w:color w:val="000000"/>
        </w:rPr>
        <w:t xml:space="preserve">, viceordföranden </w:t>
      </w:r>
      <w:r w:rsidR="00F32038">
        <w:rPr>
          <w:color w:val="000000"/>
        </w:rPr>
        <w:t xml:space="preserve">Mikael Lindholm samt </w:t>
      </w:r>
      <w:r w:rsidR="00F32038" w:rsidRPr="00CA0EA6">
        <w:rPr>
          <w:color w:val="000000"/>
        </w:rPr>
        <w:t>ledamöterna</w:t>
      </w:r>
      <w:r w:rsidR="00F32038">
        <w:rPr>
          <w:color w:val="000000"/>
        </w:rPr>
        <w:t xml:space="preserve"> Stellan Egeland, Simon Holmström</w:t>
      </w:r>
      <w:r w:rsidR="00376D5E">
        <w:rPr>
          <w:color w:val="000000"/>
        </w:rPr>
        <w:t xml:space="preserve"> och </w:t>
      </w:r>
      <w:r w:rsidR="00F32038">
        <w:rPr>
          <w:color w:val="000000"/>
        </w:rPr>
        <w:t xml:space="preserve">Simon Påvals.  </w:t>
      </w:r>
    </w:p>
    <w:p w14:paraId="618C9D76" w14:textId="58B1322A" w:rsidR="00975BD3" w:rsidRPr="00CA0EA6" w:rsidRDefault="00975BD3" w:rsidP="00975BD3">
      <w:pPr>
        <w:pStyle w:val="ANormal"/>
        <w:rPr>
          <w:color w:val="000000"/>
        </w:rPr>
      </w:pPr>
    </w:p>
    <w:p w14:paraId="5998F9D2" w14:textId="77777777" w:rsidR="002401D0" w:rsidRDefault="002401D0">
      <w:pPr>
        <w:pStyle w:val="RubrikA"/>
      </w:pPr>
      <w:bookmarkStart w:id="21" w:name="_Toc529800937"/>
      <w:bookmarkStart w:id="22" w:name="_Toc135734076"/>
      <w:bookmarkStart w:id="23" w:name="_Toc136241772"/>
      <w:r>
        <w:t>Utskottets förslag</w:t>
      </w:r>
      <w:bookmarkEnd w:id="21"/>
      <w:bookmarkEnd w:id="22"/>
      <w:bookmarkEnd w:id="23"/>
    </w:p>
    <w:p w14:paraId="5CB4DECE" w14:textId="77777777" w:rsidR="002401D0" w:rsidRDefault="002401D0">
      <w:pPr>
        <w:pStyle w:val="Rubrikmellanrum"/>
      </w:pPr>
    </w:p>
    <w:p w14:paraId="21D465CC" w14:textId="77777777" w:rsidR="002401D0" w:rsidRDefault="002401D0">
      <w:pPr>
        <w:pStyle w:val="ANormal"/>
      </w:pPr>
      <w:r>
        <w:t>Med hänvisning till det anförda föreslår utskottet</w:t>
      </w:r>
    </w:p>
    <w:p w14:paraId="6C51F83B" w14:textId="77777777" w:rsidR="002401D0" w:rsidRDefault="002401D0">
      <w:pPr>
        <w:pStyle w:val="ANormal"/>
      </w:pPr>
    </w:p>
    <w:p w14:paraId="10EC5333" w14:textId="7C92B8A9" w:rsidR="00423237" w:rsidRPr="00530FB7" w:rsidRDefault="002401D0" w:rsidP="007D0131">
      <w:pPr>
        <w:pStyle w:val="Brdtextmedindrag"/>
        <w:rPr>
          <w:sz w:val="22"/>
          <w:szCs w:val="22"/>
        </w:rPr>
      </w:pPr>
      <w:r w:rsidRPr="00530FB7">
        <w:rPr>
          <w:sz w:val="22"/>
          <w:szCs w:val="22"/>
        </w:rPr>
        <w:t>att la</w:t>
      </w:r>
      <w:r w:rsidR="000054FE" w:rsidRPr="00530FB7">
        <w:rPr>
          <w:sz w:val="22"/>
          <w:szCs w:val="22"/>
        </w:rPr>
        <w:t>gtinget</w:t>
      </w:r>
      <w:r w:rsidR="00B525BC" w:rsidRPr="00530FB7">
        <w:rPr>
          <w:sz w:val="22"/>
          <w:szCs w:val="22"/>
        </w:rPr>
        <w:t xml:space="preserve"> ger </w:t>
      </w:r>
      <w:r w:rsidR="009B2774" w:rsidRPr="00530FB7">
        <w:rPr>
          <w:sz w:val="22"/>
          <w:szCs w:val="22"/>
        </w:rPr>
        <w:t xml:space="preserve">sitt bifall till att </w:t>
      </w:r>
      <w:r w:rsidR="00F32038">
        <w:rPr>
          <w:sz w:val="22"/>
          <w:szCs w:val="22"/>
        </w:rPr>
        <w:t xml:space="preserve">förordningen </w:t>
      </w:r>
      <w:r w:rsidR="00A373F8" w:rsidRPr="00530FB7">
        <w:rPr>
          <w:sz w:val="22"/>
          <w:szCs w:val="22"/>
        </w:rPr>
        <w:t xml:space="preserve">träder i kraft på Åland till de delar </w:t>
      </w:r>
      <w:r w:rsidR="00F32038">
        <w:rPr>
          <w:sz w:val="22"/>
          <w:szCs w:val="22"/>
        </w:rPr>
        <w:t>avtalet</w:t>
      </w:r>
      <w:r w:rsidR="00A373F8" w:rsidRPr="00530FB7">
        <w:rPr>
          <w:sz w:val="22"/>
          <w:szCs w:val="22"/>
        </w:rPr>
        <w:t xml:space="preserve"> faller inom landskapets behörighet.</w:t>
      </w:r>
    </w:p>
    <w:p w14:paraId="4733003E" w14:textId="77777777" w:rsidR="002401D0" w:rsidRDefault="00B83E89">
      <w:pPr>
        <w:pStyle w:val="ANormal"/>
        <w:jc w:val="center"/>
      </w:pPr>
      <w:hyperlink w:anchor="_top" w:tooltip="Klicka för att gå till toppen av dokumentet" w:history="1">
        <w:r w:rsidR="002401D0">
          <w:rPr>
            <w:rStyle w:val="Hyperlnk"/>
          </w:rPr>
          <w:t>__________________</w:t>
        </w:r>
      </w:hyperlink>
    </w:p>
    <w:p w14:paraId="0A9D20FF" w14:textId="77777777" w:rsidR="002401D0" w:rsidRDefault="002401D0">
      <w:pPr>
        <w:pStyle w:val="ANormal"/>
      </w:pPr>
    </w:p>
    <w:p w14:paraId="49077B4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FE4804C" w14:textId="77777777">
        <w:trPr>
          <w:cantSplit/>
        </w:trPr>
        <w:tc>
          <w:tcPr>
            <w:tcW w:w="7931" w:type="dxa"/>
            <w:gridSpan w:val="2"/>
          </w:tcPr>
          <w:p w14:paraId="3F1125D0" w14:textId="742613DD" w:rsidR="002401D0" w:rsidRDefault="002401D0">
            <w:pPr>
              <w:pStyle w:val="ANormal"/>
              <w:keepNext/>
            </w:pPr>
            <w:r>
              <w:t xml:space="preserve">Mariehamn den </w:t>
            </w:r>
            <w:r w:rsidR="002D5C5E">
              <w:t>30</w:t>
            </w:r>
            <w:r w:rsidR="006063AB">
              <w:t xml:space="preserve"> </w:t>
            </w:r>
            <w:r w:rsidR="00F32038">
              <w:t>maj</w:t>
            </w:r>
            <w:r w:rsidR="006063AB">
              <w:t xml:space="preserve"> </w:t>
            </w:r>
            <w:r w:rsidR="00134936">
              <w:t>202</w:t>
            </w:r>
            <w:r w:rsidR="00F32038">
              <w:t>3</w:t>
            </w:r>
          </w:p>
        </w:tc>
      </w:tr>
      <w:tr w:rsidR="002401D0" w14:paraId="0ECCD6B5" w14:textId="77777777">
        <w:tc>
          <w:tcPr>
            <w:tcW w:w="4454" w:type="dxa"/>
            <w:vAlign w:val="bottom"/>
          </w:tcPr>
          <w:p w14:paraId="4C1A8E05" w14:textId="77777777" w:rsidR="002401D0" w:rsidRDefault="002401D0">
            <w:pPr>
              <w:pStyle w:val="ANormal"/>
              <w:keepNext/>
            </w:pPr>
          </w:p>
          <w:p w14:paraId="31C72850" w14:textId="77777777" w:rsidR="002401D0" w:rsidRDefault="002401D0">
            <w:pPr>
              <w:pStyle w:val="ANormal"/>
              <w:keepNext/>
            </w:pPr>
          </w:p>
          <w:p w14:paraId="40625E61" w14:textId="77777777" w:rsidR="002401D0" w:rsidRDefault="002401D0">
            <w:pPr>
              <w:pStyle w:val="ANormal"/>
              <w:keepNext/>
            </w:pPr>
            <w:r>
              <w:t>Ordförande</w:t>
            </w:r>
          </w:p>
        </w:tc>
        <w:tc>
          <w:tcPr>
            <w:tcW w:w="3477" w:type="dxa"/>
            <w:vAlign w:val="bottom"/>
          </w:tcPr>
          <w:p w14:paraId="18CB767F" w14:textId="77777777" w:rsidR="002401D0" w:rsidRDefault="002401D0">
            <w:pPr>
              <w:pStyle w:val="ANormal"/>
              <w:keepNext/>
            </w:pPr>
          </w:p>
          <w:p w14:paraId="508DB602" w14:textId="77777777" w:rsidR="002401D0" w:rsidRDefault="002401D0">
            <w:pPr>
              <w:pStyle w:val="ANormal"/>
              <w:keepNext/>
            </w:pPr>
          </w:p>
          <w:p w14:paraId="678C5CB1" w14:textId="44D160D3" w:rsidR="002401D0" w:rsidRDefault="000054FE">
            <w:pPr>
              <w:pStyle w:val="ANormal"/>
              <w:keepNext/>
            </w:pPr>
            <w:r>
              <w:t>Pernilla Söderlund</w:t>
            </w:r>
          </w:p>
        </w:tc>
      </w:tr>
      <w:tr w:rsidR="002401D0" w14:paraId="0CD20D8B" w14:textId="77777777">
        <w:tc>
          <w:tcPr>
            <w:tcW w:w="4454" w:type="dxa"/>
            <w:vAlign w:val="bottom"/>
          </w:tcPr>
          <w:p w14:paraId="6355A083" w14:textId="77777777" w:rsidR="002401D0" w:rsidRDefault="002401D0">
            <w:pPr>
              <w:pStyle w:val="ANormal"/>
              <w:keepNext/>
            </w:pPr>
          </w:p>
          <w:p w14:paraId="66FBBBB9" w14:textId="77777777" w:rsidR="002401D0" w:rsidRDefault="002401D0">
            <w:pPr>
              <w:pStyle w:val="ANormal"/>
              <w:keepNext/>
            </w:pPr>
          </w:p>
          <w:p w14:paraId="625D84E4" w14:textId="77777777" w:rsidR="002401D0" w:rsidRDefault="002401D0">
            <w:pPr>
              <w:pStyle w:val="ANormal"/>
              <w:keepNext/>
            </w:pPr>
            <w:r>
              <w:t>Sekreterare</w:t>
            </w:r>
          </w:p>
        </w:tc>
        <w:tc>
          <w:tcPr>
            <w:tcW w:w="3477" w:type="dxa"/>
            <w:vAlign w:val="bottom"/>
          </w:tcPr>
          <w:p w14:paraId="38C0131E" w14:textId="77777777" w:rsidR="002401D0" w:rsidRDefault="002401D0">
            <w:pPr>
              <w:pStyle w:val="ANormal"/>
              <w:keepNext/>
            </w:pPr>
          </w:p>
          <w:p w14:paraId="3BAA3C24" w14:textId="7DF85805" w:rsidR="002401D0" w:rsidRDefault="000054FE">
            <w:pPr>
              <w:pStyle w:val="ANormal"/>
              <w:keepNext/>
            </w:pPr>
            <w:r>
              <w:t>Carina Strand</w:t>
            </w:r>
          </w:p>
        </w:tc>
      </w:tr>
    </w:tbl>
    <w:p w14:paraId="715E468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0170" w14:textId="77777777" w:rsidR="00382CD5" w:rsidRDefault="00382CD5">
      <w:r>
        <w:separator/>
      </w:r>
    </w:p>
  </w:endnote>
  <w:endnote w:type="continuationSeparator" w:id="0">
    <w:p w14:paraId="380B23D1" w14:textId="77777777" w:rsidR="00382CD5" w:rsidRDefault="0038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83E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460" w14:textId="5D441E6B" w:rsidR="002401D0" w:rsidRDefault="002401D0">
    <w:pPr>
      <w:pStyle w:val="Sidfot"/>
      <w:rPr>
        <w:lang w:val="fi-FI"/>
      </w:rPr>
    </w:pPr>
    <w:r>
      <w:fldChar w:fldCharType="begin"/>
    </w:r>
    <w:r>
      <w:rPr>
        <w:lang w:val="fi-FI"/>
      </w:rPr>
      <w:instrText xml:space="preserve"> FILENAME  \* MERGEFORMAT </w:instrText>
    </w:r>
    <w:r>
      <w:fldChar w:fldCharType="separate"/>
    </w:r>
    <w:r w:rsidR="0050043B">
      <w:rPr>
        <w:noProof/>
        <w:lang w:val="fi-FI"/>
      </w:rPr>
      <w:t>LKU1020192020.docx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27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4E99" w14:textId="77777777" w:rsidR="00382CD5" w:rsidRDefault="00382CD5">
      <w:r>
        <w:separator/>
      </w:r>
    </w:p>
  </w:footnote>
  <w:footnote w:type="continuationSeparator" w:id="0">
    <w:p w14:paraId="4CC05524" w14:textId="77777777" w:rsidR="00382CD5" w:rsidRDefault="0038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F17A"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A02E9">
      <w:rPr>
        <w:rStyle w:val="Sidnummer"/>
      </w:rPr>
      <w:t>6</w:t>
    </w:r>
    <w:r>
      <w:rPr>
        <w:rStyle w:val="Sidnummer"/>
      </w:rPr>
      <w:fldChar w:fldCharType="end"/>
    </w:r>
  </w:p>
  <w:p w14:paraId="22A0D59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AFA"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A02E9">
      <w:rPr>
        <w:rStyle w:val="Sidnummer"/>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92459843">
    <w:abstractNumId w:val="6"/>
  </w:num>
  <w:num w:numId="2" w16cid:durableId="1632444213">
    <w:abstractNumId w:val="3"/>
  </w:num>
  <w:num w:numId="3" w16cid:durableId="1621643649">
    <w:abstractNumId w:val="2"/>
  </w:num>
  <w:num w:numId="4" w16cid:durableId="479469110">
    <w:abstractNumId w:val="1"/>
  </w:num>
  <w:num w:numId="5" w16cid:durableId="76054306">
    <w:abstractNumId w:val="0"/>
  </w:num>
  <w:num w:numId="6" w16cid:durableId="525948724">
    <w:abstractNumId w:val="7"/>
  </w:num>
  <w:num w:numId="7" w16cid:durableId="1041175702">
    <w:abstractNumId w:val="5"/>
  </w:num>
  <w:num w:numId="8" w16cid:durableId="2123381665">
    <w:abstractNumId w:val="4"/>
  </w:num>
  <w:num w:numId="9" w16cid:durableId="104814435">
    <w:abstractNumId w:val="10"/>
  </w:num>
  <w:num w:numId="10" w16cid:durableId="1460032449">
    <w:abstractNumId w:val="13"/>
  </w:num>
  <w:num w:numId="11" w16cid:durableId="1722438311">
    <w:abstractNumId w:val="12"/>
  </w:num>
  <w:num w:numId="12" w16cid:durableId="402915999">
    <w:abstractNumId w:val="16"/>
  </w:num>
  <w:num w:numId="13" w16cid:durableId="1133793777">
    <w:abstractNumId w:val="11"/>
  </w:num>
  <w:num w:numId="14" w16cid:durableId="970600036">
    <w:abstractNumId w:val="15"/>
  </w:num>
  <w:num w:numId="15" w16cid:durableId="802769693">
    <w:abstractNumId w:val="9"/>
  </w:num>
  <w:num w:numId="16" w16cid:durableId="946542282">
    <w:abstractNumId w:val="21"/>
  </w:num>
  <w:num w:numId="17" w16cid:durableId="1827548518">
    <w:abstractNumId w:val="8"/>
  </w:num>
  <w:num w:numId="18" w16cid:durableId="1025523134">
    <w:abstractNumId w:val="17"/>
  </w:num>
  <w:num w:numId="19" w16cid:durableId="2058043602">
    <w:abstractNumId w:val="20"/>
  </w:num>
  <w:num w:numId="20" w16cid:durableId="2136016829">
    <w:abstractNumId w:val="23"/>
  </w:num>
  <w:num w:numId="21" w16cid:durableId="1410811757">
    <w:abstractNumId w:val="22"/>
  </w:num>
  <w:num w:numId="22" w16cid:durableId="118110440">
    <w:abstractNumId w:val="14"/>
  </w:num>
  <w:num w:numId="23" w16cid:durableId="1064447165">
    <w:abstractNumId w:val="18"/>
  </w:num>
  <w:num w:numId="24" w16cid:durableId="509878924">
    <w:abstractNumId w:val="18"/>
  </w:num>
  <w:num w:numId="25" w16cid:durableId="1897280142">
    <w:abstractNumId w:val="19"/>
  </w:num>
  <w:num w:numId="26" w16cid:durableId="1899512916">
    <w:abstractNumId w:val="14"/>
  </w:num>
  <w:num w:numId="27" w16cid:durableId="838620447">
    <w:abstractNumId w:val="14"/>
  </w:num>
  <w:num w:numId="28" w16cid:durableId="205455453">
    <w:abstractNumId w:val="14"/>
  </w:num>
  <w:num w:numId="29" w16cid:durableId="390007180">
    <w:abstractNumId w:val="14"/>
  </w:num>
  <w:num w:numId="30" w16cid:durableId="1980568467">
    <w:abstractNumId w:val="14"/>
  </w:num>
  <w:num w:numId="31" w16cid:durableId="1803041381">
    <w:abstractNumId w:val="14"/>
  </w:num>
  <w:num w:numId="32" w16cid:durableId="1195197487">
    <w:abstractNumId w:val="14"/>
  </w:num>
  <w:num w:numId="33" w16cid:durableId="1866551540">
    <w:abstractNumId w:val="14"/>
  </w:num>
  <w:num w:numId="34" w16cid:durableId="131216067">
    <w:abstractNumId w:val="14"/>
  </w:num>
  <w:num w:numId="35" w16cid:durableId="363287118">
    <w:abstractNumId w:val="18"/>
  </w:num>
  <w:num w:numId="36" w16cid:durableId="1638218665">
    <w:abstractNumId w:val="19"/>
  </w:num>
  <w:num w:numId="37" w16cid:durableId="1897467320">
    <w:abstractNumId w:val="14"/>
  </w:num>
  <w:num w:numId="38" w16cid:durableId="89812869">
    <w:abstractNumId w:val="14"/>
  </w:num>
  <w:num w:numId="39" w16cid:durableId="1305113772">
    <w:abstractNumId w:val="14"/>
  </w:num>
  <w:num w:numId="40" w16cid:durableId="345402075">
    <w:abstractNumId w:val="14"/>
  </w:num>
  <w:num w:numId="41" w16cid:durableId="1131829695">
    <w:abstractNumId w:val="14"/>
  </w:num>
  <w:num w:numId="42" w16cid:durableId="1362973337">
    <w:abstractNumId w:val="14"/>
  </w:num>
  <w:num w:numId="43" w16cid:durableId="23481945">
    <w:abstractNumId w:val="14"/>
  </w:num>
  <w:num w:numId="44" w16cid:durableId="1822768662">
    <w:abstractNumId w:val="14"/>
  </w:num>
  <w:num w:numId="45" w16cid:durableId="1143616336">
    <w:abstractNumId w:val="14"/>
  </w:num>
  <w:num w:numId="46" w16cid:durableId="1470899343">
    <w:abstractNumId w:val="14"/>
  </w:num>
  <w:num w:numId="47" w16cid:durableId="1793014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5"/>
    <w:rsid w:val="000054FE"/>
    <w:rsid w:val="00013252"/>
    <w:rsid w:val="00015E9C"/>
    <w:rsid w:val="00051556"/>
    <w:rsid w:val="00085342"/>
    <w:rsid w:val="000B2DC9"/>
    <w:rsid w:val="000D6353"/>
    <w:rsid w:val="000F7417"/>
    <w:rsid w:val="00122D72"/>
    <w:rsid w:val="00134936"/>
    <w:rsid w:val="0015337C"/>
    <w:rsid w:val="001677A7"/>
    <w:rsid w:val="001D28D7"/>
    <w:rsid w:val="001E3024"/>
    <w:rsid w:val="001F04D7"/>
    <w:rsid w:val="00212DE8"/>
    <w:rsid w:val="002401D0"/>
    <w:rsid w:val="002619A1"/>
    <w:rsid w:val="00280A28"/>
    <w:rsid w:val="002A010C"/>
    <w:rsid w:val="002B6EB2"/>
    <w:rsid w:val="002D5C5E"/>
    <w:rsid w:val="002F6DF8"/>
    <w:rsid w:val="0030183C"/>
    <w:rsid w:val="00324BCF"/>
    <w:rsid w:val="00327FC2"/>
    <w:rsid w:val="003321C1"/>
    <w:rsid w:val="00361E12"/>
    <w:rsid w:val="0036359C"/>
    <w:rsid w:val="00376D5E"/>
    <w:rsid w:val="00382CD5"/>
    <w:rsid w:val="00422F1C"/>
    <w:rsid w:val="00423237"/>
    <w:rsid w:val="00444452"/>
    <w:rsid w:val="0046027A"/>
    <w:rsid w:val="00472A80"/>
    <w:rsid w:val="00476197"/>
    <w:rsid w:val="004A74DD"/>
    <w:rsid w:val="004C34A0"/>
    <w:rsid w:val="004D0E3D"/>
    <w:rsid w:val="004E0900"/>
    <w:rsid w:val="004F5F22"/>
    <w:rsid w:val="0050043B"/>
    <w:rsid w:val="00513AB6"/>
    <w:rsid w:val="0052416A"/>
    <w:rsid w:val="00530FB7"/>
    <w:rsid w:val="00557EC5"/>
    <w:rsid w:val="00581FD1"/>
    <w:rsid w:val="0059594C"/>
    <w:rsid w:val="005C4464"/>
    <w:rsid w:val="006063AB"/>
    <w:rsid w:val="00681C84"/>
    <w:rsid w:val="006A27E3"/>
    <w:rsid w:val="006B2E9E"/>
    <w:rsid w:val="006E55CA"/>
    <w:rsid w:val="00715F98"/>
    <w:rsid w:val="00723B93"/>
    <w:rsid w:val="0072517E"/>
    <w:rsid w:val="007C3093"/>
    <w:rsid w:val="007D0131"/>
    <w:rsid w:val="007F141A"/>
    <w:rsid w:val="00811D50"/>
    <w:rsid w:val="00817B04"/>
    <w:rsid w:val="00844636"/>
    <w:rsid w:val="0086119B"/>
    <w:rsid w:val="00876523"/>
    <w:rsid w:val="008A4E57"/>
    <w:rsid w:val="00950DE7"/>
    <w:rsid w:val="00957C36"/>
    <w:rsid w:val="00975BD3"/>
    <w:rsid w:val="009B2774"/>
    <w:rsid w:val="009D73B2"/>
    <w:rsid w:val="009F7CE2"/>
    <w:rsid w:val="00A32BF9"/>
    <w:rsid w:val="00A373F8"/>
    <w:rsid w:val="00A56415"/>
    <w:rsid w:val="00AA02E9"/>
    <w:rsid w:val="00B06C51"/>
    <w:rsid w:val="00B1252F"/>
    <w:rsid w:val="00B1300A"/>
    <w:rsid w:val="00B32E91"/>
    <w:rsid w:val="00B36A8F"/>
    <w:rsid w:val="00B50208"/>
    <w:rsid w:val="00B525BC"/>
    <w:rsid w:val="00B63724"/>
    <w:rsid w:val="00B83E89"/>
    <w:rsid w:val="00B90DEC"/>
    <w:rsid w:val="00BE0358"/>
    <w:rsid w:val="00C01665"/>
    <w:rsid w:val="00C561E5"/>
    <w:rsid w:val="00C62627"/>
    <w:rsid w:val="00C80197"/>
    <w:rsid w:val="00CB087E"/>
    <w:rsid w:val="00CE55FE"/>
    <w:rsid w:val="00CF700E"/>
    <w:rsid w:val="00D05D86"/>
    <w:rsid w:val="00D21C85"/>
    <w:rsid w:val="00D42E46"/>
    <w:rsid w:val="00D54D4F"/>
    <w:rsid w:val="00D707FD"/>
    <w:rsid w:val="00D77626"/>
    <w:rsid w:val="00DB21E4"/>
    <w:rsid w:val="00DC45B2"/>
    <w:rsid w:val="00DD4770"/>
    <w:rsid w:val="00DD5725"/>
    <w:rsid w:val="00DD575F"/>
    <w:rsid w:val="00E1085B"/>
    <w:rsid w:val="00E41666"/>
    <w:rsid w:val="00E46DAA"/>
    <w:rsid w:val="00E564BA"/>
    <w:rsid w:val="00E84AB7"/>
    <w:rsid w:val="00EB537E"/>
    <w:rsid w:val="00EC77B5"/>
    <w:rsid w:val="00F32038"/>
    <w:rsid w:val="00F519C8"/>
    <w:rsid w:val="00F72A4B"/>
    <w:rsid w:val="00FB0DF1"/>
    <w:rsid w:val="00FB59E1"/>
    <w:rsid w:val="00FC7583"/>
    <w:rsid w:val="00FE0E9A"/>
    <w:rsid w:val="00FE430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C34F"/>
  <w15:docId w15:val="{7F7E864E-2C56-4A18-B3F6-3695E40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EB2"/>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lang w:val="sv-SE"/>
    </w:rPr>
  </w:style>
  <w:style w:type="paragraph" w:styleId="Brdtextmedindrag">
    <w:name w:val="Body Text Indent"/>
    <w:basedOn w:val="Normal"/>
    <w:link w:val="BrdtextmedindragChar"/>
    <w:uiPriority w:val="99"/>
    <w:pPr>
      <w:widowControl/>
      <w:autoSpaceDE/>
      <w:autoSpaceDN/>
      <w:adjustRightInd/>
      <w:spacing w:after="120"/>
      <w:ind w:left="283"/>
    </w:pPr>
    <w:rPr>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widowControl/>
      <w:autoSpaceDE/>
      <w:autoSpaceDN/>
      <w:adjustRightInd/>
      <w:ind w:left="960"/>
    </w:pPr>
    <w:rPr>
      <w:lang w:val="sv-SE"/>
    </w:rPr>
  </w:style>
  <w:style w:type="paragraph" w:styleId="Innehll6">
    <w:name w:val="toc 6"/>
    <w:basedOn w:val="Normal"/>
    <w:next w:val="Normal"/>
    <w:autoRedefine/>
    <w:semiHidden/>
    <w:pPr>
      <w:widowControl/>
      <w:autoSpaceDE/>
      <w:autoSpaceDN/>
      <w:adjustRightInd/>
      <w:ind w:left="1200"/>
    </w:pPr>
    <w:rPr>
      <w:lang w:val="sv-SE"/>
    </w:rPr>
  </w:style>
  <w:style w:type="paragraph" w:styleId="Innehll7">
    <w:name w:val="toc 7"/>
    <w:basedOn w:val="Normal"/>
    <w:next w:val="Normal"/>
    <w:autoRedefine/>
    <w:semiHidden/>
    <w:pPr>
      <w:widowControl/>
      <w:autoSpaceDE/>
      <w:autoSpaceDN/>
      <w:adjustRightInd/>
      <w:ind w:left="1440"/>
    </w:pPr>
    <w:rPr>
      <w:lang w:val="sv-SE"/>
    </w:rPr>
  </w:style>
  <w:style w:type="paragraph" w:styleId="Innehll8">
    <w:name w:val="toc 8"/>
    <w:basedOn w:val="Normal"/>
    <w:next w:val="Normal"/>
    <w:autoRedefine/>
    <w:semiHidden/>
    <w:pPr>
      <w:widowControl/>
      <w:autoSpaceDE/>
      <w:autoSpaceDN/>
      <w:adjustRightInd/>
      <w:ind w:left="1680"/>
    </w:pPr>
    <w:rPr>
      <w:lang w:val="sv-SE"/>
    </w:rPr>
  </w:style>
  <w:style w:type="paragraph" w:styleId="Innehll9">
    <w:name w:val="toc 9"/>
    <w:basedOn w:val="Normal"/>
    <w:next w:val="Normal"/>
    <w:autoRedefine/>
    <w:semiHidden/>
    <w:pPr>
      <w:widowControl/>
      <w:autoSpaceDE/>
      <w:autoSpaceDN/>
      <w:adjustRightInd/>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2619A1"/>
    <w:rPr>
      <w:sz w:val="22"/>
      <w:lang w:val="sv-SE" w:eastAsia="sv-SE"/>
    </w:rPr>
  </w:style>
  <w:style w:type="paragraph" w:styleId="Ballongtext">
    <w:name w:val="Balloon Text"/>
    <w:basedOn w:val="Normal"/>
    <w:link w:val="BallongtextChar"/>
    <w:rsid w:val="00AA02E9"/>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rsid w:val="00AA02E9"/>
    <w:rPr>
      <w:rFonts w:ascii="Tahoma" w:hAnsi="Tahoma" w:cs="Tahoma"/>
      <w:sz w:val="16"/>
      <w:szCs w:val="16"/>
      <w:lang w:val="sv-SE" w:eastAsia="sv-SE"/>
    </w:rPr>
  </w:style>
  <w:style w:type="character" w:styleId="Stark">
    <w:name w:val="Strong"/>
    <w:basedOn w:val="Standardstycketeckensnitt"/>
    <w:uiPriority w:val="22"/>
    <w:qFormat/>
    <w:rsid w:val="00422F1C"/>
    <w:rPr>
      <w:b/>
      <w:bCs/>
    </w:rPr>
  </w:style>
  <w:style w:type="character" w:customStyle="1" w:styleId="field-content">
    <w:name w:val="field-content"/>
    <w:basedOn w:val="Standardstycketeckensnitt"/>
    <w:rsid w:val="00422F1C"/>
  </w:style>
  <w:style w:type="paragraph" w:customStyle="1" w:styleId="rtecenter">
    <w:name w:val="rtecenter"/>
    <w:basedOn w:val="Normal"/>
    <w:rsid w:val="00085342"/>
    <w:pPr>
      <w:widowControl/>
      <w:autoSpaceDE/>
      <w:autoSpaceDN/>
      <w:adjustRightInd/>
      <w:spacing w:before="100" w:beforeAutospacing="1" w:after="100" w:afterAutospacing="1"/>
    </w:pPr>
    <w:rPr>
      <w:lang w:val="sv-FI" w:eastAsia="sv-FI"/>
    </w:rPr>
  </w:style>
  <w:style w:type="paragraph" w:styleId="Normalwebb">
    <w:name w:val="Normal (Web)"/>
    <w:basedOn w:val="Normal"/>
    <w:uiPriority w:val="99"/>
    <w:semiHidden/>
    <w:unhideWhenUsed/>
    <w:rsid w:val="00085342"/>
    <w:pPr>
      <w:widowControl/>
      <w:autoSpaceDE/>
      <w:autoSpaceDN/>
      <w:adjustRightInd/>
      <w:spacing w:before="100" w:beforeAutospacing="1" w:after="100" w:afterAutospacing="1"/>
    </w:pPr>
    <w:rPr>
      <w:lang w:val="sv-FI" w:eastAsia="sv-FI"/>
    </w:rPr>
  </w:style>
  <w:style w:type="character" w:customStyle="1" w:styleId="llnormaalikirjasin--char1">
    <w:name w:val="llnormaalikirjasin--char1"/>
    <w:rsid w:val="000054FE"/>
    <w:rPr>
      <w:rFonts w:ascii="Times New Roman" w:hAnsi="Times New Roman"/>
      <w:sz w:val="22"/>
    </w:rPr>
  </w:style>
  <w:style w:type="character" w:customStyle="1" w:styleId="BrdtextmedindragChar">
    <w:name w:val="Brödtext med indrag Char"/>
    <w:basedOn w:val="Standardstycketeckensnitt"/>
    <w:link w:val="Brdtextmedindrag"/>
    <w:uiPriority w:val="99"/>
    <w:locked/>
    <w:rsid w:val="000054FE"/>
    <w:rPr>
      <w:sz w:val="24"/>
      <w:szCs w:val="24"/>
      <w:lang w:val="sv-SE" w:eastAsia="sv-SE"/>
    </w:rPr>
  </w:style>
  <w:style w:type="paragraph" w:customStyle="1" w:styleId="Mellanrubrik">
    <w:name w:val="Mellanrubrik"/>
    <w:basedOn w:val="Normal"/>
    <w:link w:val="MellanrubrikChar"/>
    <w:uiPriority w:val="1"/>
    <w:qFormat/>
    <w:rsid w:val="00B63724"/>
    <w:pPr>
      <w:widowControl/>
      <w:tabs>
        <w:tab w:val="left" w:pos="1701"/>
        <w:tab w:val="left" w:pos="2552"/>
        <w:tab w:val="left" w:pos="5670"/>
      </w:tabs>
      <w:autoSpaceDE/>
      <w:autoSpaceDN/>
      <w:adjustRightInd/>
      <w:spacing w:line="276" w:lineRule="auto"/>
    </w:pPr>
    <w:rPr>
      <w:rFonts w:ascii="Segoe UI Semibold" w:hAnsi="Segoe UI Semibold" w:cs="Segoe UI Semibold"/>
      <w:szCs w:val="20"/>
      <w:lang w:val="sv-FI"/>
    </w:rPr>
  </w:style>
  <w:style w:type="character" w:customStyle="1" w:styleId="MellanrubrikChar">
    <w:name w:val="Mellanrubrik Char"/>
    <w:basedOn w:val="Standardstycketeckensnitt"/>
    <w:link w:val="Mellanrubrik"/>
    <w:uiPriority w:val="1"/>
    <w:rsid w:val="00B63724"/>
    <w:rPr>
      <w:rFonts w:ascii="Segoe UI Semibold" w:hAnsi="Segoe UI Semibold" w:cs="Segoe UI Semibold"/>
      <w:sz w:val="24"/>
      <w:lang w:eastAsia="sv-SE"/>
    </w:rPr>
  </w:style>
  <w:style w:type="paragraph" w:customStyle="1" w:styleId="Normal4">
    <w:name w:val="Normal4"/>
    <w:basedOn w:val="Normal"/>
    <w:rsid w:val="00B63724"/>
    <w:pPr>
      <w:widowControl/>
      <w:autoSpaceDE/>
      <w:autoSpaceDN/>
      <w:adjustRightInd/>
      <w:spacing w:before="100" w:beforeAutospacing="1" w:after="100" w:afterAutospacing="1"/>
    </w:pPr>
    <w:rPr>
      <w:lang w:val="sv-FI" w:eastAsia="sv-FI"/>
    </w:rPr>
  </w:style>
  <w:style w:type="paragraph" w:styleId="Rubrik">
    <w:name w:val="Title"/>
    <w:basedOn w:val="Normal"/>
    <w:next w:val="Normal"/>
    <w:link w:val="RubrikChar"/>
    <w:qFormat/>
    <w:rsid w:val="00B6372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B63724"/>
    <w:rPr>
      <w:rFonts w:asciiTheme="majorHAnsi" w:eastAsiaTheme="majorEastAsia" w:hAnsiTheme="majorHAnsi" w:cstheme="majorBidi"/>
      <w:spacing w:val="-10"/>
      <w:kern w:val="28"/>
      <w:sz w:val="56"/>
      <w:szCs w:val="56"/>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8316">
      <w:bodyDiv w:val="1"/>
      <w:marLeft w:val="0"/>
      <w:marRight w:val="0"/>
      <w:marTop w:val="0"/>
      <w:marBottom w:val="0"/>
      <w:divBdr>
        <w:top w:val="none" w:sz="0" w:space="0" w:color="auto"/>
        <w:left w:val="none" w:sz="0" w:space="0" w:color="auto"/>
        <w:bottom w:val="none" w:sz="0" w:space="0" w:color="auto"/>
        <w:right w:val="none" w:sz="0" w:space="0" w:color="auto"/>
      </w:divBdr>
    </w:div>
    <w:div w:id="625544941">
      <w:bodyDiv w:val="1"/>
      <w:marLeft w:val="0"/>
      <w:marRight w:val="0"/>
      <w:marTop w:val="0"/>
      <w:marBottom w:val="0"/>
      <w:divBdr>
        <w:top w:val="none" w:sz="0" w:space="0" w:color="auto"/>
        <w:left w:val="none" w:sz="0" w:space="0" w:color="auto"/>
        <w:bottom w:val="none" w:sz="0" w:space="0" w:color="auto"/>
        <w:right w:val="none" w:sz="0" w:space="0" w:color="auto"/>
      </w:divBdr>
    </w:div>
    <w:div w:id="889463772">
      <w:bodyDiv w:val="1"/>
      <w:marLeft w:val="0"/>
      <w:marRight w:val="0"/>
      <w:marTop w:val="0"/>
      <w:marBottom w:val="0"/>
      <w:divBdr>
        <w:top w:val="none" w:sz="0" w:space="0" w:color="auto"/>
        <w:left w:val="none" w:sz="0" w:space="0" w:color="auto"/>
        <w:bottom w:val="none" w:sz="0" w:space="0" w:color="auto"/>
        <w:right w:val="none" w:sz="0" w:space="0" w:color="auto"/>
      </w:divBdr>
    </w:div>
    <w:div w:id="1162623469">
      <w:bodyDiv w:val="1"/>
      <w:marLeft w:val="0"/>
      <w:marRight w:val="0"/>
      <w:marTop w:val="0"/>
      <w:marBottom w:val="0"/>
      <w:divBdr>
        <w:top w:val="none" w:sz="0" w:space="0" w:color="auto"/>
        <w:left w:val="none" w:sz="0" w:space="0" w:color="auto"/>
        <w:bottom w:val="none" w:sz="0" w:space="0" w:color="auto"/>
        <w:right w:val="none" w:sz="0" w:space="0" w:color="auto"/>
      </w:divBdr>
    </w:div>
    <w:div w:id="1213931369">
      <w:bodyDiv w:val="1"/>
      <w:marLeft w:val="0"/>
      <w:marRight w:val="0"/>
      <w:marTop w:val="0"/>
      <w:marBottom w:val="0"/>
      <w:divBdr>
        <w:top w:val="none" w:sz="0" w:space="0" w:color="auto"/>
        <w:left w:val="none" w:sz="0" w:space="0" w:color="auto"/>
        <w:bottom w:val="none" w:sz="0" w:space="0" w:color="auto"/>
        <w:right w:val="none" w:sz="0" w:space="0" w:color="auto"/>
      </w:divBdr>
    </w:div>
    <w:div w:id="1720395675">
      <w:bodyDiv w:val="1"/>
      <w:marLeft w:val="0"/>
      <w:marRight w:val="0"/>
      <w:marTop w:val="0"/>
      <w:marBottom w:val="0"/>
      <w:divBdr>
        <w:top w:val="none" w:sz="0" w:space="0" w:color="auto"/>
        <w:left w:val="none" w:sz="0" w:space="0" w:color="auto"/>
        <w:bottom w:val="none" w:sz="0" w:space="0" w:color="auto"/>
        <w:right w:val="none" w:sz="0" w:space="0" w:color="auto"/>
      </w:divBdr>
    </w:div>
    <w:div w:id="1864125391">
      <w:bodyDiv w:val="1"/>
      <w:marLeft w:val="0"/>
      <w:marRight w:val="0"/>
      <w:marTop w:val="0"/>
      <w:marBottom w:val="0"/>
      <w:divBdr>
        <w:top w:val="none" w:sz="0" w:space="0" w:color="auto"/>
        <w:left w:val="none" w:sz="0" w:space="0" w:color="auto"/>
        <w:bottom w:val="none" w:sz="0" w:space="0" w:color="auto"/>
        <w:right w:val="none" w:sz="0" w:space="0" w:color="auto"/>
      </w:divBdr>
    </w:div>
    <w:div w:id="21021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1111</Words>
  <Characters>7667</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social- och miljöutskottets betänkande nr x/2022-2023</vt:lpstr>
    </vt:vector>
  </TitlesOfParts>
  <Company>Ålands lagting</Company>
  <LinksUpToDate>false</LinksUpToDate>
  <CharactersWithSpaces>8761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x/2022-2023</dc:title>
  <dc:subject/>
  <dc:creator>Jessica Laaksonen</dc:creator>
  <cp:keywords/>
  <dc:description/>
  <cp:lastModifiedBy>Jessica Laaksonen</cp:lastModifiedBy>
  <cp:revision>2</cp:revision>
  <cp:lastPrinted>2020-05-25T12:27:00Z</cp:lastPrinted>
  <dcterms:created xsi:type="dcterms:W3CDTF">2023-05-30T12:44:00Z</dcterms:created>
  <dcterms:modified xsi:type="dcterms:W3CDTF">2023-05-30T12:44:00Z</dcterms:modified>
</cp:coreProperties>
</file>