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6204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0D801AB5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068D50C6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6606630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6B3D2A5C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248EED0E" w14:textId="77777777" w:rsidR="00C64ADF" w:rsidRPr="00B26574" w:rsidRDefault="00A11EF2" w:rsidP="00B2657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B26574">
        <w:rPr>
          <w:lang w:val="sv-SE"/>
        </w:rPr>
        <w:t>frams</w:t>
      </w:r>
      <w:r w:rsidR="009A1D8E" w:rsidRPr="00B26574">
        <w:rPr>
          <w:lang w:val="sv-SE"/>
        </w:rPr>
        <w:t xml:space="preserve">tällning till Ålands lagting </w:t>
      </w:r>
      <w:r w:rsidR="00343DF2" w:rsidRPr="00B26574">
        <w:rPr>
          <w:rStyle w:val="llnormaalikirjasin--char1"/>
          <w:sz w:val="24"/>
          <w:lang w:val="sv-SE"/>
        </w:rPr>
        <w:t xml:space="preserve">om </w:t>
      </w:r>
      <w:r w:rsidR="00B26574">
        <w:rPr>
          <w:rStyle w:val="llnormaalikirjasin--char1"/>
          <w:sz w:val="24"/>
          <w:lang w:val="sv-SE"/>
        </w:rPr>
        <w:t>s</w:t>
      </w:r>
      <w:r w:rsidR="00B26574" w:rsidRPr="00B26574">
        <w:rPr>
          <w:rStyle w:val="llnormaalikirjasin--char1"/>
          <w:sz w:val="24"/>
          <w:lang w:val="sv-SE"/>
        </w:rPr>
        <w:t>tatsrådets förordning</w:t>
      </w:r>
      <w:r w:rsidR="00B26574">
        <w:rPr>
          <w:rStyle w:val="llnormaalikirjasin--char1"/>
          <w:sz w:val="24"/>
          <w:lang w:val="sv-SE"/>
        </w:rPr>
        <w:t xml:space="preserve"> </w:t>
      </w:r>
      <w:r w:rsidR="00B26574" w:rsidRPr="00B26574">
        <w:rPr>
          <w:rStyle w:val="llnormaalikirjasin--char1"/>
          <w:sz w:val="24"/>
          <w:lang w:val="sv-SE"/>
        </w:rPr>
        <w:t>om ändring av namnet på den europeiska överenskommelsen om internationell</w:t>
      </w:r>
      <w:r w:rsidR="00B26574">
        <w:rPr>
          <w:rStyle w:val="llnormaalikirjasin--char1"/>
          <w:sz w:val="24"/>
          <w:lang w:val="sv-SE"/>
        </w:rPr>
        <w:t xml:space="preserve"> </w:t>
      </w:r>
      <w:r w:rsidR="00B26574" w:rsidRPr="00B26574">
        <w:rPr>
          <w:rStyle w:val="llnormaalikirjasin--char1"/>
          <w:sz w:val="24"/>
          <w:lang w:val="sv-SE"/>
        </w:rPr>
        <w:t>transport av farligt gods på väg</w:t>
      </w:r>
    </w:p>
    <w:p w14:paraId="1A28FFA4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31E3E9FB" w14:textId="77777777" w:rsidR="0002760D" w:rsidRPr="000F423F" w:rsidRDefault="0002760D" w:rsidP="00B26574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14:paraId="0F940CE4" w14:textId="77777777" w:rsidR="009E6FC8" w:rsidRDefault="00473482" w:rsidP="009E6FC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3DBF3DFA" w14:textId="77777777" w:rsidR="009E6FC8" w:rsidRDefault="009E6FC8" w:rsidP="00083A2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083A23" w:rsidRPr="00083A23">
        <w:rPr>
          <w:spacing w:val="-3"/>
          <w:lang w:val="en-US"/>
        </w:rPr>
        <w:t>ADR (The European Agreement concerning the International Carriage of Dangerous Goods by Road</w:t>
      </w:r>
      <w:r w:rsidR="00083A23">
        <w:rPr>
          <w:spacing w:val="-3"/>
          <w:lang w:val="en-US"/>
        </w:rPr>
        <w:t xml:space="preserve"> </w:t>
      </w:r>
      <w:r w:rsidR="00083A23" w:rsidRPr="00083A23">
        <w:rPr>
          <w:spacing w:val="-3"/>
          <w:lang w:val="en-US"/>
        </w:rPr>
        <w:t>(ADR)) in</w:t>
      </w:r>
      <w:r w:rsidR="00D9082C">
        <w:rPr>
          <w:spacing w:val="-3"/>
          <w:lang w:val="en-US"/>
        </w:rPr>
        <w:t xml:space="preserve">gicks i Genève år </w:t>
      </w:r>
      <w:r w:rsidR="00083A23" w:rsidRPr="00083A23">
        <w:rPr>
          <w:spacing w:val="-3"/>
          <w:lang w:val="en-US"/>
        </w:rPr>
        <w:t xml:space="preserve">1957. </w:t>
      </w:r>
      <w:r w:rsidR="00083A23" w:rsidRPr="00083A23">
        <w:rPr>
          <w:spacing w:val="-3"/>
          <w:lang w:val="sv-SE"/>
        </w:rPr>
        <w:t>Överenskommelsen trädde i kraft den 29 januari 1968. Bilagorna till ADR innehåller detaljerade bestämmelser om transport av farligt gods på väg, så kallade ADR-bestämmelser, som parterna i överenskommelsen ska följa vid</w:t>
      </w:r>
      <w:r w:rsidR="00D9082C">
        <w:rPr>
          <w:spacing w:val="-3"/>
          <w:lang w:val="sv-SE"/>
        </w:rPr>
        <w:t xml:space="preserve"> internationella ADR</w:t>
      </w:r>
      <w:r w:rsidR="00F81321">
        <w:rPr>
          <w:spacing w:val="-3"/>
          <w:lang w:val="sv-SE"/>
        </w:rPr>
        <w:t>-</w:t>
      </w:r>
      <w:r w:rsidR="00D9082C">
        <w:rPr>
          <w:spacing w:val="-3"/>
          <w:lang w:val="sv-SE"/>
        </w:rPr>
        <w:t>transporter</w:t>
      </w:r>
      <w:r w:rsidR="00083A23" w:rsidRPr="00083A23">
        <w:rPr>
          <w:spacing w:val="-3"/>
          <w:lang w:val="sv-SE"/>
        </w:rPr>
        <w:t>. Över 50 länder har anslutit sig till överenskommelsen,</w:t>
      </w:r>
      <w:r w:rsidR="00083A23">
        <w:rPr>
          <w:spacing w:val="-3"/>
          <w:lang w:val="sv-SE"/>
        </w:rPr>
        <w:t xml:space="preserve"> </w:t>
      </w:r>
      <w:r w:rsidR="00083A23" w:rsidRPr="00083A23">
        <w:rPr>
          <w:spacing w:val="-3"/>
          <w:lang w:val="sv-SE"/>
        </w:rPr>
        <w:t>däri</w:t>
      </w:r>
      <w:r w:rsidR="00083A23">
        <w:rPr>
          <w:spacing w:val="-3"/>
          <w:lang w:val="sv-SE"/>
        </w:rPr>
        <w:t>bland Finland (FördrS 23/1979).</w:t>
      </w:r>
    </w:p>
    <w:p w14:paraId="6CB96DAB" w14:textId="77777777" w:rsidR="00083A23" w:rsidRDefault="00083A23" w:rsidP="00F8132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083A23">
        <w:rPr>
          <w:spacing w:val="-3"/>
          <w:lang w:val="sv-SE"/>
        </w:rPr>
        <w:t>Namnet på den internationella överenskommelse som gäller transport av farligt gods, det vill säga</w:t>
      </w:r>
      <w:r>
        <w:rPr>
          <w:spacing w:val="-3"/>
          <w:lang w:val="sv-SE"/>
        </w:rPr>
        <w:t xml:space="preserve"> </w:t>
      </w:r>
      <w:r w:rsidRPr="00083A23">
        <w:rPr>
          <w:spacing w:val="-3"/>
          <w:lang w:val="sv-SE"/>
        </w:rPr>
        <w:t>”den europeiska överenskommelsen om internationell transport av farligt gods på väg (ADR)”, har</w:t>
      </w:r>
      <w:r>
        <w:rPr>
          <w:spacing w:val="-3"/>
          <w:lang w:val="sv-SE"/>
        </w:rPr>
        <w:t xml:space="preserve"> </w:t>
      </w:r>
      <w:r w:rsidR="008305EA">
        <w:rPr>
          <w:spacing w:val="-3"/>
          <w:lang w:val="sv-SE"/>
        </w:rPr>
        <w:t>ändrats. Orden ”den euro</w:t>
      </w:r>
      <w:r w:rsidRPr="00083A23">
        <w:rPr>
          <w:spacing w:val="-3"/>
          <w:lang w:val="sv-SE"/>
        </w:rPr>
        <w:t>p</w:t>
      </w:r>
      <w:r w:rsidR="008305EA">
        <w:rPr>
          <w:spacing w:val="-3"/>
          <w:lang w:val="sv-SE"/>
        </w:rPr>
        <w:t>e</w:t>
      </w:r>
      <w:r w:rsidRPr="00083A23">
        <w:rPr>
          <w:spacing w:val="-3"/>
          <w:lang w:val="sv-SE"/>
        </w:rPr>
        <w:t>iska” har strukits ur namnet. Man enades om namnändringen och om</w:t>
      </w:r>
      <w:r>
        <w:rPr>
          <w:spacing w:val="-3"/>
          <w:lang w:val="sv-SE"/>
        </w:rPr>
        <w:t xml:space="preserve"> </w:t>
      </w:r>
      <w:r w:rsidRPr="00083A23">
        <w:rPr>
          <w:spacing w:val="-3"/>
          <w:lang w:val="sv-SE"/>
        </w:rPr>
        <w:t>tidpunkten för dess ikraftträdande på en ADR-konferens som hölls den 31 maj 2019, varefter parterna</w:t>
      </w:r>
      <w:r>
        <w:rPr>
          <w:spacing w:val="-3"/>
          <w:lang w:val="sv-SE"/>
        </w:rPr>
        <w:t xml:space="preserve"> </w:t>
      </w:r>
      <w:r w:rsidRPr="00083A23">
        <w:rPr>
          <w:spacing w:val="-3"/>
          <w:lang w:val="sv-SE"/>
        </w:rPr>
        <w:t>i ADR godkände namnändringen i ett förfarande för tyst godkännande.</w:t>
      </w:r>
      <w:r w:rsidR="00F81321" w:rsidRPr="00F81321">
        <w:rPr>
          <w:lang w:val="sv-SE"/>
        </w:rPr>
        <w:t xml:space="preserve"> </w:t>
      </w:r>
      <w:r w:rsidR="00F81321" w:rsidRPr="00F81321">
        <w:rPr>
          <w:spacing w:val="-3"/>
          <w:lang w:val="sv-SE"/>
        </w:rPr>
        <w:t>FN:s generalsekreterare gav ett meddelande om godkännandet den 4 december 2019.</w:t>
      </w:r>
      <w:r w:rsidRPr="00083A23">
        <w:rPr>
          <w:spacing w:val="-3"/>
          <w:lang w:val="sv-SE"/>
        </w:rPr>
        <w:t xml:space="preserve"> Det</w:t>
      </w:r>
      <w:r>
        <w:rPr>
          <w:spacing w:val="-3"/>
          <w:lang w:val="sv-SE"/>
        </w:rPr>
        <w:t xml:space="preserve"> </w:t>
      </w:r>
      <w:r w:rsidRPr="00083A23">
        <w:rPr>
          <w:spacing w:val="-3"/>
          <w:lang w:val="sv-SE"/>
        </w:rPr>
        <w:t>nya namnet ”överenskommelsen om internationell transport av farligt gods på väg (ADR)” trädde i</w:t>
      </w:r>
      <w:r>
        <w:rPr>
          <w:spacing w:val="-3"/>
          <w:lang w:val="sv-SE"/>
        </w:rPr>
        <w:t xml:space="preserve"> </w:t>
      </w:r>
      <w:r w:rsidRPr="00083A23">
        <w:rPr>
          <w:spacing w:val="-3"/>
          <w:lang w:val="sv-SE"/>
        </w:rPr>
        <w:t>kraft den 1 januari 2021.</w:t>
      </w:r>
    </w:p>
    <w:p w14:paraId="20B12EC3" w14:textId="77777777" w:rsidR="00083A23" w:rsidRPr="00083A23" w:rsidRDefault="00083A23" w:rsidP="00083A2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083A23">
        <w:rPr>
          <w:spacing w:val="-3"/>
          <w:lang w:val="sv-SE"/>
        </w:rPr>
        <w:t>Bestämmelser om ikraftsättandet av namnet på överenskommelsen utfärdades genom</w:t>
      </w:r>
    </w:p>
    <w:p w14:paraId="485BA935" w14:textId="77777777" w:rsidR="00083A23" w:rsidRDefault="00083A23" w:rsidP="00083A2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083A23">
        <w:rPr>
          <w:spacing w:val="-3"/>
          <w:lang w:val="sv-SE"/>
        </w:rPr>
        <w:t>förordning av statsrådet (FördrS 119/2020).</w:t>
      </w:r>
    </w:p>
    <w:p w14:paraId="7F774332" w14:textId="77777777" w:rsidR="009E6FC8" w:rsidRPr="00A71C71" w:rsidRDefault="007832F4" w:rsidP="00CA3EE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</w:p>
    <w:p w14:paraId="1D59D96A" w14:textId="77777777" w:rsidR="00D84F8E" w:rsidRDefault="00EB0E1C" w:rsidP="00EB0E1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71C71" w:rsidRPr="00A71C71">
        <w:rPr>
          <w:spacing w:val="-3"/>
          <w:lang w:val="sv-SE"/>
        </w:rPr>
        <w:t>Enligt 18 § 21 punkten i självstyr</w:t>
      </w:r>
      <w:r>
        <w:rPr>
          <w:spacing w:val="-3"/>
          <w:lang w:val="sv-SE"/>
        </w:rPr>
        <w:t xml:space="preserve">elselagen för Åland </w:t>
      </w:r>
      <w:r w:rsidR="00A71C71" w:rsidRPr="00A71C71">
        <w:rPr>
          <w:spacing w:val="-3"/>
          <w:lang w:val="sv-SE"/>
        </w:rPr>
        <w:t>har landskapet lagstiftnings-behörighet i fråga om vägtrafik.</w:t>
      </w:r>
    </w:p>
    <w:p w14:paraId="1AF681EA" w14:textId="77777777" w:rsidR="00AA3FDB" w:rsidRPr="008305EA" w:rsidRDefault="006D35AE" w:rsidP="008305E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462534">
        <w:rPr>
          <w:spacing w:val="-3"/>
          <w:lang w:val="sv-SE"/>
        </w:rPr>
        <w:t xml:space="preserve">den nämnda ikraftträdelseförordningen för avtalet </w:t>
      </w:r>
      <w:r w:rsidR="008305EA">
        <w:rPr>
          <w:spacing w:val="-3"/>
          <w:lang w:val="sv-SE"/>
        </w:rPr>
        <w:t>ska träda i kraft på Åland.</w:t>
      </w:r>
    </w:p>
    <w:p w14:paraId="7DE2AFA4" w14:textId="77777777"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D84F8E" w:rsidRPr="00D84F8E">
        <w:rPr>
          <w:spacing w:val="-3"/>
          <w:lang w:val="sv-SE"/>
        </w:rPr>
        <w:t>statsrådets förordning</w:t>
      </w:r>
      <w:r w:rsidR="00462534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14:paraId="7C792B46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4F7E10A5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16252E">
        <w:t>delar avtalet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3251594B" w14:textId="77777777" w:rsidR="006D35AE" w:rsidRDefault="006D35AE" w:rsidP="006D35AE">
      <w:pPr>
        <w:pStyle w:val="Brdtextmedindrag"/>
        <w:ind w:left="0"/>
      </w:pPr>
    </w:p>
    <w:p w14:paraId="75DB536E" w14:textId="77777777" w:rsidR="00F21913" w:rsidRPr="00A17B6E" w:rsidRDefault="00F21913" w:rsidP="00A11EF2">
      <w:pPr>
        <w:pStyle w:val="Brdtextmedindrag"/>
      </w:pPr>
    </w:p>
    <w:p w14:paraId="7A1CA436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CA0D8B">
        <w:rPr>
          <w:spacing w:val="-3"/>
          <w:lang w:val="sv-SE"/>
        </w:rPr>
        <w:t>1</w:t>
      </w:r>
      <w:r w:rsidR="00CA3EE5">
        <w:rPr>
          <w:spacing w:val="-3"/>
          <w:lang w:val="sv-SE"/>
        </w:rPr>
        <w:t>6</w:t>
      </w:r>
      <w:r w:rsidR="00CA0D8B">
        <w:rPr>
          <w:spacing w:val="-3"/>
          <w:lang w:val="sv-SE"/>
        </w:rPr>
        <w:t xml:space="preserve"> december </w:t>
      </w:r>
      <w:r w:rsidR="0021587D" w:rsidRPr="00A17B6E">
        <w:rPr>
          <w:spacing w:val="-3"/>
          <w:lang w:val="sv-SE"/>
        </w:rPr>
        <w:t>20</w:t>
      </w:r>
      <w:r w:rsidR="00684B45">
        <w:rPr>
          <w:spacing w:val="-3"/>
          <w:lang w:val="sv-SE"/>
        </w:rPr>
        <w:t>21</w:t>
      </w:r>
    </w:p>
    <w:p w14:paraId="37D49232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70F95543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2848E806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0FF9EB40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01C2AB27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42CB3C9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61F9FDD6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4E8BE717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682D29DB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27ABA1DC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7E6D2C97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3D549B7C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71DDBCFC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62A800B0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622F4490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A664657" w14:textId="77777777" w:rsidR="001F376B" w:rsidRPr="004A6F0A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</w:r>
      <w:r w:rsidR="00C80B4B" w:rsidRPr="004A6F0A">
        <w:rPr>
          <w:spacing w:val="-3"/>
        </w:rPr>
        <w:t>Justi</w:t>
      </w:r>
      <w:r w:rsidR="008305EA" w:rsidRPr="004A6F0A">
        <w:rPr>
          <w:spacing w:val="-3"/>
        </w:rPr>
        <w:t>tieminister Anna-Maja Henriksson</w:t>
      </w:r>
    </w:p>
    <w:p w14:paraId="50A56560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42EF1AF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7FAB04C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74A38D6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57352CA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43C02B2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D40557B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81C4253" w14:textId="77777777" w:rsidR="008305EA" w:rsidRPr="004A6F0A" w:rsidRDefault="008305EA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F2940B2" w14:textId="77777777" w:rsidR="00C70D0A" w:rsidRPr="00462534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462534">
        <w:rPr>
          <w:spacing w:val="-3"/>
          <w:sz w:val="16"/>
          <w:szCs w:val="16"/>
          <w:lang w:val="sv-SE"/>
        </w:rPr>
        <w:t>VN/</w:t>
      </w:r>
      <w:r w:rsidR="004A6F0A">
        <w:rPr>
          <w:spacing w:val="-3"/>
          <w:sz w:val="16"/>
          <w:szCs w:val="16"/>
          <w:lang w:val="sv-SE"/>
        </w:rPr>
        <w:t>30898</w:t>
      </w:r>
      <w:r w:rsidR="00883730" w:rsidRPr="00462534">
        <w:rPr>
          <w:spacing w:val="-3"/>
          <w:sz w:val="16"/>
          <w:szCs w:val="16"/>
          <w:lang w:val="sv-SE"/>
        </w:rPr>
        <w:t>/</w:t>
      </w:r>
      <w:r w:rsidR="00684B45">
        <w:rPr>
          <w:spacing w:val="-3"/>
          <w:sz w:val="16"/>
          <w:szCs w:val="16"/>
          <w:lang w:val="sv-SE"/>
        </w:rPr>
        <w:t>2021</w:t>
      </w:r>
    </w:p>
    <w:sectPr w:rsidR="00C70D0A" w:rsidRPr="00462534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592A" w14:textId="77777777" w:rsidR="00D555F5" w:rsidRDefault="00D555F5">
      <w:r>
        <w:separator/>
      </w:r>
    </w:p>
  </w:endnote>
  <w:endnote w:type="continuationSeparator" w:id="0">
    <w:p w14:paraId="63649F2E" w14:textId="77777777" w:rsidR="00D555F5" w:rsidRDefault="00D5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BEA2" w14:textId="77777777" w:rsidR="00D555F5" w:rsidRDefault="00D555F5">
      <w:r>
        <w:separator/>
      </w:r>
    </w:p>
  </w:footnote>
  <w:footnote w:type="continuationSeparator" w:id="0">
    <w:p w14:paraId="005636B8" w14:textId="77777777" w:rsidR="00D555F5" w:rsidRDefault="00D5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643F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A23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03A3"/>
    <w:rsid w:val="000E7DE5"/>
    <w:rsid w:val="000F1DC7"/>
    <w:rsid w:val="000F2CFF"/>
    <w:rsid w:val="000F423F"/>
    <w:rsid w:val="000F4EEF"/>
    <w:rsid w:val="000F6C09"/>
    <w:rsid w:val="00100329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252E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409D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13524"/>
    <w:rsid w:val="00415E7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F05"/>
    <w:rsid w:val="00491C47"/>
    <w:rsid w:val="004977EB"/>
    <w:rsid w:val="004A4324"/>
    <w:rsid w:val="004A4D06"/>
    <w:rsid w:val="004A59C4"/>
    <w:rsid w:val="004A6F0A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85ECD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84B45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16139"/>
    <w:rsid w:val="0072520C"/>
    <w:rsid w:val="00751D53"/>
    <w:rsid w:val="00752AF9"/>
    <w:rsid w:val="00756A81"/>
    <w:rsid w:val="0076141A"/>
    <w:rsid w:val="00761EFD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204D3"/>
    <w:rsid w:val="008215EC"/>
    <w:rsid w:val="0082355C"/>
    <w:rsid w:val="008305EA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651FD"/>
    <w:rsid w:val="009709DF"/>
    <w:rsid w:val="00971C1F"/>
    <w:rsid w:val="00973D48"/>
    <w:rsid w:val="00974F1B"/>
    <w:rsid w:val="0098102A"/>
    <w:rsid w:val="00983C29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3770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26574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D8B"/>
    <w:rsid w:val="00CA3EE5"/>
    <w:rsid w:val="00CA4FBB"/>
    <w:rsid w:val="00CB1388"/>
    <w:rsid w:val="00CB38A6"/>
    <w:rsid w:val="00CC049E"/>
    <w:rsid w:val="00CC2104"/>
    <w:rsid w:val="00CC3A27"/>
    <w:rsid w:val="00CD5AAF"/>
    <w:rsid w:val="00CE1183"/>
    <w:rsid w:val="00CE50C5"/>
    <w:rsid w:val="00CE759E"/>
    <w:rsid w:val="00CF0FB2"/>
    <w:rsid w:val="00CF1C19"/>
    <w:rsid w:val="00CF6C4D"/>
    <w:rsid w:val="00CF711A"/>
    <w:rsid w:val="00D029B0"/>
    <w:rsid w:val="00D048BE"/>
    <w:rsid w:val="00D05F54"/>
    <w:rsid w:val="00D15387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555F5"/>
    <w:rsid w:val="00D60DF6"/>
    <w:rsid w:val="00D61BEF"/>
    <w:rsid w:val="00D6407D"/>
    <w:rsid w:val="00D65EFD"/>
    <w:rsid w:val="00D73D43"/>
    <w:rsid w:val="00D77537"/>
    <w:rsid w:val="00D818A4"/>
    <w:rsid w:val="00D84F8E"/>
    <w:rsid w:val="00D8761F"/>
    <w:rsid w:val="00D90488"/>
    <w:rsid w:val="00D9082C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0E1C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E3FDB"/>
    <w:rsid w:val="00EF104B"/>
    <w:rsid w:val="00EF25B4"/>
    <w:rsid w:val="00EF7BA4"/>
    <w:rsid w:val="00F01D8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1321"/>
    <w:rsid w:val="00F84529"/>
    <w:rsid w:val="00F97BE1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6798C"/>
  <w14:defaultImageDpi w14:val="0"/>
  <w15:docId w15:val="{C33C3B87-8812-44C9-B467-FEBD2C7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94B6-59F2-4B80-A7F5-E2F0C6C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2145</Characters>
  <Application>Microsoft Office Word</Application>
  <DocSecurity>0</DocSecurity>
  <Lines>17</Lines>
  <Paragraphs>5</Paragraphs>
  <ScaleCrop>false</ScaleCrop>
  <Company>OIKEUSMINISTERIÖ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2022-01-12T08:36:00Z</dcterms:created>
  <dcterms:modified xsi:type="dcterms:W3CDTF">2022-01-12T08:36:00Z</dcterms:modified>
</cp:coreProperties>
</file>