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FD63D20" w14:textId="77777777">
        <w:trPr>
          <w:cantSplit/>
          <w:trHeight w:val="20"/>
        </w:trPr>
        <w:tc>
          <w:tcPr>
            <w:tcW w:w="861" w:type="dxa"/>
            <w:vMerge w:val="restart"/>
          </w:tcPr>
          <w:p w14:paraId="6270F96F" w14:textId="1C7EDF47" w:rsidR="002401D0" w:rsidRDefault="00082C68">
            <w:pPr>
              <w:pStyle w:val="xLedtext"/>
              <w:rPr>
                <w:noProof/>
              </w:rPr>
            </w:pPr>
            <w:bookmarkStart w:id="0" w:name="_top"/>
            <w:bookmarkEnd w:id="0"/>
            <w:r>
              <w:rPr>
                <w:noProof/>
              </w:rPr>
              <w:drawing>
                <wp:inline distT="0" distB="0" distL="0" distR="0" wp14:anchorId="1E8415A8" wp14:editId="0B82302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31DF895" w14:textId="539B436D" w:rsidR="002401D0" w:rsidRDefault="00082C68">
            <w:pPr>
              <w:pStyle w:val="xMellanrum"/>
            </w:pPr>
            <w:r>
              <w:rPr>
                <w:noProof/>
              </w:rPr>
              <w:drawing>
                <wp:inline distT="0" distB="0" distL="0" distR="0" wp14:anchorId="4C3F8481" wp14:editId="53147A0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146F0C6" w14:textId="77777777">
        <w:trPr>
          <w:cantSplit/>
          <w:trHeight w:val="299"/>
        </w:trPr>
        <w:tc>
          <w:tcPr>
            <w:tcW w:w="861" w:type="dxa"/>
            <w:vMerge/>
          </w:tcPr>
          <w:p w14:paraId="68F3DC06" w14:textId="77777777" w:rsidR="002401D0" w:rsidRDefault="002401D0">
            <w:pPr>
              <w:pStyle w:val="xLedtext"/>
            </w:pPr>
          </w:p>
        </w:tc>
        <w:tc>
          <w:tcPr>
            <w:tcW w:w="4448" w:type="dxa"/>
            <w:vAlign w:val="bottom"/>
          </w:tcPr>
          <w:p w14:paraId="6E4CC57E" w14:textId="77777777" w:rsidR="002401D0" w:rsidRDefault="002401D0">
            <w:pPr>
              <w:pStyle w:val="xAvsandare1"/>
            </w:pPr>
            <w:r>
              <w:t>Ålands lagting</w:t>
            </w:r>
          </w:p>
        </w:tc>
        <w:tc>
          <w:tcPr>
            <w:tcW w:w="4288" w:type="dxa"/>
            <w:gridSpan w:val="2"/>
            <w:vAlign w:val="bottom"/>
          </w:tcPr>
          <w:p w14:paraId="12416185" w14:textId="2ECBBE11" w:rsidR="002401D0" w:rsidRDefault="002401D0" w:rsidP="00834A0E">
            <w:pPr>
              <w:pStyle w:val="xDokTypNr"/>
            </w:pPr>
            <w:r>
              <w:t xml:space="preserve">BETÄNKANDE nr </w:t>
            </w:r>
            <w:r w:rsidR="00EF4030">
              <w:t>3</w:t>
            </w:r>
            <w:r>
              <w:t>/</w:t>
            </w:r>
            <w:proofErr w:type="gramStart"/>
            <w:r>
              <w:t>20</w:t>
            </w:r>
            <w:r w:rsidR="00CD7E82">
              <w:t>21</w:t>
            </w:r>
            <w:r w:rsidR="0015337C">
              <w:t>-20</w:t>
            </w:r>
            <w:r w:rsidR="00CD7E82">
              <w:t>22</w:t>
            </w:r>
            <w:proofErr w:type="gramEnd"/>
          </w:p>
        </w:tc>
      </w:tr>
      <w:tr w:rsidR="002401D0" w14:paraId="2706A4E4" w14:textId="77777777">
        <w:trPr>
          <w:cantSplit/>
          <w:trHeight w:val="238"/>
        </w:trPr>
        <w:tc>
          <w:tcPr>
            <w:tcW w:w="861" w:type="dxa"/>
            <w:vMerge/>
          </w:tcPr>
          <w:p w14:paraId="498FC461" w14:textId="77777777" w:rsidR="002401D0" w:rsidRDefault="002401D0">
            <w:pPr>
              <w:pStyle w:val="xLedtext"/>
            </w:pPr>
          </w:p>
        </w:tc>
        <w:tc>
          <w:tcPr>
            <w:tcW w:w="4448" w:type="dxa"/>
            <w:vAlign w:val="bottom"/>
          </w:tcPr>
          <w:p w14:paraId="2B6D9F2C" w14:textId="77777777" w:rsidR="002401D0" w:rsidRDefault="002401D0">
            <w:pPr>
              <w:pStyle w:val="xLedtext"/>
            </w:pPr>
          </w:p>
        </w:tc>
        <w:tc>
          <w:tcPr>
            <w:tcW w:w="1725" w:type="dxa"/>
            <w:vAlign w:val="bottom"/>
          </w:tcPr>
          <w:p w14:paraId="27801DF9" w14:textId="77777777" w:rsidR="002401D0" w:rsidRDefault="002401D0">
            <w:pPr>
              <w:pStyle w:val="xLedtext"/>
            </w:pPr>
            <w:r>
              <w:t>Datum</w:t>
            </w:r>
          </w:p>
        </w:tc>
        <w:tc>
          <w:tcPr>
            <w:tcW w:w="2563" w:type="dxa"/>
            <w:vAlign w:val="bottom"/>
          </w:tcPr>
          <w:p w14:paraId="790A9BC4" w14:textId="77777777" w:rsidR="002401D0" w:rsidRDefault="002401D0">
            <w:pPr>
              <w:pStyle w:val="xLedtext"/>
            </w:pPr>
          </w:p>
        </w:tc>
      </w:tr>
      <w:tr w:rsidR="002401D0" w14:paraId="6E949A2A" w14:textId="77777777">
        <w:trPr>
          <w:cantSplit/>
          <w:trHeight w:val="238"/>
        </w:trPr>
        <w:tc>
          <w:tcPr>
            <w:tcW w:w="861" w:type="dxa"/>
            <w:vMerge/>
          </w:tcPr>
          <w:p w14:paraId="44F08DE1" w14:textId="77777777" w:rsidR="002401D0" w:rsidRDefault="002401D0">
            <w:pPr>
              <w:pStyle w:val="xAvsandare2"/>
            </w:pPr>
          </w:p>
        </w:tc>
        <w:tc>
          <w:tcPr>
            <w:tcW w:w="4448" w:type="dxa"/>
            <w:vAlign w:val="center"/>
          </w:tcPr>
          <w:p w14:paraId="5B7FBC6A" w14:textId="77777777" w:rsidR="002401D0" w:rsidRDefault="00834A0E">
            <w:pPr>
              <w:pStyle w:val="xAvsandare2"/>
            </w:pPr>
            <w:r>
              <w:t>Social- och miljö</w:t>
            </w:r>
            <w:r w:rsidR="002401D0">
              <w:t>utskottet</w:t>
            </w:r>
          </w:p>
        </w:tc>
        <w:tc>
          <w:tcPr>
            <w:tcW w:w="1725" w:type="dxa"/>
            <w:vAlign w:val="center"/>
          </w:tcPr>
          <w:p w14:paraId="4E6C19E1" w14:textId="2CAB90CE" w:rsidR="002401D0" w:rsidRDefault="002401D0" w:rsidP="00BC52A9">
            <w:pPr>
              <w:pStyle w:val="xDatum1"/>
            </w:pPr>
            <w:r>
              <w:t>20</w:t>
            </w:r>
            <w:r w:rsidR="00CD7E82">
              <w:t>22-03-</w:t>
            </w:r>
            <w:r w:rsidR="00EF4030">
              <w:t>31</w:t>
            </w:r>
          </w:p>
        </w:tc>
        <w:tc>
          <w:tcPr>
            <w:tcW w:w="2563" w:type="dxa"/>
            <w:vAlign w:val="center"/>
          </w:tcPr>
          <w:p w14:paraId="2429B1BE" w14:textId="77777777" w:rsidR="002401D0" w:rsidRDefault="002401D0">
            <w:pPr>
              <w:pStyle w:val="xBeteckning1"/>
            </w:pPr>
          </w:p>
        </w:tc>
      </w:tr>
      <w:tr w:rsidR="002401D0" w14:paraId="2FCD041F" w14:textId="77777777">
        <w:trPr>
          <w:cantSplit/>
          <w:trHeight w:val="238"/>
        </w:trPr>
        <w:tc>
          <w:tcPr>
            <w:tcW w:w="861" w:type="dxa"/>
            <w:vMerge/>
          </w:tcPr>
          <w:p w14:paraId="55EB3CC9" w14:textId="77777777" w:rsidR="002401D0" w:rsidRDefault="002401D0">
            <w:pPr>
              <w:pStyle w:val="xLedtext"/>
            </w:pPr>
          </w:p>
        </w:tc>
        <w:tc>
          <w:tcPr>
            <w:tcW w:w="4448" w:type="dxa"/>
            <w:vAlign w:val="bottom"/>
          </w:tcPr>
          <w:p w14:paraId="3C87CADA" w14:textId="77777777" w:rsidR="002401D0" w:rsidRDefault="002401D0">
            <w:pPr>
              <w:pStyle w:val="xLedtext"/>
            </w:pPr>
          </w:p>
        </w:tc>
        <w:tc>
          <w:tcPr>
            <w:tcW w:w="1725" w:type="dxa"/>
            <w:vAlign w:val="bottom"/>
          </w:tcPr>
          <w:p w14:paraId="407DF33F" w14:textId="77777777" w:rsidR="002401D0" w:rsidRDefault="002401D0">
            <w:pPr>
              <w:pStyle w:val="xLedtext"/>
            </w:pPr>
          </w:p>
        </w:tc>
        <w:tc>
          <w:tcPr>
            <w:tcW w:w="2563" w:type="dxa"/>
            <w:vAlign w:val="bottom"/>
          </w:tcPr>
          <w:p w14:paraId="3AE9A0DD" w14:textId="77777777" w:rsidR="002401D0" w:rsidRDefault="002401D0">
            <w:pPr>
              <w:pStyle w:val="xLedtext"/>
            </w:pPr>
          </w:p>
        </w:tc>
      </w:tr>
      <w:tr w:rsidR="002401D0" w14:paraId="3F0B029C" w14:textId="77777777">
        <w:trPr>
          <w:cantSplit/>
          <w:trHeight w:val="238"/>
        </w:trPr>
        <w:tc>
          <w:tcPr>
            <w:tcW w:w="861" w:type="dxa"/>
            <w:vMerge/>
            <w:tcBorders>
              <w:bottom w:val="single" w:sz="4" w:space="0" w:color="auto"/>
            </w:tcBorders>
          </w:tcPr>
          <w:p w14:paraId="6723D7D3" w14:textId="77777777" w:rsidR="002401D0" w:rsidRDefault="002401D0">
            <w:pPr>
              <w:pStyle w:val="xAvsandare3"/>
            </w:pPr>
          </w:p>
        </w:tc>
        <w:tc>
          <w:tcPr>
            <w:tcW w:w="4448" w:type="dxa"/>
            <w:tcBorders>
              <w:bottom w:val="single" w:sz="4" w:space="0" w:color="auto"/>
            </w:tcBorders>
            <w:vAlign w:val="center"/>
          </w:tcPr>
          <w:p w14:paraId="651BAD31" w14:textId="77777777" w:rsidR="002401D0" w:rsidRDefault="002401D0">
            <w:pPr>
              <w:pStyle w:val="xAvsandare3"/>
            </w:pPr>
          </w:p>
        </w:tc>
        <w:tc>
          <w:tcPr>
            <w:tcW w:w="1725" w:type="dxa"/>
            <w:tcBorders>
              <w:bottom w:val="single" w:sz="4" w:space="0" w:color="auto"/>
            </w:tcBorders>
            <w:vAlign w:val="center"/>
          </w:tcPr>
          <w:p w14:paraId="71D00E15" w14:textId="77777777" w:rsidR="002401D0" w:rsidRDefault="002401D0">
            <w:pPr>
              <w:pStyle w:val="xDatum2"/>
            </w:pPr>
          </w:p>
        </w:tc>
        <w:tc>
          <w:tcPr>
            <w:tcW w:w="2563" w:type="dxa"/>
            <w:tcBorders>
              <w:bottom w:val="single" w:sz="4" w:space="0" w:color="auto"/>
            </w:tcBorders>
            <w:vAlign w:val="center"/>
          </w:tcPr>
          <w:p w14:paraId="55B9414D" w14:textId="77777777" w:rsidR="002401D0" w:rsidRDefault="002401D0">
            <w:pPr>
              <w:pStyle w:val="xBeteckning2"/>
            </w:pPr>
          </w:p>
        </w:tc>
      </w:tr>
      <w:tr w:rsidR="002401D0" w14:paraId="26B7D95E" w14:textId="77777777">
        <w:trPr>
          <w:cantSplit/>
          <w:trHeight w:val="238"/>
        </w:trPr>
        <w:tc>
          <w:tcPr>
            <w:tcW w:w="861" w:type="dxa"/>
            <w:tcBorders>
              <w:top w:val="single" w:sz="4" w:space="0" w:color="auto"/>
            </w:tcBorders>
            <w:vAlign w:val="bottom"/>
          </w:tcPr>
          <w:p w14:paraId="246FFA22" w14:textId="77777777" w:rsidR="002401D0" w:rsidRDefault="002401D0">
            <w:pPr>
              <w:pStyle w:val="xLedtext"/>
            </w:pPr>
          </w:p>
        </w:tc>
        <w:tc>
          <w:tcPr>
            <w:tcW w:w="4448" w:type="dxa"/>
            <w:tcBorders>
              <w:top w:val="single" w:sz="4" w:space="0" w:color="auto"/>
            </w:tcBorders>
            <w:vAlign w:val="bottom"/>
          </w:tcPr>
          <w:p w14:paraId="76DBAD8F" w14:textId="77777777" w:rsidR="002401D0" w:rsidRDefault="002401D0">
            <w:pPr>
              <w:pStyle w:val="xLedtext"/>
            </w:pPr>
          </w:p>
        </w:tc>
        <w:tc>
          <w:tcPr>
            <w:tcW w:w="4288" w:type="dxa"/>
            <w:gridSpan w:val="2"/>
            <w:tcBorders>
              <w:top w:val="single" w:sz="4" w:space="0" w:color="auto"/>
            </w:tcBorders>
            <w:vAlign w:val="bottom"/>
          </w:tcPr>
          <w:p w14:paraId="649E4487" w14:textId="77777777" w:rsidR="002401D0" w:rsidRDefault="002401D0">
            <w:pPr>
              <w:pStyle w:val="xLedtext"/>
            </w:pPr>
          </w:p>
        </w:tc>
      </w:tr>
      <w:tr w:rsidR="002401D0" w14:paraId="1DAE3255" w14:textId="77777777">
        <w:trPr>
          <w:cantSplit/>
          <w:trHeight w:val="238"/>
        </w:trPr>
        <w:tc>
          <w:tcPr>
            <w:tcW w:w="861" w:type="dxa"/>
          </w:tcPr>
          <w:p w14:paraId="761ABB52" w14:textId="77777777" w:rsidR="002401D0" w:rsidRDefault="002401D0">
            <w:pPr>
              <w:pStyle w:val="xCelltext"/>
            </w:pPr>
          </w:p>
        </w:tc>
        <w:tc>
          <w:tcPr>
            <w:tcW w:w="4448" w:type="dxa"/>
            <w:vMerge w:val="restart"/>
          </w:tcPr>
          <w:p w14:paraId="7A912043" w14:textId="77777777" w:rsidR="002401D0" w:rsidRDefault="002401D0">
            <w:pPr>
              <w:pStyle w:val="xMottagare1"/>
            </w:pPr>
            <w:r>
              <w:t>Till Ålands lagting</w:t>
            </w:r>
          </w:p>
        </w:tc>
        <w:tc>
          <w:tcPr>
            <w:tcW w:w="4288" w:type="dxa"/>
            <w:gridSpan w:val="2"/>
            <w:vMerge w:val="restart"/>
          </w:tcPr>
          <w:p w14:paraId="2C8FA4B3" w14:textId="77777777" w:rsidR="002401D0" w:rsidRDefault="002401D0">
            <w:pPr>
              <w:pStyle w:val="xMottagare1"/>
              <w:tabs>
                <w:tab w:val="left" w:pos="2349"/>
              </w:tabs>
            </w:pPr>
          </w:p>
        </w:tc>
      </w:tr>
      <w:tr w:rsidR="002401D0" w14:paraId="4C8D6081" w14:textId="77777777">
        <w:trPr>
          <w:cantSplit/>
          <w:trHeight w:val="238"/>
        </w:trPr>
        <w:tc>
          <w:tcPr>
            <w:tcW w:w="861" w:type="dxa"/>
          </w:tcPr>
          <w:p w14:paraId="3ECDAF69" w14:textId="77777777" w:rsidR="002401D0" w:rsidRDefault="002401D0">
            <w:pPr>
              <w:pStyle w:val="xCelltext"/>
            </w:pPr>
          </w:p>
        </w:tc>
        <w:tc>
          <w:tcPr>
            <w:tcW w:w="4448" w:type="dxa"/>
            <w:vMerge/>
            <w:vAlign w:val="center"/>
          </w:tcPr>
          <w:p w14:paraId="73CF2263" w14:textId="77777777" w:rsidR="002401D0" w:rsidRDefault="002401D0">
            <w:pPr>
              <w:pStyle w:val="xCelltext"/>
            </w:pPr>
          </w:p>
        </w:tc>
        <w:tc>
          <w:tcPr>
            <w:tcW w:w="4288" w:type="dxa"/>
            <w:gridSpan w:val="2"/>
            <w:vMerge/>
            <w:vAlign w:val="center"/>
          </w:tcPr>
          <w:p w14:paraId="6C672899" w14:textId="77777777" w:rsidR="002401D0" w:rsidRDefault="002401D0">
            <w:pPr>
              <w:pStyle w:val="xCelltext"/>
            </w:pPr>
          </w:p>
        </w:tc>
      </w:tr>
      <w:tr w:rsidR="002401D0" w14:paraId="28B2BA35" w14:textId="77777777">
        <w:trPr>
          <w:cantSplit/>
          <w:trHeight w:val="238"/>
        </w:trPr>
        <w:tc>
          <w:tcPr>
            <w:tcW w:w="861" w:type="dxa"/>
          </w:tcPr>
          <w:p w14:paraId="66BC167E" w14:textId="77777777" w:rsidR="002401D0" w:rsidRDefault="002401D0">
            <w:pPr>
              <w:pStyle w:val="xCelltext"/>
            </w:pPr>
          </w:p>
        </w:tc>
        <w:tc>
          <w:tcPr>
            <w:tcW w:w="4448" w:type="dxa"/>
            <w:vMerge/>
            <w:vAlign w:val="center"/>
          </w:tcPr>
          <w:p w14:paraId="58B7D39D" w14:textId="77777777" w:rsidR="002401D0" w:rsidRDefault="002401D0">
            <w:pPr>
              <w:pStyle w:val="xCelltext"/>
            </w:pPr>
          </w:p>
        </w:tc>
        <w:tc>
          <w:tcPr>
            <w:tcW w:w="4288" w:type="dxa"/>
            <w:gridSpan w:val="2"/>
            <w:vMerge/>
            <w:vAlign w:val="center"/>
          </w:tcPr>
          <w:p w14:paraId="1F3E00D5" w14:textId="77777777" w:rsidR="002401D0" w:rsidRDefault="002401D0">
            <w:pPr>
              <w:pStyle w:val="xCelltext"/>
            </w:pPr>
          </w:p>
        </w:tc>
      </w:tr>
      <w:tr w:rsidR="002401D0" w14:paraId="7C4AEDEA" w14:textId="77777777">
        <w:trPr>
          <w:cantSplit/>
          <w:trHeight w:val="238"/>
        </w:trPr>
        <w:tc>
          <w:tcPr>
            <w:tcW w:w="861" w:type="dxa"/>
          </w:tcPr>
          <w:p w14:paraId="6B9E3A06" w14:textId="77777777" w:rsidR="002401D0" w:rsidRDefault="002401D0">
            <w:pPr>
              <w:pStyle w:val="xCelltext"/>
            </w:pPr>
          </w:p>
        </w:tc>
        <w:tc>
          <w:tcPr>
            <w:tcW w:w="4448" w:type="dxa"/>
            <w:vMerge/>
            <w:vAlign w:val="center"/>
          </w:tcPr>
          <w:p w14:paraId="3024EFEB" w14:textId="77777777" w:rsidR="002401D0" w:rsidRDefault="002401D0">
            <w:pPr>
              <w:pStyle w:val="xCelltext"/>
            </w:pPr>
          </w:p>
        </w:tc>
        <w:tc>
          <w:tcPr>
            <w:tcW w:w="4288" w:type="dxa"/>
            <w:gridSpan w:val="2"/>
            <w:vMerge/>
            <w:vAlign w:val="center"/>
          </w:tcPr>
          <w:p w14:paraId="1414C80A" w14:textId="77777777" w:rsidR="002401D0" w:rsidRDefault="002401D0">
            <w:pPr>
              <w:pStyle w:val="xCelltext"/>
            </w:pPr>
          </w:p>
        </w:tc>
      </w:tr>
      <w:tr w:rsidR="002401D0" w14:paraId="37130811" w14:textId="77777777">
        <w:trPr>
          <w:cantSplit/>
          <w:trHeight w:val="238"/>
        </w:trPr>
        <w:tc>
          <w:tcPr>
            <w:tcW w:w="861" w:type="dxa"/>
          </w:tcPr>
          <w:p w14:paraId="61961262" w14:textId="77777777" w:rsidR="002401D0" w:rsidRDefault="002401D0">
            <w:pPr>
              <w:pStyle w:val="xCelltext"/>
            </w:pPr>
          </w:p>
        </w:tc>
        <w:tc>
          <w:tcPr>
            <w:tcW w:w="4448" w:type="dxa"/>
            <w:vMerge/>
            <w:vAlign w:val="center"/>
          </w:tcPr>
          <w:p w14:paraId="554C147D" w14:textId="77777777" w:rsidR="002401D0" w:rsidRDefault="002401D0">
            <w:pPr>
              <w:pStyle w:val="xCelltext"/>
            </w:pPr>
          </w:p>
        </w:tc>
        <w:tc>
          <w:tcPr>
            <w:tcW w:w="4288" w:type="dxa"/>
            <w:gridSpan w:val="2"/>
            <w:vMerge/>
            <w:vAlign w:val="center"/>
          </w:tcPr>
          <w:p w14:paraId="62BAE5E9" w14:textId="77777777" w:rsidR="002401D0" w:rsidRDefault="002401D0">
            <w:pPr>
              <w:pStyle w:val="xCelltext"/>
            </w:pPr>
          </w:p>
        </w:tc>
      </w:tr>
    </w:tbl>
    <w:p w14:paraId="702947A5"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AAE6C1D" w14:textId="77777777" w:rsidR="002401D0" w:rsidRDefault="00834A0E">
      <w:pPr>
        <w:pStyle w:val="ArendeOverRubrik"/>
      </w:pPr>
      <w:r>
        <w:t>Social- och miljö</w:t>
      </w:r>
      <w:r w:rsidR="002401D0">
        <w:t>utskottets betänkande</w:t>
      </w:r>
    </w:p>
    <w:p w14:paraId="10769963" w14:textId="09493723" w:rsidR="002401D0" w:rsidRDefault="00834A0E">
      <w:pPr>
        <w:pStyle w:val="ArendeRubrik"/>
      </w:pPr>
      <w:r>
        <w:t>Ålands landskapsregerings alkohol-, narkotika-, dopnings-, tobaks- och spelpolitiska program 2</w:t>
      </w:r>
      <w:r w:rsidR="00CD7E82">
        <w:t>022</w:t>
      </w:r>
      <w:r>
        <w:t xml:space="preserve"> - 202</w:t>
      </w:r>
      <w:r w:rsidR="00CD7E82">
        <w:t>4</w:t>
      </w:r>
    </w:p>
    <w:p w14:paraId="30E72064" w14:textId="1DD13798" w:rsidR="002401D0" w:rsidRDefault="00CD7E82">
      <w:pPr>
        <w:pStyle w:val="ArendeUnderRubrik"/>
      </w:pPr>
      <w:r>
        <w:t>Landskapsregeringens meddelande M 2/</w:t>
      </w:r>
      <w:proofErr w:type="gramStart"/>
      <w:r>
        <w:t>2021-2022</w:t>
      </w:r>
      <w:proofErr w:type="gramEnd"/>
    </w:p>
    <w:p w14:paraId="2DD2635D" w14:textId="77777777" w:rsidR="002401D0" w:rsidRDefault="002401D0">
      <w:pPr>
        <w:pStyle w:val="ANormal"/>
      </w:pPr>
    </w:p>
    <w:p w14:paraId="7B3AA1C0" w14:textId="77777777" w:rsidR="002401D0" w:rsidRDefault="002401D0">
      <w:pPr>
        <w:pStyle w:val="Innehll1"/>
      </w:pPr>
      <w:r>
        <w:t>INNEHÅLL</w:t>
      </w:r>
    </w:p>
    <w:p w14:paraId="135C4115" w14:textId="374C6B55" w:rsidR="00BC76CF" w:rsidRPr="00303D25" w:rsidRDefault="002401D0">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511819222" w:history="1">
        <w:r w:rsidR="00BC76CF" w:rsidRPr="001E72FA">
          <w:rPr>
            <w:rStyle w:val="Hyperlnk"/>
          </w:rPr>
          <w:t>Sammanfattning</w:t>
        </w:r>
        <w:r w:rsidR="00BC76CF">
          <w:rPr>
            <w:webHidden/>
          </w:rPr>
          <w:tab/>
        </w:r>
        <w:r w:rsidR="00BC76CF">
          <w:rPr>
            <w:webHidden/>
          </w:rPr>
          <w:fldChar w:fldCharType="begin"/>
        </w:r>
        <w:r w:rsidR="00BC76CF">
          <w:rPr>
            <w:webHidden/>
          </w:rPr>
          <w:instrText xml:space="preserve"> PAGEREF _Toc511819222 \h </w:instrText>
        </w:r>
        <w:r w:rsidR="00BC76CF">
          <w:rPr>
            <w:webHidden/>
          </w:rPr>
        </w:r>
        <w:r w:rsidR="00BC76CF">
          <w:rPr>
            <w:webHidden/>
          </w:rPr>
          <w:fldChar w:fldCharType="separate"/>
        </w:r>
        <w:r w:rsidR="002374E9">
          <w:rPr>
            <w:webHidden/>
          </w:rPr>
          <w:t>1</w:t>
        </w:r>
        <w:r w:rsidR="00BC76CF">
          <w:rPr>
            <w:webHidden/>
          </w:rPr>
          <w:fldChar w:fldCharType="end"/>
        </w:r>
      </w:hyperlink>
    </w:p>
    <w:p w14:paraId="55397FB2" w14:textId="4BE4C248" w:rsidR="00BC76CF" w:rsidRPr="00303D25" w:rsidRDefault="00DF30B2">
      <w:pPr>
        <w:pStyle w:val="Innehll2"/>
        <w:rPr>
          <w:rFonts w:ascii="Calibri" w:hAnsi="Calibri"/>
          <w:sz w:val="22"/>
          <w:szCs w:val="22"/>
          <w:lang w:val="sv-FI" w:eastAsia="sv-FI"/>
        </w:rPr>
      </w:pPr>
      <w:hyperlink w:anchor="_Toc511819223" w:history="1">
        <w:r w:rsidR="00BC76CF" w:rsidRPr="001E72FA">
          <w:rPr>
            <w:rStyle w:val="Hyperlnk"/>
          </w:rPr>
          <w:t>Landskapsregeringens förslag</w:t>
        </w:r>
        <w:r w:rsidR="00BC76CF">
          <w:rPr>
            <w:webHidden/>
          </w:rPr>
          <w:tab/>
        </w:r>
        <w:r w:rsidR="00BC76CF">
          <w:rPr>
            <w:webHidden/>
          </w:rPr>
          <w:fldChar w:fldCharType="begin"/>
        </w:r>
        <w:r w:rsidR="00BC76CF">
          <w:rPr>
            <w:webHidden/>
          </w:rPr>
          <w:instrText xml:space="preserve"> PAGEREF _Toc511819223 \h </w:instrText>
        </w:r>
        <w:r w:rsidR="00BC76CF">
          <w:rPr>
            <w:webHidden/>
          </w:rPr>
        </w:r>
        <w:r w:rsidR="00BC76CF">
          <w:rPr>
            <w:webHidden/>
          </w:rPr>
          <w:fldChar w:fldCharType="separate"/>
        </w:r>
        <w:r w:rsidR="002374E9">
          <w:rPr>
            <w:webHidden/>
          </w:rPr>
          <w:t>1</w:t>
        </w:r>
        <w:r w:rsidR="00BC76CF">
          <w:rPr>
            <w:webHidden/>
          </w:rPr>
          <w:fldChar w:fldCharType="end"/>
        </w:r>
      </w:hyperlink>
    </w:p>
    <w:p w14:paraId="19E4AAEE" w14:textId="2ECE5A6B" w:rsidR="00BC76CF" w:rsidRPr="00303D25" w:rsidRDefault="00DF30B2">
      <w:pPr>
        <w:pStyle w:val="Innehll2"/>
        <w:rPr>
          <w:rFonts w:ascii="Calibri" w:hAnsi="Calibri"/>
          <w:sz w:val="22"/>
          <w:szCs w:val="22"/>
          <w:lang w:val="sv-FI" w:eastAsia="sv-FI"/>
        </w:rPr>
      </w:pPr>
      <w:hyperlink w:anchor="_Toc511819224" w:history="1">
        <w:r w:rsidR="00BC76CF" w:rsidRPr="001E72FA">
          <w:rPr>
            <w:rStyle w:val="Hyperlnk"/>
          </w:rPr>
          <w:t>Utskottets förslag</w:t>
        </w:r>
        <w:r w:rsidR="00BC76CF">
          <w:rPr>
            <w:webHidden/>
          </w:rPr>
          <w:tab/>
        </w:r>
        <w:r w:rsidR="00BC76CF">
          <w:rPr>
            <w:webHidden/>
          </w:rPr>
          <w:fldChar w:fldCharType="begin"/>
        </w:r>
        <w:r w:rsidR="00BC76CF">
          <w:rPr>
            <w:webHidden/>
          </w:rPr>
          <w:instrText xml:space="preserve"> PAGEREF _Toc511819224 \h </w:instrText>
        </w:r>
        <w:r w:rsidR="00BC76CF">
          <w:rPr>
            <w:webHidden/>
          </w:rPr>
        </w:r>
        <w:r w:rsidR="00BC76CF">
          <w:rPr>
            <w:webHidden/>
          </w:rPr>
          <w:fldChar w:fldCharType="separate"/>
        </w:r>
        <w:r w:rsidR="002374E9">
          <w:rPr>
            <w:webHidden/>
          </w:rPr>
          <w:t>2</w:t>
        </w:r>
        <w:r w:rsidR="00BC76CF">
          <w:rPr>
            <w:webHidden/>
          </w:rPr>
          <w:fldChar w:fldCharType="end"/>
        </w:r>
      </w:hyperlink>
    </w:p>
    <w:p w14:paraId="747E2913" w14:textId="7C837D78" w:rsidR="00BC76CF" w:rsidRPr="00303D25" w:rsidRDefault="00DF30B2">
      <w:pPr>
        <w:pStyle w:val="Innehll1"/>
        <w:rPr>
          <w:rFonts w:ascii="Calibri" w:hAnsi="Calibri"/>
          <w:sz w:val="22"/>
          <w:szCs w:val="22"/>
          <w:lang w:val="sv-FI" w:eastAsia="sv-FI"/>
        </w:rPr>
      </w:pPr>
      <w:hyperlink w:anchor="_Toc511819225" w:history="1">
        <w:r w:rsidR="00BC76CF" w:rsidRPr="001E72FA">
          <w:rPr>
            <w:rStyle w:val="Hyperlnk"/>
          </w:rPr>
          <w:t>Utskottets synpunkter</w:t>
        </w:r>
        <w:r w:rsidR="00BC76CF">
          <w:rPr>
            <w:webHidden/>
          </w:rPr>
          <w:tab/>
        </w:r>
        <w:r w:rsidR="00BC76CF">
          <w:rPr>
            <w:webHidden/>
          </w:rPr>
          <w:fldChar w:fldCharType="begin"/>
        </w:r>
        <w:r w:rsidR="00BC76CF">
          <w:rPr>
            <w:webHidden/>
          </w:rPr>
          <w:instrText xml:space="preserve"> PAGEREF _Toc511819225 \h </w:instrText>
        </w:r>
        <w:r w:rsidR="00BC76CF">
          <w:rPr>
            <w:webHidden/>
          </w:rPr>
        </w:r>
        <w:r w:rsidR="00BC76CF">
          <w:rPr>
            <w:webHidden/>
          </w:rPr>
          <w:fldChar w:fldCharType="separate"/>
        </w:r>
        <w:r w:rsidR="002374E9">
          <w:rPr>
            <w:webHidden/>
          </w:rPr>
          <w:t>2</w:t>
        </w:r>
        <w:r w:rsidR="00BC76CF">
          <w:rPr>
            <w:webHidden/>
          </w:rPr>
          <w:fldChar w:fldCharType="end"/>
        </w:r>
      </w:hyperlink>
    </w:p>
    <w:p w14:paraId="26FABC15" w14:textId="24AB4085" w:rsidR="00BC76CF" w:rsidRPr="00303D25" w:rsidRDefault="00DF30B2">
      <w:pPr>
        <w:pStyle w:val="Innehll1"/>
        <w:rPr>
          <w:rFonts w:ascii="Calibri" w:hAnsi="Calibri"/>
          <w:sz w:val="22"/>
          <w:szCs w:val="22"/>
          <w:lang w:val="sv-FI" w:eastAsia="sv-FI"/>
        </w:rPr>
      </w:pPr>
      <w:hyperlink w:anchor="_Toc511819226" w:history="1">
        <w:r w:rsidR="00BC76CF" w:rsidRPr="001E72FA">
          <w:rPr>
            <w:rStyle w:val="Hyperlnk"/>
          </w:rPr>
          <w:t>Ärendets behandling</w:t>
        </w:r>
        <w:r w:rsidR="00BC76CF">
          <w:rPr>
            <w:webHidden/>
          </w:rPr>
          <w:tab/>
        </w:r>
        <w:r w:rsidR="00BC76CF">
          <w:rPr>
            <w:webHidden/>
          </w:rPr>
          <w:fldChar w:fldCharType="begin"/>
        </w:r>
        <w:r w:rsidR="00BC76CF">
          <w:rPr>
            <w:webHidden/>
          </w:rPr>
          <w:instrText xml:space="preserve"> PAGEREF _Toc511819226 \h </w:instrText>
        </w:r>
        <w:r w:rsidR="00BC76CF">
          <w:rPr>
            <w:webHidden/>
          </w:rPr>
        </w:r>
        <w:r w:rsidR="00BC76CF">
          <w:rPr>
            <w:webHidden/>
          </w:rPr>
          <w:fldChar w:fldCharType="separate"/>
        </w:r>
        <w:r w:rsidR="002374E9">
          <w:rPr>
            <w:webHidden/>
          </w:rPr>
          <w:t>3</w:t>
        </w:r>
        <w:r w:rsidR="00BC76CF">
          <w:rPr>
            <w:webHidden/>
          </w:rPr>
          <w:fldChar w:fldCharType="end"/>
        </w:r>
      </w:hyperlink>
    </w:p>
    <w:p w14:paraId="7C0E46F8" w14:textId="4B60E3B6" w:rsidR="00BC76CF" w:rsidRPr="00303D25" w:rsidRDefault="00DF30B2">
      <w:pPr>
        <w:pStyle w:val="Innehll1"/>
        <w:rPr>
          <w:rFonts w:ascii="Calibri" w:hAnsi="Calibri"/>
          <w:sz w:val="22"/>
          <w:szCs w:val="22"/>
          <w:lang w:val="sv-FI" w:eastAsia="sv-FI"/>
        </w:rPr>
      </w:pPr>
      <w:hyperlink w:anchor="_Toc511819227" w:history="1">
        <w:r w:rsidR="00BC76CF" w:rsidRPr="001E72FA">
          <w:rPr>
            <w:rStyle w:val="Hyperlnk"/>
          </w:rPr>
          <w:t>Utskottets förslag</w:t>
        </w:r>
        <w:r w:rsidR="00BC76CF">
          <w:rPr>
            <w:webHidden/>
          </w:rPr>
          <w:tab/>
        </w:r>
        <w:r w:rsidR="00BC76CF">
          <w:rPr>
            <w:webHidden/>
          </w:rPr>
          <w:fldChar w:fldCharType="begin"/>
        </w:r>
        <w:r w:rsidR="00BC76CF">
          <w:rPr>
            <w:webHidden/>
          </w:rPr>
          <w:instrText xml:space="preserve"> PAGEREF _Toc511819227 \h </w:instrText>
        </w:r>
        <w:r w:rsidR="00BC76CF">
          <w:rPr>
            <w:webHidden/>
          </w:rPr>
        </w:r>
        <w:r w:rsidR="00BC76CF">
          <w:rPr>
            <w:webHidden/>
          </w:rPr>
          <w:fldChar w:fldCharType="separate"/>
        </w:r>
        <w:r w:rsidR="002374E9">
          <w:rPr>
            <w:webHidden/>
          </w:rPr>
          <w:t>3</w:t>
        </w:r>
        <w:r w:rsidR="00BC76CF">
          <w:rPr>
            <w:webHidden/>
          </w:rPr>
          <w:fldChar w:fldCharType="end"/>
        </w:r>
      </w:hyperlink>
    </w:p>
    <w:p w14:paraId="4AC59406" w14:textId="77777777" w:rsidR="002401D0" w:rsidRDefault="002401D0">
      <w:pPr>
        <w:pStyle w:val="ANormal"/>
        <w:rPr>
          <w:noProof/>
        </w:rPr>
      </w:pPr>
      <w:r>
        <w:rPr>
          <w:rFonts w:ascii="Verdana" w:hAnsi="Verdana"/>
          <w:noProof/>
          <w:sz w:val="16"/>
          <w:szCs w:val="36"/>
        </w:rPr>
        <w:fldChar w:fldCharType="end"/>
      </w:r>
    </w:p>
    <w:p w14:paraId="18CC94CE" w14:textId="77777777" w:rsidR="002401D0" w:rsidRDefault="002401D0">
      <w:pPr>
        <w:pStyle w:val="ANormal"/>
      </w:pPr>
    </w:p>
    <w:p w14:paraId="7B756884" w14:textId="77777777" w:rsidR="002401D0" w:rsidRDefault="002401D0">
      <w:pPr>
        <w:pStyle w:val="RubrikA"/>
      </w:pPr>
      <w:bookmarkStart w:id="1" w:name="_Toc529800932"/>
      <w:bookmarkStart w:id="2" w:name="_Toc511819222"/>
      <w:r>
        <w:t>Sammanfattning</w:t>
      </w:r>
      <w:bookmarkEnd w:id="1"/>
      <w:bookmarkEnd w:id="2"/>
    </w:p>
    <w:p w14:paraId="62378D4E" w14:textId="77777777" w:rsidR="002401D0" w:rsidRDefault="002401D0">
      <w:pPr>
        <w:pStyle w:val="Rubrikmellanrum"/>
      </w:pPr>
    </w:p>
    <w:p w14:paraId="0834E532" w14:textId="77777777" w:rsidR="002401D0" w:rsidRDefault="00834A0E">
      <w:pPr>
        <w:pStyle w:val="RubrikB"/>
      </w:pPr>
      <w:bookmarkStart w:id="3" w:name="_Toc529800933"/>
      <w:bookmarkStart w:id="4" w:name="_Toc511819223"/>
      <w:r>
        <w:t>Landskapsregeringens</w:t>
      </w:r>
      <w:r w:rsidR="002401D0">
        <w:t xml:space="preserve"> förslag</w:t>
      </w:r>
      <w:bookmarkEnd w:id="3"/>
      <w:bookmarkEnd w:id="4"/>
    </w:p>
    <w:p w14:paraId="70496C4E" w14:textId="77777777" w:rsidR="002401D0" w:rsidRDefault="002401D0">
      <w:pPr>
        <w:pStyle w:val="Rubrikmellanrum"/>
      </w:pPr>
    </w:p>
    <w:p w14:paraId="7E22C575" w14:textId="77777777" w:rsidR="00CD7E82" w:rsidRPr="0034151F" w:rsidRDefault="00CD7E82" w:rsidP="00CD7E82">
      <w:pPr>
        <w:pStyle w:val="ANormal"/>
      </w:pPr>
      <w:r w:rsidRPr="0034151F">
        <w:rPr>
          <w:lang w:val="sv-FI"/>
        </w:rPr>
        <w:t xml:space="preserve">Landskapsregeringen beslöt </w:t>
      </w:r>
      <w:r>
        <w:rPr>
          <w:lang w:val="sv-FI"/>
        </w:rPr>
        <w:t xml:space="preserve">den </w:t>
      </w:r>
      <w:r w:rsidRPr="0034151F">
        <w:rPr>
          <w:lang w:val="sv-FI"/>
        </w:rPr>
        <w:t xml:space="preserve">8 juni 2021 att tillsätta en parlamentarisk kommitté för </w:t>
      </w:r>
      <w:r>
        <w:rPr>
          <w:lang w:val="sv-FI"/>
        </w:rPr>
        <w:t xml:space="preserve">att </w:t>
      </w:r>
      <w:r w:rsidRPr="0034151F">
        <w:rPr>
          <w:lang w:val="sv-FI"/>
        </w:rPr>
        <w:t>uppgöra</w:t>
      </w:r>
      <w:r>
        <w:rPr>
          <w:lang w:val="sv-FI"/>
        </w:rPr>
        <w:t xml:space="preserve"> </w:t>
      </w:r>
      <w:r w:rsidRPr="0034151F">
        <w:rPr>
          <w:lang w:val="sv-FI"/>
        </w:rPr>
        <w:t>ett</w:t>
      </w:r>
      <w:r>
        <w:rPr>
          <w:lang w:val="sv-FI"/>
        </w:rPr>
        <w:t xml:space="preserve"> förslag på ett nytt</w:t>
      </w:r>
      <w:r w:rsidRPr="0034151F">
        <w:rPr>
          <w:lang w:val="sv-FI"/>
        </w:rPr>
        <w:t xml:space="preserve"> alkohol-, narkotika-, dopnings-, tobaks- och spelpolitiskt </w:t>
      </w:r>
      <w:r>
        <w:rPr>
          <w:lang w:val="sv-FI"/>
        </w:rPr>
        <w:t xml:space="preserve">(ANDTS) </w:t>
      </w:r>
      <w:r w:rsidRPr="0034151F">
        <w:rPr>
          <w:lang w:val="sv-FI"/>
        </w:rPr>
        <w:t>program</w:t>
      </w:r>
      <w:r>
        <w:rPr>
          <w:lang w:val="sv-FI"/>
        </w:rPr>
        <w:t xml:space="preserve">. Kommittén framlade </w:t>
      </w:r>
      <w:r w:rsidRPr="0029117E">
        <w:rPr>
          <w:lang w:val="sv-FI"/>
        </w:rPr>
        <w:t xml:space="preserve">den 10 </w:t>
      </w:r>
      <w:r w:rsidRPr="003764E0">
        <w:rPr>
          <w:lang w:val="sv-FI"/>
        </w:rPr>
        <w:t xml:space="preserve">december </w:t>
      </w:r>
      <w:r>
        <w:rPr>
          <w:lang w:val="sv-FI"/>
        </w:rPr>
        <w:t>sitt förslag</w:t>
      </w:r>
      <w:r w:rsidRPr="003764E0">
        <w:rPr>
          <w:lang w:val="sv-FI"/>
        </w:rPr>
        <w:t>. Landskapsregeringen fastställde programmet den 27 januari 2022.</w:t>
      </w:r>
    </w:p>
    <w:p w14:paraId="16FE0F98" w14:textId="77777777" w:rsidR="00CD7E82" w:rsidRDefault="00CD7E82" w:rsidP="00CD7E82">
      <w:pPr>
        <w:pStyle w:val="ANormal"/>
      </w:pPr>
      <w:r w:rsidRPr="0034151F">
        <w:tab/>
        <w:t xml:space="preserve">Programmet utgår från målen i utvecklings- och hållbarhetsagendan för Åland. </w:t>
      </w:r>
      <w:r>
        <w:t>Programmet</w:t>
      </w:r>
      <w:r w:rsidRPr="0034151F">
        <w:t xml:space="preserve"> formulerar ett övergripande mål och </w:t>
      </w:r>
      <w:r>
        <w:t xml:space="preserve">sex </w:t>
      </w:r>
      <w:r w:rsidRPr="0034151F">
        <w:t xml:space="preserve">delmål för </w:t>
      </w:r>
      <w:r>
        <w:t xml:space="preserve">landskapsregeringens ANDTS-politik. Det övergripande målet är att </w:t>
      </w:r>
      <w:r w:rsidRPr="00D06C7D">
        <w:t xml:space="preserve">förebygga och begränsa de negativa fysiska, psykiska och sociala effekterna av ANDTS-bruk som hindrar människor från att leva ett hälsosamt, tryggt och meningsfullt liv. </w:t>
      </w:r>
      <w:r>
        <w:t>Programmet präglas av en avsikt att stärka skyddsfaktorer och tidigt förebygga sådana riskfaktorer som sammanhänger med ANDTS-relaterade skadeverkningar på brukare, anhöriga och samhället i stort. Därtill ställer det också mål om att främja upptäckt och vård av personer med ett skadligt bruk eller ett beroende av ANDTS.</w:t>
      </w:r>
    </w:p>
    <w:p w14:paraId="2BA8F7E3" w14:textId="77777777" w:rsidR="00CD7E82" w:rsidRDefault="00CD7E82" w:rsidP="00CD7E82">
      <w:pPr>
        <w:pStyle w:val="ANormal"/>
      </w:pPr>
      <w:r>
        <w:tab/>
      </w:r>
      <w:r w:rsidRPr="0034151F">
        <w:t xml:space="preserve">Programmet </w:t>
      </w:r>
      <w:r>
        <w:t>f</w:t>
      </w:r>
      <w:r w:rsidRPr="0034151F">
        <w:t xml:space="preserve">astställer </w:t>
      </w:r>
      <w:r>
        <w:t xml:space="preserve">en struktur för dess genomförande och uppföljning samt </w:t>
      </w:r>
      <w:r w:rsidRPr="0034151F">
        <w:t>bereder väg för ett</w:t>
      </w:r>
      <w:r>
        <w:t xml:space="preserve"> separat</w:t>
      </w:r>
      <w:r w:rsidRPr="0034151F">
        <w:t xml:space="preserve"> åtgärdsprogram med konkreta insatser som ska bidra till att </w:t>
      </w:r>
      <w:r>
        <w:t xml:space="preserve">det politiska </w:t>
      </w:r>
      <w:r w:rsidRPr="0034151F">
        <w:t>programmets mål blir uppfyllda.</w:t>
      </w:r>
      <w:r>
        <w:t xml:space="preserve"> Å</w:t>
      </w:r>
      <w:r w:rsidRPr="0034151F">
        <w:t xml:space="preserve">tgärdsprogrammet </w:t>
      </w:r>
      <w:r>
        <w:t xml:space="preserve">kommer att </w:t>
      </w:r>
      <w:r w:rsidRPr="0034151F">
        <w:t xml:space="preserve">omfatta landskapsregeringens avdelningar, landskapsmyndigheter och av landskapsregeringen finansierade </w:t>
      </w:r>
      <w:r>
        <w:t>funktioner</w:t>
      </w:r>
      <w:r w:rsidRPr="0034151F">
        <w:t>.</w:t>
      </w:r>
      <w:r>
        <w:t xml:space="preserve"> </w:t>
      </w:r>
      <w:r w:rsidRPr="0034151F">
        <w:t xml:space="preserve">En parlamentarisk kommitté bildas för </w:t>
      </w:r>
      <w:r>
        <w:t>att under programtiden</w:t>
      </w:r>
      <w:r w:rsidRPr="0034151F">
        <w:t xml:space="preserve"> följa upp och bidra till programmets </w:t>
      </w:r>
      <w:r>
        <w:t>förverkligande</w:t>
      </w:r>
      <w:r w:rsidRPr="0034151F">
        <w:t>.</w:t>
      </w:r>
    </w:p>
    <w:p w14:paraId="0C3A85C0" w14:textId="77777777" w:rsidR="00CD7E82" w:rsidRPr="0034151F" w:rsidRDefault="00CD7E82" w:rsidP="00CD7E82">
      <w:pPr>
        <w:pStyle w:val="ANormal"/>
      </w:pPr>
      <w:r>
        <w:tab/>
      </w:r>
      <w:r w:rsidRPr="0034151F">
        <w:t xml:space="preserve">Programmet erkänner </w:t>
      </w:r>
      <w:r>
        <w:t xml:space="preserve">att måluppfyllelse förutsätter insatser av </w:t>
      </w:r>
      <w:r w:rsidRPr="0034151F">
        <w:t xml:space="preserve">fler än landskapsregeringen och </w:t>
      </w:r>
      <w:r>
        <w:t>landskaps</w:t>
      </w:r>
      <w:r w:rsidRPr="0034151F">
        <w:t>myndigheter</w:t>
      </w:r>
      <w:r>
        <w:t xml:space="preserve">na. I beredningen har </w:t>
      </w:r>
      <w:r w:rsidRPr="0034151F">
        <w:t>hörande</w:t>
      </w:r>
      <w:r>
        <w:t>n</w:t>
      </w:r>
      <w:r w:rsidRPr="0034151F">
        <w:t xml:space="preserve"> av</w:t>
      </w:r>
      <w:r>
        <w:t xml:space="preserve"> flera berörda </w:t>
      </w:r>
      <w:r w:rsidRPr="0034151F">
        <w:t>aktör</w:t>
      </w:r>
      <w:r>
        <w:t>er i den kommunala sektorn och tredje sektorn samt</w:t>
      </w:r>
      <w:r w:rsidRPr="0034151F">
        <w:t xml:space="preserve"> en </w:t>
      </w:r>
      <w:r>
        <w:t xml:space="preserve">brett </w:t>
      </w:r>
      <w:r w:rsidRPr="0034151F">
        <w:t>omfattande remiss</w:t>
      </w:r>
      <w:r>
        <w:t xml:space="preserve"> ordnats. Aktörer från olika sektorer och nivåer i samhället välkomnas att delta i programmets förverkligande.</w:t>
      </w:r>
    </w:p>
    <w:p w14:paraId="3C29D8C3" w14:textId="3833A669" w:rsidR="00CD7E82" w:rsidRPr="001C7B97" w:rsidRDefault="00CD7E82" w:rsidP="00CD7E82">
      <w:pPr>
        <w:pStyle w:val="ANormal"/>
        <w:rPr>
          <w:lang w:val="sv-FI"/>
        </w:rPr>
      </w:pPr>
      <w:r>
        <w:t xml:space="preserve">   </w:t>
      </w:r>
    </w:p>
    <w:p w14:paraId="6408BDF8" w14:textId="77777777" w:rsidR="002401D0" w:rsidRDefault="00834A0E">
      <w:pPr>
        <w:pStyle w:val="ANormal"/>
      </w:pPr>
      <w:r>
        <w:rPr>
          <w:lang w:val="sv-FI"/>
        </w:rPr>
        <w:t xml:space="preserve">   </w:t>
      </w:r>
    </w:p>
    <w:p w14:paraId="3E6CAC8F" w14:textId="3083E03D" w:rsidR="002401D0" w:rsidRDefault="002401D0">
      <w:pPr>
        <w:pStyle w:val="RubrikB"/>
      </w:pPr>
      <w:bookmarkStart w:id="5" w:name="_Toc529800934"/>
      <w:bookmarkStart w:id="6" w:name="_Toc511819224"/>
      <w:r>
        <w:lastRenderedPageBreak/>
        <w:t>Utskottets förslag</w:t>
      </w:r>
      <w:bookmarkEnd w:id="5"/>
      <w:bookmarkEnd w:id="6"/>
    </w:p>
    <w:p w14:paraId="4E3E52AF" w14:textId="47F6EB33" w:rsidR="00AF2151" w:rsidRDefault="00AF2151" w:rsidP="00AF2151">
      <w:pPr>
        <w:pStyle w:val="Rubrikmellanrum"/>
      </w:pPr>
    </w:p>
    <w:p w14:paraId="66A9E562" w14:textId="11EFF089" w:rsidR="00AF2151" w:rsidRPr="00AF2151" w:rsidRDefault="00AF2151" w:rsidP="00AF2151">
      <w:pPr>
        <w:pStyle w:val="ANormal"/>
      </w:pPr>
      <w:r>
        <w:t>Utskottet föreslår att lagtinget antecknar sig landskap</w:t>
      </w:r>
      <w:r w:rsidR="00EF4030">
        <w:t>s</w:t>
      </w:r>
      <w:r>
        <w:t xml:space="preserve">regeringens meddelande för kännedom </w:t>
      </w:r>
      <w:r w:rsidR="00EF4030">
        <w:t>och bringar betänkandets motivering till landskapsregeringens kännedom.</w:t>
      </w:r>
    </w:p>
    <w:p w14:paraId="6A24BF24" w14:textId="77777777" w:rsidR="002401D0" w:rsidRDefault="002401D0">
      <w:pPr>
        <w:pStyle w:val="Rubrikmellanrum"/>
      </w:pPr>
    </w:p>
    <w:p w14:paraId="2CDD71FA" w14:textId="28D177D8" w:rsidR="002401D0" w:rsidRDefault="002401D0">
      <w:pPr>
        <w:pStyle w:val="RubrikA"/>
      </w:pPr>
      <w:bookmarkStart w:id="7" w:name="_Toc529800935"/>
      <w:bookmarkStart w:id="8" w:name="_Toc511819225"/>
      <w:r>
        <w:t>Utskottets synpunkter</w:t>
      </w:r>
      <w:bookmarkEnd w:id="7"/>
      <w:bookmarkEnd w:id="8"/>
    </w:p>
    <w:p w14:paraId="06EF6407" w14:textId="28DD09C1" w:rsidR="00480EE2" w:rsidRDefault="00480EE2" w:rsidP="00480EE2">
      <w:pPr>
        <w:pStyle w:val="Rubrikmellanrum"/>
      </w:pPr>
    </w:p>
    <w:p w14:paraId="3714DECD" w14:textId="0E8FC5CA" w:rsidR="009D383D" w:rsidRDefault="00480EE2" w:rsidP="00480EE2">
      <w:pPr>
        <w:pStyle w:val="ANormal"/>
      </w:pPr>
      <w:r>
        <w:t xml:space="preserve">Utskottet konstaterar att missbruk av alkohol, narkotika, doping, tobak och spel medför omfattande skadeverkningar som orsakar </w:t>
      </w:r>
      <w:r w:rsidR="008D758E">
        <w:t xml:space="preserve">lidande </w:t>
      </w:r>
      <w:r w:rsidR="00FA716D">
        <w:t>för den enskilde</w:t>
      </w:r>
      <w:r w:rsidR="0066238D">
        <w:t xml:space="preserve"> och</w:t>
      </w:r>
      <w:r w:rsidR="0068136F">
        <w:t xml:space="preserve"> närstående samt </w:t>
      </w:r>
      <w:r>
        <w:t>betydande kost</w:t>
      </w:r>
      <w:r w:rsidR="008D758E">
        <w:t>nader för samhället</w:t>
      </w:r>
      <w:r>
        <w:t>.</w:t>
      </w:r>
      <w:r w:rsidR="008D758E">
        <w:t xml:space="preserve"> Utskottet anser därför att det är angeläget att det bedrivs ett samordnat och kontinuerligt arbete på ANDTS-området med fokus på såväl </w:t>
      </w:r>
      <w:r w:rsidR="0066238D">
        <w:t xml:space="preserve">generella som riktade </w:t>
      </w:r>
      <w:r w:rsidR="008D758E">
        <w:t>förebyggande insatser</w:t>
      </w:r>
      <w:r w:rsidR="0066238D">
        <w:t xml:space="preserve"> och </w:t>
      </w:r>
      <w:r w:rsidR="008D758E">
        <w:t>vård</w:t>
      </w:r>
      <w:r w:rsidR="004A73D3">
        <w:t>.</w:t>
      </w:r>
      <w:r w:rsidR="00BD7823">
        <w:t xml:space="preserve"> </w:t>
      </w:r>
    </w:p>
    <w:p w14:paraId="5E124FFF" w14:textId="35341B51" w:rsidR="00EA40A2" w:rsidRDefault="00EA40A2" w:rsidP="00480EE2">
      <w:pPr>
        <w:pStyle w:val="ANormal"/>
      </w:pPr>
      <w:r>
        <w:tab/>
      </w:r>
      <w:r w:rsidRPr="00EA40A2">
        <w:t xml:space="preserve">Utskottet </w:t>
      </w:r>
      <w:r>
        <w:t xml:space="preserve">konstaterar </w:t>
      </w:r>
      <w:r w:rsidRPr="00EA40A2">
        <w:t>att</w:t>
      </w:r>
      <w:r>
        <w:t xml:space="preserve"> ANDTS-</w:t>
      </w:r>
      <w:r w:rsidRPr="00EA40A2">
        <w:t xml:space="preserve">programmet är väl förankrat. En parlamentarisk tillsatt referensgrupp med företrädare från lagtingets samtliga partier har deltagit i beredningen av programmet. Under arbetets gång hölls ett brett hörande med berörda myndigheter och aktörer inom tredje sektorn. Ett utkast till programmet sändes även på remiss till berörda aktörer inom olika samhällssektorer. En förutsättning för ett framgångsrikt </w:t>
      </w:r>
      <w:r w:rsidR="00201C41">
        <w:t xml:space="preserve">och strukturerat </w:t>
      </w:r>
      <w:r w:rsidRPr="00EA40A2">
        <w:t xml:space="preserve">genomförande av </w:t>
      </w:r>
      <w:r w:rsidR="00201C41">
        <w:t>ANDTS-</w:t>
      </w:r>
      <w:r w:rsidRPr="00EA40A2">
        <w:t xml:space="preserve">programmet och kommande åtgärdsprogram är att arbetet på området fortsättningsvis sker i bred samverkan och kontinuerlig dialog mellan berörda aktörer. Den operativa samverkans- och referensgruppen </w:t>
      </w:r>
      <w:r w:rsidR="00201C41">
        <w:t>som har</w:t>
      </w:r>
      <w:r w:rsidRPr="00EA40A2">
        <w:t xml:space="preserve"> till uppgift att främja samverkan, kunskapsutbyte och initiativ bland aktörerna som är verksamma på fältet inom ANDTS-</w:t>
      </w:r>
      <w:r>
        <w:t xml:space="preserve">frågor </w:t>
      </w:r>
      <w:r w:rsidRPr="00EA40A2">
        <w:t>har en nyckelroll</w:t>
      </w:r>
      <w:r>
        <w:t xml:space="preserve">. </w:t>
      </w:r>
      <w:r w:rsidRPr="00EA40A2">
        <w:t xml:space="preserve">Utskottet har erfarit att samverkan och kommunikationen mellan gruppen och den parlamentariskt tillsatta kommitté som ska följa upp ANDTS-programmet </w:t>
      </w:r>
      <w:r w:rsidR="0068136F">
        <w:t>bör stärkas</w:t>
      </w:r>
      <w:r w:rsidRPr="00EA40A2">
        <w:t>. En dialog behöver enligt utskottet ske mellan gruppen och den parlamentariska kommittén på regelbunden basis för att försäkra sig om att målsättningarna och åtgärderna är de rätta och</w:t>
      </w:r>
      <w:r w:rsidR="00201C41">
        <w:t xml:space="preserve"> </w:t>
      </w:r>
      <w:r w:rsidRPr="00EA40A2">
        <w:t>vid behov k</w:t>
      </w:r>
      <w:r w:rsidR="00201C41">
        <w:t>an ändras eller kompletteras</w:t>
      </w:r>
      <w:r w:rsidRPr="00EA40A2">
        <w:t xml:space="preserve">.  </w:t>
      </w:r>
    </w:p>
    <w:p w14:paraId="13360C52" w14:textId="40C4A635" w:rsidR="001F7897" w:rsidRPr="001F7897" w:rsidRDefault="00780D7F" w:rsidP="001F7897">
      <w:pPr>
        <w:pStyle w:val="ANormal"/>
      </w:pPr>
      <w:r>
        <w:tab/>
      </w:r>
      <w:r w:rsidR="00201C41">
        <w:t>I</w:t>
      </w:r>
      <w:r w:rsidR="00D34601">
        <w:t xml:space="preserve"> </w:t>
      </w:r>
      <w:r w:rsidR="00AA7F5E">
        <w:t>ANDTS-</w:t>
      </w:r>
      <w:r w:rsidR="00D34601">
        <w:t xml:space="preserve">programmet redogörs för målsättningarna på </w:t>
      </w:r>
      <w:r w:rsidR="001D31A0">
        <w:t>ANDTS-</w:t>
      </w:r>
      <w:r w:rsidR="00D34601">
        <w:t xml:space="preserve">området </w:t>
      </w:r>
      <w:r w:rsidR="00AA7F5E">
        <w:t xml:space="preserve">och de indikatorer som ska användas för uppföljning av </w:t>
      </w:r>
      <w:r w:rsidR="00085EB7">
        <w:t xml:space="preserve">målsättningarna. De konkreta </w:t>
      </w:r>
      <w:r w:rsidR="00AA7F5E">
        <w:t>åtgärder</w:t>
      </w:r>
      <w:r w:rsidR="00E744AC">
        <w:t>na</w:t>
      </w:r>
      <w:r w:rsidR="00AA7F5E">
        <w:t xml:space="preserve"> </w:t>
      </w:r>
      <w:r w:rsidR="00085EB7">
        <w:t>kommer att u</w:t>
      </w:r>
      <w:r w:rsidR="00AA7F5E">
        <w:t xml:space="preserve">tformas i ett separat åtgärdsprogram utgående från programmets målsättningar. </w:t>
      </w:r>
      <w:r w:rsidR="001F7897" w:rsidRPr="001F7897">
        <w:t xml:space="preserve">Utskottet anser att det är positivt att åtgärderna </w:t>
      </w:r>
      <w:r w:rsidR="00AA7F5E">
        <w:t xml:space="preserve">till skillnad från tidigare program ingår i ett separat åtgärdsprogram </w:t>
      </w:r>
      <w:r w:rsidR="00C717E9">
        <w:t xml:space="preserve">och att indikatorer kommer att användas i uppföljningen. </w:t>
      </w:r>
      <w:r w:rsidR="001F7897" w:rsidRPr="001F7897">
        <w:t xml:space="preserve">Ett separat åtgärdsprogram som antas och ändras av landskapsregeringen skapar </w:t>
      </w:r>
      <w:r w:rsidR="00F3482E">
        <w:t xml:space="preserve">en </w:t>
      </w:r>
      <w:r w:rsidR="001F7897" w:rsidRPr="001F7897">
        <w:t xml:space="preserve">flexibilitet som möjliggör att ytterligare eller ändrade åtgärder snabbt kan intas i programmet om behov uppstår. </w:t>
      </w:r>
      <w:r w:rsidR="00F3482E">
        <w:t>U</w:t>
      </w:r>
      <w:r w:rsidR="00E744AC">
        <w:t xml:space="preserve">tskottet anser dock att det är viktigt att </w:t>
      </w:r>
      <w:r w:rsidR="00FA7029">
        <w:t xml:space="preserve">det </w:t>
      </w:r>
      <w:r w:rsidR="00F3482E">
        <w:t xml:space="preserve">i kommande ANDTS-program </w:t>
      </w:r>
      <w:r w:rsidR="00FA7029">
        <w:t>redogörs för hur</w:t>
      </w:r>
      <w:r w:rsidR="00E744AC">
        <w:t xml:space="preserve"> åtgärdsp</w:t>
      </w:r>
      <w:r w:rsidR="00EA40A2">
        <w:t>rogrammet</w:t>
      </w:r>
      <w:r w:rsidR="00E744AC">
        <w:t xml:space="preserve"> har förverkligats</w:t>
      </w:r>
      <w:r w:rsidR="009071C5">
        <w:t xml:space="preserve"> och i vilken mån målsättningarna har uppfyllts</w:t>
      </w:r>
      <w:r w:rsidR="00F3482E">
        <w:t xml:space="preserve">.  </w:t>
      </w:r>
      <w:r w:rsidR="00E744AC">
        <w:t xml:space="preserve">  </w:t>
      </w:r>
    </w:p>
    <w:p w14:paraId="011D9478" w14:textId="628735B7" w:rsidR="00462DBC" w:rsidRDefault="007B388A" w:rsidP="00480EE2">
      <w:pPr>
        <w:pStyle w:val="ANormal"/>
      </w:pPr>
      <w:r>
        <w:tab/>
      </w:r>
      <w:r w:rsidR="005329A0">
        <w:t xml:space="preserve"> </w:t>
      </w:r>
      <w:r w:rsidR="00F91266">
        <w:t>Utskottet har i samband med behandlingen av tidigare ANDTS-program (betänkande nr 2/2014</w:t>
      </w:r>
      <w:r w:rsidR="00725EF7">
        <w:t xml:space="preserve"> </w:t>
      </w:r>
      <w:r w:rsidR="00F91266">
        <w:t>-</w:t>
      </w:r>
      <w:r w:rsidR="00725EF7">
        <w:t xml:space="preserve"> </w:t>
      </w:r>
      <w:r w:rsidR="00F91266">
        <w:t xml:space="preserve">2015) </w:t>
      </w:r>
      <w:r w:rsidR="0004361E">
        <w:t xml:space="preserve">efterlyst åtgärder för att förebygga och bryta dataspelsberoende. I betänkandet </w:t>
      </w:r>
      <w:r w:rsidR="00C90722">
        <w:t>över ANDTS-programmet för åren 2013</w:t>
      </w:r>
      <w:r w:rsidR="00725EF7">
        <w:t xml:space="preserve"> </w:t>
      </w:r>
      <w:r w:rsidR="00C90722">
        <w:t>-</w:t>
      </w:r>
      <w:r w:rsidR="00725EF7">
        <w:t xml:space="preserve"> </w:t>
      </w:r>
      <w:r w:rsidR="00C90722">
        <w:t xml:space="preserve">2016 </w:t>
      </w:r>
      <w:r w:rsidR="0004361E">
        <w:t>konstatera</w:t>
      </w:r>
      <w:r w:rsidR="00C90722">
        <w:t>de</w:t>
      </w:r>
      <w:r w:rsidR="0004361E">
        <w:t xml:space="preserve"> utskottet </w:t>
      </w:r>
      <w:r w:rsidR="00D06C7D">
        <w:t>att dataspelsberoende och överdrivet dataspelande bland barn och unga är ett växande problem som behöver uppmärksammas</w:t>
      </w:r>
      <w:r w:rsidR="00A661C7">
        <w:t xml:space="preserve">. Utskottet </w:t>
      </w:r>
      <w:r w:rsidR="00D06C7D">
        <w:t>konstatera</w:t>
      </w:r>
      <w:r w:rsidR="00C90722">
        <w:t>de</w:t>
      </w:r>
      <w:r w:rsidR="00D06C7D">
        <w:t xml:space="preserve"> </w:t>
      </w:r>
      <w:r w:rsidR="00C90722">
        <w:t xml:space="preserve">vidare </w:t>
      </w:r>
      <w:r w:rsidR="0004361E">
        <w:t>att ett dataspelande som övergår i ett dataspelsberoende kan få allvarliga konsekvenser på såväl den fysiska som den psykiska hälsan</w:t>
      </w:r>
      <w:r w:rsidR="003545AA">
        <w:t>. Utskottet noterar med tillfredsställelse att</w:t>
      </w:r>
      <w:r w:rsidR="00C90722">
        <w:t xml:space="preserve"> </w:t>
      </w:r>
      <w:r w:rsidR="005A5AA2">
        <w:t xml:space="preserve">målsättningar </w:t>
      </w:r>
      <w:r w:rsidR="00BA78EB">
        <w:t xml:space="preserve">gällande </w:t>
      </w:r>
      <w:r w:rsidR="005A5AA2">
        <w:t>d</w:t>
      </w:r>
      <w:r w:rsidR="00C90722">
        <w:t>igitalt spelande nu intagits i ANDTS-programmet</w:t>
      </w:r>
      <w:r w:rsidR="005A5AA2">
        <w:t xml:space="preserve">. Utskottet förutsätter att konkreta åtgärder intas i åtgärdsprogrammet för att </w:t>
      </w:r>
      <w:r w:rsidR="00BA78EB">
        <w:t>förebygga och lindra skadeverkningar av digitalt spelberoende.</w:t>
      </w:r>
      <w:r w:rsidR="00C90722">
        <w:t xml:space="preserve"> </w:t>
      </w:r>
      <w:r w:rsidR="00A661C7">
        <w:t xml:space="preserve"> </w:t>
      </w:r>
    </w:p>
    <w:p w14:paraId="27979A12" w14:textId="454D1199" w:rsidR="00393890" w:rsidRDefault="00664FAC" w:rsidP="00480EE2">
      <w:pPr>
        <w:pStyle w:val="ANormal"/>
      </w:pPr>
      <w:r>
        <w:tab/>
      </w:r>
      <w:r w:rsidR="00192095">
        <w:t xml:space="preserve">Utskottet konstaterar att det arbete som </w:t>
      </w:r>
      <w:r w:rsidR="00090C77">
        <w:t xml:space="preserve">skyddar bäst och </w:t>
      </w:r>
      <w:r w:rsidR="00192095">
        <w:t xml:space="preserve">har störst betydelse </w:t>
      </w:r>
      <w:r w:rsidR="00393890">
        <w:t xml:space="preserve">för att förebygga problem som orsakas av alkohol, narkotika, dopning, tobak och spel är traditionell </w:t>
      </w:r>
      <w:r w:rsidR="00F874E1">
        <w:t xml:space="preserve">ungdoms- och fritidsverksamhet, övrigt </w:t>
      </w:r>
      <w:r w:rsidR="00393890">
        <w:t xml:space="preserve">socialt arbete </w:t>
      </w:r>
      <w:r w:rsidR="00F874E1">
        <w:t>samt</w:t>
      </w:r>
      <w:r w:rsidR="00393890">
        <w:t xml:space="preserve"> </w:t>
      </w:r>
      <w:r w:rsidR="00F874E1">
        <w:t xml:space="preserve">strategiskt </w:t>
      </w:r>
      <w:r w:rsidR="00393890">
        <w:t>folkhälsoarb</w:t>
      </w:r>
      <w:r w:rsidR="00B737FB">
        <w:t>ete</w:t>
      </w:r>
      <w:r w:rsidR="00393890">
        <w:t>.</w:t>
      </w:r>
      <w:r w:rsidR="00B737FB">
        <w:t xml:space="preserve"> Åtgärder i den </w:t>
      </w:r>
      <w:r w:rsidR="00EF21E4">
        <w:t xml:space="preserve">kommande </w:t>
      </w:r>
      <w:r w:rsidR="00B737FB">
        <w:lastRenderedPageBreak/>
        <w:t>folkhälsostrategi</w:t>
      </w:r>
      <w:r w:rsidR="00EF21E4">
        <w:t>n</w:t>
      </w:r>
      <w:r w:rsidR="00B737FB">
        <w:t xml:space="preserve"> torde således </w:t>
      </w:r>
      <w:r w:rsidR="00EF21E4">
        <w:t xml:space="preserve">även </w:t>
      </w:r>
      <w:r w:rsidR="00B737FB">
        <w:t>gynna det förebyggande ANDTS-</w:t>
      </w:r>
      <w:r w:rsidR="00EF21E4">
        <w:t xml:space="preserve">arbetet och </w:t>
      </w:r>
      <w:r w:rsidR="006E48B3">
        <w:t xml:space="preserve">fungera som </w:t>
      </w:r>
      <w:r w:rsidR="00EF21E4">
        <w:t xml:space="preserve">skyddsfaktorer </w:t>
      </w:r>
      <w:r w:rsidR="00856B70">
        <w:t xml:space="preserve">mot </w:t>
      </w:r>
      <w:r w:rsidR="00EF21E4">
        <w:t>att utveckla</w:t>
      </w:r>
      <w:r w:rsidR="006E48B3">
        <w:t xml:space="preserve"> </w:t>
      </w:r>
      <w:r w:rsidR="00EF21E4">
        <w:t>ett ANDTS-</w:t>
      </w:r>
      <w:r w:rsidR="00856B70">
        <w:t>miss</w:t>
      </w:r>
      <w:r w:rsidR="00EF21E4">
        <w:t>bruk.</w:t>
      </w:r>
    </w:p>
    <w:p w14:paraId="0BEAC291" w14:textId="7E599EAD" w:rsidR="00EF21E4" w:rsidRDefault="00EF21E4" w:rsidP="00480EE2">
      <w:pPr>
        <w:pStyle w:val="ANormal"/>
      </w:pPr>
      <w:r>
        <w:tab/>
      </w:r>
      <w:r w:rsidRPr="00EF21E4">
        <w:t xml:space="preserve">Utskottet konstaterar </w:t>
      </w:r>
      <w:r w:rsidR="00856B70">
        <w:t xml:space="preserve">avslutningsvis </w:t>
      </w:r>
      <w:r w:rsidRPr="00EF21E4">
        <w:t>att en av målsättningarna i ANDTS-politiska programmet för år 2017 - 2020 var en översyn av substitutionsvården. Substitutionsprogrammet på Åland, som genomförs av Ålands hälso- och sjukvård i samarbete med beroendemottagningen</w:t>
      </w:r>
      <w:r w:rsidR="00520A40">
        <w:t xml:space="preserve"> inom Kommunernas socialtjänst </w:t>
      </w:r>
      <w:proofErr w:type="spellStart"/>
      <w:r w:rsidR="00520A40">
        <w:t>k.f</w:t>
      </w:r>
      <w:proofErr w:type="spellEnd"/>
      <w:r w:rsidR="00520A40">
        <w:t>.,</w:t>
      </w:r>
      <w:r w:rsidRPr="00EF21E4">
        <w:t xml:space="preserve"> skulle ses över utgående från de nationella riktlinjerna för substitutionsvården. I föreliggande ANDTS-program konstateras att åtgärden endast delvis </w:t>
      </w:r>
      <w:r w:rsidR="00F874E1">
        <w:t xml:space="preserve">har </w:t>
      </w:r>
      <w:r w:rsidRPr="00EF21E4">
        <w:t xml:space="preserve">förverkligats. Utskottet anser att det är angeläget att riktlinjerna för substitutionsvården på Åland uppdateras utgående från de nationella riktlinjerna och </w:t>
      </w:r>
      <w:r w:rsidR="00125E23">
        <w:t xml:space="preserve">förväntar sig att det arbete som inletts </w:t>
      </w:r>
      <w:r w:rsidR="005A58AC">
        <w:t>slutförs</w:t>
      </w:r>
      <w:r w:rsidR="00125E23">
        <w:t xml:space="preserve">. </w:t>
      </w:r>
      <w:r w:rsidRPr="00EF21E4">
        <w:t xml:space="preserve">   </w:t>
      </w:r>
    </w:p>
    <w:p w14:paraId="582E7FB4" w14:textId="718940D7" w:rsidR="00F91266" w:rsidRDefault="00F91266" w:rsidP="00480EE2">
      <w:pPr>
        <w:pStyle w:val="ANormal"/>
      </w:pPr>
      <w:r>
        <w:t xml:space="preserve"> </w:t>
      </w:r>
    </w:p>
    <w:p w14:paraId="55198EDE" w14:textId="77777777" w:rsidR="002401D0" w:rsidRDefault="002401D0">
      <w:pPr>
        <w:pStyle w:val="RubrikA"/>
      </w:pPr>
      <w:bookmarkStart w:id="9" w:name="_Toc529800936"/>
      <w:bookmarkStart w:id="10" w:name="_Toc511819226"/>
      <w:r>
        <w:t>Ärendets behandling</w:t>
      </w:r>
      <w:bookmarkEnd w:id="9"/>
      <w:bookmarkEnd w:id="10"/>
    </w:p>
    <w:p w14:paraId="508AC2DF" w14:textId="77777777" w:rsidR="002401D0" w:rsidRDefault="002401D0">
      <w:pPr>
        <w:pStyle w:val="Rubrikmellanrum"/>
      </w:pPr>
    </w:p>
    <w:p w14:paraId="7662D840" w14:textId="6A208727" w:rsidR="00BC76CF" w:rsidRDefault="00BC76CF" w:rsidP="00BC76CF">
      <w:pPr>
        <w:pStyle w:val="ANormal"/>
      </w:pPr>
      <w:r>
        <w:t xml:space="preserve">Lagtinget har den </w:t>
      </w:r>
      <w:r w:rsidR="00CD7E82">
        <w:t>7</w:t>
      </w:r>
      <w:r>
        <w:t xml:space="preserve"> </w:t>
      </w:r>
      <w:r w:rsidR="00CD7E82">
        <w:t>mars</w:t>
      </w:r>
      <w:r>
        <w:t xml:space="preserve"> 20</w:t>
      </w:r>
      <w:r w:rsidR="00CD7E82">
        <w:t>22</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r>
        <w:t xml:space="preserve"> </w:t>
      </w:r>
    </w:p>
    <w:p w14:paraId="490EF707" w14:textId="7D078B62" w:rsidR="00BC76CF" w:rsidRDefault="00BC76CF" w:rsidP="00BC76CF">
      <w:pPr>
        <w:pStyle w:val="ANormal"/>
      </w:pPr>
      <w:r>
        <w:tab/>
        <w:t>Utskottet har i ärendet hört</w:t>
      </w:r>
      <w:r w:rsidR="00E96C3C">
        <w:t xml:space="preserve"> ministern Annette Holmberg-Jansson och specialsakkunnige Fredrik Rönnlund.</w:t>
      </w:r>
      <w:r w:rsidR="00AF5348">
        <w:t xml:space="preserve"> </w:t>
      </w:r>
    </w:p>
    <w:p w14:paraId="21CC386D" w14:textId="441BEC35" w:rsidR="00C21AB2" w:rsidRDefault="00BC76CF" w:rsidP="00C21AB2">
      <w:pPr>
        <w:pStyle w:val="ANormal"/>
        <w:rPr>
          <w:color w:val="000000"/>
        </w:rPr>
      </w:pPr>
      <w:r>
        <w:tab/>
      </w:r>
      <w:r w:rsidR="00C21AB2" w:rsidRPr="00CA0EA6">
        <w:rPr>
          <w:color w:val="000000"/>
        </w:rPr>
        <w:t xml:space="preserve">I ärendets avgörande behandling deltog ordföranden </w:t>
      </w:r>
      <w:r w:rsidR="00C21AB2">
        <w:rPr>
          <w:color w:val="000000"/>
        </w:rPr>
        <w:t>Pernilla Söderlund</w:t>
      </w:r>
      <w:r w:rsidR="00C21AB2" w:rsidRPr="00CA0EA6">
        <w:rPr>
          <w:color w:val="000000"/>
        </w:rPr>
        <w:t xml:space="preserve">, viceordföranden </w:t>
      </w:r>
      <w:r w:rsidR="00C21AB2">
        <w:rPr>
          <w:color w:val="000000"/>
        </w:rPr>
        <w:t>Mikael Lindholm</w:t>
      </w:r>
      <w:r w:rsidR="00C21AB2" w:rsidRPr="00CA0EA6">
        <w:rPr>
          <w:color w:val="000000"/>
        </w:rPr>
        <w:t xml:space="preserve"> samt ledamöterna</w:t>
      </w:r>
      <w:r w:rsidR="00C21AB2">
        <w:rPr>
          <w:color w:val="000000"/>
        </w:rPr>
        <w:t xml:space="preserve"> Stellan </w:t>
      </w:r>
      <w:proofErr w:type="spellStart"/>
      <w:r w:rsidR="00C21AB2">
        <w:rPr>
          <w:color w:val="000000"/>
        </w:rPr>
        <w:t>Egeland</w:t>
      </w:r>
      <w:proofErr w:type="spellEnd"/>
      <w:r w:rsidR="00C21AB2">
        <w:rPr>
          <w:color w:val="000000"/>
        </w:rPr>
        <w:t>, Simon Holmström</w:t>
      </w:r>
      <w:r w:rsidR="00E74B84">
        <w:rPr>
          <w:color w:val="000000"/>
        </w:rPr>
        <w:t xml:space="preserve"> och</w:t>
      </w:r>
      <w:r w:rsidR="00C21AB2">
        <w:rPr>
          <w:color w:val="000000"/>
        </w:rPr>
        <w:t xml:space="preserve"> Simon </w:t>
      </w:r>
      <w:proofErr w:type="spellStart"/>
      <w:r w:rsidR="00C21AB2">
        <w:rPr>
          <w:color w:val="000000"/>
        </w:rPr>
        <w:t>Påvals</w:t>
      </w:r>
      <w:proofErr w:type="spellEnd"/>
      <w:r w:rsidR="00C21AB2">
        <w:rPr>
          <w:color w:val="000000"/>
        </w:rPr>
        <w:t xml:space="preserve"> </w:t>
      </w:r>
      <w:r w:rsidR="00E74B84">
        <w:rPr>
          <w:color w:val="000000"/>
        </w:rPr>
        <w:t>samt ersättaren Tage Silander</w:t>
      </w:r>
      <w:r w:rsidR="00C21AB2">
        <w:rPr>
          <w:color w:val="000000"/>
        </w:rPr>
        <w:t xml:space="preserve">.  </w:t>
      </w:r>
    </w:p>
    <w:p w14:paraId="6F3F70A7" w14:textId="329D6D5D" w:rsidR="002401D0" w:rsidRDefault="002401D0" w:rsidP="00C21AB2">
      <w:pPr>
        <w:pStyle w:val="ANormal"/>
      </w:pPr>
    </w:p>
    <w:p w14:paraId="6FD1A64F" w14:textId="77777777" w:rsidR="002401D0" w:rsidRDefault="002401D0">
      <w:pPr>
        <w:pStyle w:val="RubrikA"/>
      </w:pPr>
      <w:bookmarkStart w:id="11" w:name="_Toc529800937"/>
      <w:bookmarkStart w:id="12" w:name="_Toc511819227"/>
      <w:r>
        <w:t>Utskottets förslag</w:t>
      </w:r>
      <w:bookmarkEnd w:id="11"/>
      <w:bookmarkEnd w:id="12"/>
    </w:p>
    <w:p w14:paraId="58E6176A" w14:textId="77777777" w:rsidR="002401D0" w:rsidRDefault="002401D0">
      <w:pPr>
        <w:pStyle w:val="Rubrikmellanrum"/>
      </w:pPr>
    </w:p>
    <w:p w14:paraId="0E1D1AF2" w14:textId="397AF59C" w:rsidR="002401D0" w:rsidRDefault="002401D0">
      <w:pPr>
        <w:pStyle w:val="ANormal"/>
      </w:pPr>
      <w:r>
        <w:t>Med hänvisning till det anförda föreslår utskottet</w:t>
      </w:r>
    </w:p>
    <w:p w14:paraId="3D2D2F4C" w14:textId="097C5758" w:rsidR="00E96C3C" w:rsidRDefault="00E96C3C">
      <w:pPr>
        <w:pStyle w:val="ANormal"/>
      </w:pPr>
    </w:p>
    <w:p w14:paraId="022F918E" w14:textId="6D833272" w:rsidR="00E96C3C" w:rsidRDefault="00E96C3C" w:rsidP="00E96C3C">
      <w:pPr>
        <w:pStyle w:val="ANormal"/>
        <w:ind w:left="1304"/>
      </w:pPr>
      <w:r>
        <w:t>att lagtinget antecknar sig meddelandet för kännedom och bringar betänkandets motivering till landskapsregeringens kännedom.</w:t>
      </w:r>
    </w:p>
    <w:p w14:paraId="0D9F7CCD" w14:textId="77777777" w:rsidR="002401D0" w:rsidRDefault="002401D0">
      <w:pPr>
        <w:pStyle w:val="ANormal"/>
      </w:pPr>
    </w:p>
    <w:p w14:paraId="5FA64212" w14:textId="77777777" w:rsidR="002401D0" w:rsidRDefault="00DF30B2">
      <w:pPr>
        <w:pStyle w:val="ANormal"/>
        <w:jc w:val="center"/>
      </w:pPr>
      <w:hyperlink w:anchor="_top" w:tooltip="Klicka för att gå till toppen av dokumentet" w:history="1">
        <w:r w:rsidR="002401D0">
          <w:rPr>
            <w:rStyle w:val="Hyperlnk"/>
          </w:rPr>
          <w:t>__________________</w:t>
        </w:r>
      </w:hyperlink>
    </w:p>
    <w:p w14:paraId="08418F13" w14:textId="77777777" w:rsidR="002401D0" w:rsidRDefault="002401D0">
      <w:pPr>
        <w:pStyle w:val="ANormal"/>
      </w:pPr>
    </w:p>
    <w:p w14:paraId="561A79E8"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CF7FB03" w14:textId="77777777">
        <w:trPr>
          <w:cantSplit/>
        </w:trPr>
        <w:tc>
          <w:tcPr>
            <w:tcW w:w="7931" w:type="dxa"/>
            <w:gridSpan w:val="2"/>
          </w:tcPr>
          <w:p w14:paraId="50C3A75A" w14:textId="2B8FDA49" w:rsidR="002401D0" w:rsidRDefault="002401D0" w:rsidP="00E546CD">
            <w:pPr>
              <w:pStyle w:val="ANormal"/>
              <w:keepNext/>
            </w:pPr>
            <w:r>
              <w:t xml:space="preserve">Mariehamn den </w:t>
            </w:r>
            <w:r w:rsidR="00E96C3C">
              <w:t>31</w:t>
            </w:r>
            <w:r w:rsidR="00BC76CF">
              <w:t xml:space="preserve"> </w:t>
            </w:r>
            <w:r w:rsidR="00C21AB2">
              <w:t>mars</w:t>
            </w:r>
            <w:r w:rsidR="00BC76CF">
              <w:t xml:space="preserve"> 20</w:t>
            </w:r>
            <w:r w:rsidR="00C21AB2">
              <w:t>22</w:t>
            </w:r>
          </w:p>
        </w:tc>
      </w:tr>
      <w:tr w:rsidR="002401D0" w14:paraId="1E541351" w14:textId="77777777">
        <w:tc>
          <w:tcPr>
            <w:tcW w:w="4454" w:type="dxa"/>
            <w:vAlign w:val="bottom"/>
          </w:tcPr>
          <w:p w14:paraId="5065A1B1" w14:textId="77777777" w:rsidR="002401D0" w:rsidRDefault="002401D0">
            <w:pPr>
              <w:pStyle w:val="ANormal"/>
              <w:keepNext/>
            </w:pPr>
          </w:p>
          <w:p w14:paraId="65F8EA07" w14:textId="77777777" w:rsidR="002401D0" w:rsidRDefault="002401D0">
            <w:pPr>
              <w:pStyle w:val="ANormal"/>
              <w:keepNext/>
            </w:pPr>
          </w:p>
          <w:p w14:paraId="1936E982" w14:textId="77777777" w:rsidR="002401D0" w:rsidRDefault="002401D0">
            <w:pPr>
              <w:pStyle w:val="ANormal"/>
              <w:keepNext/>
            </w:pPr>
            <w:r>
              <w:t>Ordförande</w:t>
            </w:r>
          </w:p>
        </w:tc>
        <w:tc>
          <w:tcPr>
            <w:tcW w:w="3477" w:type="dxa"/>
            <w:vAlign w:val="bottom"/>
          </w:tcPr>
          <w:p w14:paraId="6AA8E755" w14:textId="77777777" w:rsidR="002401D0" w:rsidRDefault="002401D0">
            <w:pPr>
              <w:pStyle w:val="ANormal"/>
              <w:keepNext/>
            </w:pPr>
          </w:p>
          <w:p w14:paraId="6CBF902D" w14:textId="77777777" w:rsidR="002401D0" w:rsidRDefault="002401D0">
            <w:pPr>
              <w:pStyle w:val="ANormal"/>
              <w:keepNext/>
            </w:pPr>
          </w:p>
          <w:p w14:paraId="0C0B088F" w14:textId="4821F448" w:rsidR="002401D0" w:rsidRDefault="00C21AB2">
            <w:pPr>
              <w:pStyle w:val="ANormal"/>
              <w:keepNext/>
            </w:pPr>
            <w:r>
              <w:t>Pernilla Söderlund</w:t>
            </w:r>
          </w:p>
        </w:tc>
      </w:tr>
      <w:tr w:rsidR="002401D0" w14:paraId="2552C033" w14:textId="77777777">
        <w:tc>
          <w:tcPr>
            <w:tcW w:w="4454" w:type="dxa"/>
            <w:vAlign w:val="bottom"/>
          </w:tcPr>
          <w:p w14:paraId="1A75DB33" w14:textId="77777777" w:rsidR="002401D0" w:rsidRDefault="002401D0">
            <w:pPr>
              <w:pStyle w:val="ANormal"/>
              <w:keepNext/>
            </w:pPr>
          </w:p>
          <w:p w14:paraId="36670606" w14:textId="77777777" w:rsidR="002401D0" w:rsidRDefault="002401D0">
            <w:pPr>
              <w:pStyle w:val="ANormal"/>
              <w:keepNext/>
            </w:pPr>
          </w:p>
          <w:p w14:paraId="295EED7F" w14:textId="77777777" w:rsidR="002401D0" w:rsidRDefault="002401D0">
            <w:pPr>
              <w:pStyle w:val="ANormal"/>
              <w:keepNext/>
            </w:pPr>
            <w:r>
              <w:t>Sekreterare</w:t>
            </w:r>
          </w:p>
        </w:tc>
        <w:tc>
          <w:tcPr>
            <w:tcW w:w="3477" w:type="dxa"/>
            <w:vAlign w:val="bottom"/>
          </w:tcPr>
          <w:p w14:paraId="39C9E865" w14:textId="77777777" w:rsidR="002401D0" w:rsidRDefault="002401D0">
            <w:pPr>
              <w:pStyle w:val="ANormal"/>
              <w:keepNext/>
            </w:pPr>
          </w:p>
          <w:p w14:paraId="11E53A91" w14:textId="77777777" w:rsidR="002401D0" w:rsidRDefault="002401D0">
            <w:pPr>
              <w:pStyle w:val="ANormal"/>
              <w:keepNext/>
            </w:pPr>
          </w:p>
          <w:p w14:paraId="22049848" w14:textId="77777777" w:rsidR="002401D0" w:rsidRDefault="00BC76CF">
            <w:pPr>
              <w:pStyle w:val="ANormal"/>
              <w:keepNext/>
            </w:pPr>
            <w:r>
              <w:t>Carina Strand</w:t>
            </w:r>
          </w:p>
        </w:tc>
      </w:tr>
    </w:tbl>
    <w:p w14:paraId="72A42749"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C69C" w14:textId="77777777" w:rsidR="00303D25" w:rsidRDefault="00303D25">
      <w:r>
        <w:separator/>
      </w:r>
    </w:p>
  </w:endnote>
  <w:endnote w:type="continuationSeparator" w:id="0">
    <w:p w14:paraId="018FF013" w14:textId="77777777" w:rsidR="00303D25" w:rsidRDefault="0030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1E0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D950" w14:textId="2381A34B" w:rsidR="002401D0" w:rsidRDefault="002401D0">
    <w:pPr>
      <w:pStyle w:val="Sidfot"/>
      <w:rPr>
        <w:lang w:val="fi-FI"/>
      </w:rPr>
    </w:pPr>
    <w:r>
      <w:fldChar w:fldCharType="begin"/>
    </w:r>
    <w:r>
      <w:rPr>
        <w:lang w:val="fi-FI"/>
      </w:rPr>
      <w:instrText xml:space="preserve"> FILENAME  \* MERGEFORMAT </w:instrText>
    </w:r>
    <w:r>
      <w:fldChar w:fldCharType="separate"/>
    </w:r>
    <w:r w:rsidR="002374E9">
      <w:rPr>
        <w:noProof/>
        <w:lang w:val="fi-FI"/>
      </w:rPr>
      <w:t>SMU0320212022.docx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5906"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24BA" w14:textId="77777777" w:rsidR="00303D25" w:rsidRDefault="00303D25">
      <w:r>
        <w:separator/>
      </w:r>
    </w:p>
  </w:footnote>
  <w:footnote w:type="continuationSeparator" w:id="0">
    <w:p w14:paraId="4AAADB40" w14:textId="77777777" w:rsidR="00303D25" w:rsidRDefault="0030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B0B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7769D">
      <w:rPr>
        <w:rStyle w:val="Sidnummer"/>
        <w:noProof/>
      </w:rPr>
      <w:t>2</w:t>
    </w:r>
    <w:r>
      <w:rPr>
        <w:rStyle w:val="Sidnummer"/>
      </w:rPr>
      <w:fldChar w:fldCharType="end"/>
    </w:r>
  </w:p>
  <w:p w14:paraId="60F2DD1C"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7DDF"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35E51">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0E"/>
    <w:rsid w:val="00015E9C"/>
    <w:rsid w:val="00036AE3"/>
    <w:rsid w:val="0004361E"/>
    <w:rsid w:val="00051556"/>
    <w:rsid w:val="000611A6"/>
    <w:rsid w:val="00082C68"/>
    <w:rsid w:val="00085EB7"/>
    <w:rsid w:val="00090C77"/>
    <w:rsid w:val="000929C9"/>
    <w:rsid w:val="000B2DC9"/>
    <w:rsid w:val="000C566A"/>
    <w:rsid w:val="000E1EB0"/>
    <w:rsid w:val="000F7417"/>
    <w:rsid w:val="00114219"/>
    <w:rsid w:val="00125E23"/>
    <w:rsid w:val="0015337C"/>
    <w:rsid w:val="001619EC"/>
    <w:rsid w:val="00192095"/>
    <w:rsid w:val="001B74D7"/>
    <w:rsid w:val="001B7D72"/>
    <w:rsid w:val="001D31A0"/>
    <w:rsid w:val="001F7897"/>
    <w:rsid w:val="00201C41"/>
    <w:rsid w:val="0022117D"/>
    <w:rsid w:val="00235764"/>
    <w:rsid w:val="002374E9"/>
    <w:rsid w:val="002401D0"/>
    <w:rsid w:val="00266D0B"/>
    <w:rsid w:val="00267575"/>
    <w:rsid w:val="00270EDE"/>
    <w:rsid w:val="00274B94"/>
    <w:rsid w:val="00297A52"/>
    <w:rsid w:val="002B4090"/>
    <w:rsid w:val="00303D25"/>
    <w:rsid w:val="003545AA"/>
    <w:rsid w:val="00356B41"/>
    <w:rsid w:val="0036359C"/>
    <w:rsid w:val="00387E8B"/>
    <w:rsid w:val="00393890"/>
    <w:rsid w:val="003B73AF"/>
    <w:rsid w:val="003D587D"/>
    <w:rsid w:val="00462DBC"/>
    <w:rsid w:val="00480EE2"/>
    <w:rsid w:val="00495968"/>
    <w:rsid w:val="004A73D3"/>
    <w:rsid w:val="004B12A3"/>
    <w:rsid w:val="004C62FA"/>
    <w:rsid w:val="00517C94"/>
    <w:rsid w:val="00520A40"/>
    <w:rsid w:val="005329A0"/>
    <w:rsid w:val="005458AA"/>
    <w:rsid w:val="005937E0"/>
    <w:rsid w:val="005A0D3B"/>
    <w:rsid w:val="005A58AC"/>
    <w:rsid w:val="005A5AA2"/>
    <w:rsid w:val="005C5668"/>
    <w:rsid w:val="005E71B3"/>
    <w:rsid w:val="005F1C38"/>
    <w:rsid w:val="005F2DD0"/>
    <w:rsid w:val="0063603C"/>
    <w:rsid w:val="0066238D"/>
    <w:rsid w:val="00662A3B"/>
    <w:rsid w:val="00664FAC"/>
    <w:rsid w:val="00670DFC"/>
    <w:rsid w:val="0068136F"/>
    <w:rsid w:val="00681679"/>
    <w:rsid w:val="006817E3"/>
    <w:rsid w:val="006921F3"/>
    <w:rsid w:val="006A25C4"/>
    <w:rsid w:val="006B2E9E"/>
    <w:rsid w:val="006D31ED"/>
    <w:rsid w:val="006D5729"/>
    <w:rsid w:val="006E48B3"/>
    <w:rsid w:val="007052D5"/>
    <w:rsid w:val="0071738A"/>
    <w:rsid w:val="00723B93"/>
    <w:rsid w:val="00725EF7"/>
    <w:rsid w:val="00740DB5"/>
    <w:rsid w:val="0075790E"/>
    <w:rsid w:val="00764DE6"/>
    <w:rsid w:val="00780D7F"/>
    <w:rsid w:val="00794B9F"/>
    <w:rsid w:val="007B388A"/>
    <w:rsid w:val="007B6B95"/>
    <w:rsid w:val="007F325D"/>
    <w:rsid w:val="00811D50"/>
    <w:rsid w:val="00817B04"/>
    <w:rsid w:val="0082087F"/>
    <w:rsid w:val="00834A0E"/>
    <w:rsid w:val="0084448B"/>
    <w:rsid w:val="0085563D"/>
    <w:rsid w:val="00856B70"/>
    <w:rsid w:val="00861DC2"/>
    <w:rsid w:val="008B340E"/>
    <w:rsid w:val="008C70C2"/>
    <w:rsid w:val="008D758E"/>
    <w:rsid w:val="008E593C"/>
    <w:rsid w:val="00906FAE"/>
    <w:rsid w:val="009071C5"/>
    <w:rsid w:val="009206F9"/>
    <w:rsid w:val="00957C36"/>
    <w:rsid w:val="009901AC"/>
    <w:rsid w:val="009B18E8"/>
    <w:rsid w:val="009D383D"/>
    <w:rsid w:val="009D73B2"/>
    <w:rsid w:val="009F4CA7"/>
    <w:rsid w:val="009F7CE2"/>
    <w:rsid w:val="00A035EC"/>
    <w:rsid w:val="00A320A6"/>
    <w:rsid w:val="00A35E51"/>
    <w:rsid w:val="00A55309"/>
    <w:rsid w:val="00A661C7"/>
    <w:rsid w:val="00A709E2"/>
    <w:rsid w:val="00A87BE1"/>
    <w:rsid w:val="00AA7F5E"/>
    <w:rsid w:val="00AC5501"/>
    <w:rsid w:val="00AF2151"/>
    <w:rsid w:val="00AF5348"/>
    <w:rsid w:val="00B32E91"/>
    <w:rsid w:val="00B36A8F"/>
    <w:rsid w:val="00B737FB"/>
    <w:rsid w:val="00B90DEC"/>
    <w:rsid w:val="00BA78EB"/>
    <w:rsid w:val="00BC52A9"/>
    <w:rsid w:val="00BC76CF"/>
    <w:rsid w:val="00BD55D1"/>
    <w:rsid w:val="00BD7823"/>
    <w:rsid w:val="00BE0F69"/>
    <w:rsid w:val="00BE1EB7"/>
    <w:rsid w:val="00BE6C9B"/>
    <w:rsid w:val="00C21AB2"/>
    <w:rsid w:val="00C511F6"/>
    <w:rsid w:val="00C717E9"/>
    <w:rsid w:val="00C90722"/>
    <w:rsid w:val="00CB087E"/>
    <w:rsid w:val="00CC0341"/>
    <w:rsid w:val="00CD231A"/>
    <w:rsid w:val="00CD7E82"/>
    <w:rsid w:val="00CF700E"/>
    <w:rsid w:val="00D06C7D"/>
    <w:rsid w:val="00D15DD5"/>
    <w:rsid w:val="00D24C84"/>
    <w:rsid w:val="00D34601"/>
    <w:rsid w:val="00D7769D"/>
    <w:rsid w:val="00DB13CB"/>
    <w:rsid w:val="00DC45B2"/>
    <w:rsid w:val="00DF30B2"/>
    <w:rsid w:val="00E407BA"/>
    <w:rsid w:val="00E53DA8"/>
    <w:rsid w:val="00E546CD"/>
    <w:rsid w:val="00E628D9"/>
    <w:rsid w:val="00E71908"/>
    <w:rsid w:val="00E744AC"/>
    <w:rsid w:val="00E74B84"/>
    <w:rsid w:val="00E96C3C"/>
    <w:rsid w:val="00EA1542"/>
    <w:rsid w:val="00EA40A2"/>
    <w:rsid w:val="00EF21E4"/>
    <w:rsid w:val="00EF26C8"/>
    <w:rsid w:val="00EF4030"/>
    <w:rsid w:val="00F3482E"/>
    <w:rsid w:val="00F50760"/>
    <w:rsid w:val="00F57BD9"/>
    <w:rsid w:val="00F758C7"/>
    <w:rsid w:val="00F8552B"/>
    <w:rsid w:val="00F874E1"/>
    <w:rsid w:val="00F91266"/>
    <w:rsid w:val="00FA7029"/>
    <w:rsid w:val="00FA71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C47F5"/>
  <w15:docId w15:val="{DCFAE339-E966-46A6-9F62-44BE45C2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C21AB2"/>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3</Pages>
  <Words>974</Words>
  <Characters>7181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Social- och miljöutskottets betänkande nr x/2017-2018</vt:lpstr>
    </vt:vector>
  </TitlesOfParts>
  <Company>Ålands lagting</Company>
  <LinksUpToDate>false</LinksUpToDate>
  <CharactersWithSpaces>8139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x/2017-2018</dc:title>
  <dc:creator>Jessica Laaksonen</dc:creator>
  <cp:lastModifiedBy>Jessica Laaksonen</cp:lastModifiedBy>
  <cp:revision>2</cp:revision>
  <cp:lastPrinted>2022-03-31T07:02:00Z</cp:lastPrinted>
  <dcterms:created xsi:type="dcterms:W3CDTF">2022-03-31T08:12:00Z</dcterms:created>
  <dcterms:modified xsi:type="dcterms:W3CDTF">2022-03-31T08:12:00Z</dcterms:modified>
</cp:coreProperties>
</file>