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14:paraId="2F44E29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D663C6" w14:textId="7EE3BE06" w:rsidR="00AF3004" w:rsidRDefault="00AC786C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0791E626" wp14:editId="6BC1A4F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6BE580D" w14:textId="4729F8F5" w:rsidR="00AF3004" w:rsidRDefault="00AC786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336EB0B" wp14:editId="559B7024">
                  <wp:extent cx="47625" cy="476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14:paraId="1E801ED8" w14:textId="77777777">
        <w:trPr>
          <w:cantSplit/>
          <w:trHeight w:val="299"/>
        </w:trPr>
        <w:tc>
          <w:tcPr>
            <w:tcW w:w="861" w:type="dxa"/>
            <w:vMerge/>
          </w:tcPr>
          <w:p w14:paraId="00B64621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AD1017" w14:textId="77777777"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94F33B9" w14:textId="2FF53E1F" w:rsidR="00AF3004" w:rsidRDefault="00AC786C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322119">
              <w:t>26</w:t>
            </w:r>
            <w:r w:rsidR="00AF3004">
              <w:t>/20</w:t>
            </w:r>
            <w:r>
              <w:t>2</w:t>
            </w:r>
            <w:r w:rsidR="00524A09">
              <w:t>1</w:t>
            </w:r>
            <w:r>
              <w:t>–</w:t>
            </w:r>
            <w:r w:rsidR="00AF3004">
              <w:t>20</w:t>
            </w:r>
            <w:r>
              <w:t>2</w:t>
            </w:r>
            <w:r w:rsidR="00524A09">
              <w:t>2</w:t>
            </w:r>
          </w:p>
        </w:tc>
      </w:tr>
      <w:tr w:rsidR="00AF3004" w14:paraId="06CD9C21" w14:textId="77777777">
        <w:trPr>
          <w:cantSplit/>
          <w:trHeight w:val="238"/>
        </w:trPr>
        <w:tc>
          <w:tcPr>
            <w:tcW w:w="861" w:type="dxa"/>
            <w:vMerge/>
          </w:tcPr>
          <w:p w14:paraId="342C07C1" w14:textId="77777777"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832554D" w14:textId="77777777"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DFF2ACF" w14:textId="77777777"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211A3E1D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4FDD9E27" w14:textId="77777777">
        <w:trPr>
          <w:cantSplit/>
          <w:trHeight w:val="238"/>
        </w:trPr>
        <w:tc>
          <w:tcPr>
            <w:tcW w:w="861" w:type="dxa"/>
            <w:vMerge/>
          </w:tcPr>
          <w:p w14:paraId="18EB5D4E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18673F79" w14:textId="77777777"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4BFAB908" w14:textId="436AB523"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AC786C">
              <w:rPr>
                <w:lang w:val="de-DE"/>
              </w:rPr>
              <w:t>2</w:t>
            </w:r>
            <w:r w:rsidR="00524A09">
              <w:rPr>
                <w:lang w:val="de-DE"/>
              </w:rPr>
              <w:t>2</w:t>
            </w:r>
            <w:r>
              <w:rPr>
                <w:lang w:val="de-DE"/>
              </w:rPr>
              <w:t>-</w:t>
            </w:r>
            <w:r w:rsidR="00322119">
              <w:rPr>
                <w:lang w:val="de-DE"/>
              </w:rPr>
              <w:t>09</w:t>
            </w:r>
            <w:r>
              <w:rPr>
                <w:lang w:val="de-DE"/>
              </w:rPr>
              <w:t>-</w:t>
            </w:r>
            <w:r w:rsidR="00322119">
              <w:rPr>
                <w:lang w:val="de-DE"/>
              </w:rPr>
              <w:t>08</w:t>
            </w:r>
          </w:p>
        </w:tc>
        <w:tc>
          <w:tcPr>
            <w:tcW w:w="2563" w:type="dxa"/>
            <w:vAlign w:val="center"/>
          </w:tcPr>
          <w:p w14:paraId="6C994AF6" w14:textId="77777777"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14:paraId="5209CE44" w14:textId="77777777">
        <w:trPr>
          <w:cantSplit/>
          <w:trHeight w:val="238"/>
        </w:trPr>
        <w:tc>
          <w:tcPr>
            <w:tcW w:w="861" w:type="dxa"/>
            <w:vMerge/>
          </w:tcPr>
          <w:p w14:paraId="04090F78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6AA32524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0FD4B8E9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6EC68C85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172606D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3ADB98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6074EB4" w14:textId="77777777"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632C3A" w14:textId="77777777"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4A488EE" w14:textId="77777777"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14:paraId="5AE7052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8E0A9DD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DE15BA0" w14:textId="77777777"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984E8E2" w14:textId="77777777"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14:paraId="2682FD27" w14:textId="77777777">
        <w:trPr>
          <w:cantSplit/>
          <w:trHeight w:val="238"/>
        </w:trPr>
        <w:tc>
          <w:tcPr>
            <w:tcW w:w="861" w:type="dxa"/>
          </w:tcPr>
          <w:p w14:paraId="6BBEC92B" w14:textId="77777777"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11386272" w14:textId="77777777"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FF520C6" w14:textId="77777777" w:rsidR="00AF3004" w:rsidRDefault="00AF3004" w:rsidP="006C74C6">
            <w:pPr>
              <w:pStyle w:val="xMottagare1"/>
              <w:tabs>
                <w:tab w:val="left" w:pos="2349"/>
              </w:tabs>
              <w:jc w:val="right"/>
              <w:rPr>
                <w:sz w:val="28"/>
                <w:szCs w:val="28"/>
              </w:rPr>
            </w:pPr>
          </w:p>
          <w:p w14:paraId="3B257194" w14:textId="4E86877B" w:rsidR="000D49EF" w:rsidRPr="00322119" w:rsidRDefault="000D49EF" w:rsidP="00322119">
            <w:pPr>
              <w:pStyle w:val="xMottagare2"/>
            </w:pPr>
          </w:p>
        </w:tc>
      </w:tr>
      <w:tr w:rsidR="00AF3004" w14:paraId="1CDB2BD3" w14:textId="77777777">
        <w:trPr>
          <w:cantSplit/>
          <w:trHeight w:val="238"/>
        </w:trPr>
        <w:tc>
          <w:tcPr>
            <w:tcW w:w="861" w:type="dxa"/>
          </w:tcPr>
          <w:p w14:paraId="0A36987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83B1CB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648AB2A" w14:textId="77777777" w:rsidR="00AF3004" w:rsidRDefault="00AF3004">
            <w:pPr>
              <w:pStyle w:val="xCelltext"/>
            </w:pPr>
          </w:p>
        </w:tc>
      </w:tr>
      <w:tr w:rsidR="00AF3004" w14:paraId="6BCC628D" w14:textId="77777777">
        <w:trPr>
          <w:cantSplit/>
          <w:trHeight w:val="238"/>
        </w:trPr>
        <w:tc>
          <w:tcPr>
            <w:tcW w:w="861" w:type="dxa"/>
          </w:tcPr>
          <w:p w14:paraId="1F2CEEA8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CC74EE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3AE9664" w14:textId="77777777" w:rsidR="00AF3004" w:rsidRDefault="00AF3004">
            <w:pPr>
              <w:pStyle w:val="xCelltext"/>
            </w:pPr>
          </w:p>
        </w:tc>
      </w:tr>
      <w:tr w:rsidR="00AF3004" w14:paraId="5010AD6E" w14:textId="77777777">
        <w:trPr>
          <w:cantSplit/>
          <w:trHeight w:val="238"/>
        </w:trPr>
        <w:tc>
          <w:tcPr>
            <w:tcW w:w="861" w:type="dxa"/>
          </w:tcPr>
          <w:p w14:paraId="1AEDAE77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4ACCCB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F9F5F1C" w14:textId="77777777" w:rsidR="00AF3004" w:rsidRDefault="00AF3004">
            <w:pPr>
              <w:pStyle w:val="xCelltext"/>
            </w:pPr>
          </w:p>
        </w:tc>
      </w:tr>
      <w:tr w:rsidR="00AF3004" w14:paraId="57A52529" w14:textId="77777777">
        <w:trPr>
          <w:cantSplit/>
          <w:trHeight w:val="238"/>
        </w:trPr>
        <w:tc>
          <w:tcPr>
            <w:tcW w:w="861" w:type="dxa"/>
          </w:tcPr>
          <w:p w14:paraId="2ADA4355" w14:textId="77777777"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55DCB6" w14:textId="77777777"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300FAE0" w14:textId="77777777" w:rsidR="00AF3004" w:rsidRDefault="00AF3004">
            <w:pPr>
              <w:pStyle w:val="xCelltext"/>
            </w:pPr>
          </w:p>
        </w:tc>
      </w:tr>
    </w:tbl>
    <w:p w14:paraId="758F822A" w14:textId="77777777"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1D818829" w14:textId="6686FC57" w:rsidR="00AF3004" w:rsidRDefault="00BA065A">
      <w:pPr>
        <w:pStyle w:val="ArendeRubrik"/>
      </w:pPr>
      <w:r>
        <w:t>H</w:t>
      </w:r>
      <w:r w:rsidR="005759FF">
        <w:t>öj</w:t>
      </w:r>
      <w:r w:rsidR="00252A63">
        <w:t>d</w:t>
      </w:r>
      <w:r w:rsidR="005759FF">
        <w:t xml:space="preserve"> landskapsandel </w:t>
      </w:r>
      <w:r>
        <w:t>för</w:t>
      </w:r>
      <w:r w:rsidR="00BE5B9E">
        <w:t xml:space="preserve"> äldreomsorgen</w:t>
      </w:r>
      <w:r>
        <w:t xml:space="preserve"> </w:t>
      </w:r>
      <w:r w:rsidR="005759FF">
        <w:t>202</w:t>
      </w:r>
      <w:r w:rsidR="00524A09">
        <w:t>2</w:t>
      </w:r>
    </w:p>
    <w:p w14:paraId="0D514CF6" w14:textId="77777777" w:rsidR="00AF3004" w:rsidRDefault="00AF3004">
      <w:pPr>
        <w:pStyle w:val="ANormal"/>
      </w:pPr>
    </w:p>
    <w:p w14:paraId="03023876" w14:textId="77777777" w:rsidR="00AF3004" w:rsidRDefault="00AF3004">
      <w:pPr>
        <w:pStyle w:val="ANormal"/>
      </w:pPr>
    </w:p>
    <w:p w14:paraId="073CB819" w14:textId="77777777" w:rsidR="00AF3004" w:rsidRDefault="00AF3004">
      <w:pPr>
        <w:pStyle w:val="RubrikA"/>
      </w:pPr>
      <w:bookmarkStart w:id="1" w:name="_Toc113535833"/>
      <w:r>
        <w:t>Huvudsakligt innehåll</w:t>
      </w:r>
      <w:bookmarkEnd w:id="1"/>
    </w:p>
    <w:p w14:paraId="3F6F5786" w14:textId="77777777" w:rsidR="00AF3004" w:rsidRDefault="00AF3004">
      <w:pPr>
        <w:pStyle w:val="Rubrikmellanrum"/>
      </w:pPr>
    </w:p>
    <w:p w14:paraId="54D1C3C0" w14:textId="514593AB" w:rsidR="00B26186" w:rsidRDefault="00BE5B9E">
      <w:pPr>
        <w:pStyle w:val="ANormal"/>
      </w:pPr>
      <w:r>
        <w:t>Landskapsregeringen föreslår att landskapsandel</w:t>
      </w:r>
      <w:r w:rsidR="00E004B1">
        <w:t>arna</w:t>
      </w:r>
      <w:r>
        <w:t xml:space="preserve"> </w:t>
      </w:r>
      <w:r w:rsidR="00E004B1">
        <w:t>till kommunerna</w:t>
      </w:r>
      <w:r>
        <w:t xml:space="preserve"> temporärt höjs </w:t>
      </w:r>
      <w:r w:rsidR="001A7FA7">
        <w:t xml:space="preserve">med närmare 2,1 miljoner euro för </w:t>
      </w:r>
      <w:r w:rsidR="001A7FA7" w:rsidRPr="00B26186">
        <w:t xml:space="preserve">finansåret </w:t>
      </w:r>
      <w:r w:rsidR="001A7FA7">
        <w:t>2022.</w:t>
      </w:r>
      <w:r w:rsidR="00E004B1">
        <w:t xml:space="preserve"> Höjningen sker genom att ersättningsgraden för den kostnadsbaserade landskapsandelen för äldreomsorgen justeras uppåt.</w:t>
      </w:r>
    </w:p>
    <w:p w14:paraId="1E0A455D" w14:textId="62493848" w:rsidR="00B26186" w:rsidRDefault="006C74C6" w:rsidP="00B26186">
      <w:pPr>
        <w:pStyle w:val="ANormal"/>
      </w:pPr>
      <w:r w:rsidRPr="00B26186">
        <w:tab/>
      </w:r>
      <w:r w:rsidR="00E051AC">
        <w:t>H</w:t>
      </w:r>
      <w:r w:rsidR="00B26186">
        <w:t>öjningen</w:t>
      </w:r>
      <w:r w:rsidR="00E051AC">
        <w:t xml:space="preserve"> av landskapsandel</w:t>
      </w:r>
      <w:r w:rsidR="00E004B1">
        <w:t>arna</w:t>
      </w:r>
      <w:r w:rsidRPr="00B26186">
        <w:t xml:space="preserve"> är avsedd att tillämpas </w:t>
      </w:r>
      <w:r w:rsidR="00E051AC">
        <w:t>retroaktivt</w:t>
      </w:r>
      <w:r w:rsidRPr="00B26186">
        <w:t xml:space="preserve"> för </w:t>
      </w:r>
      <w:r w:rsidR="00B26186">
        <w:t xml:space="preserve">hela </w:t>
      </w:r>
      <w:r w:rsidRPr="00B26186">
        <w:t>202</w:t>
      </w:r>
      <w:r w:rsidR="00B26186">
        <w:t>2</w:t>
      </w:r>
      <w:r w:rsidR="00EB7C6A">
        <w:t xml:space="preserve"> och det är därför angeläget att den kan träda i kraft så snart som möjligt</w:t>
      </w:r>
      <w:r w:rsidR="00B26186">
        <w:t>.</w:t>
      </w:r>
      <w:r w:rsidRPr="00B26186">
        <w:t xml:space="preserve"> </w:t>
      </w:r>
      <w:r w:rsidR="00B26186">
        <w:t>De</w:t>
      </w:r>
      <w:r w:rsidR="00E051AC">
        <w:t>n</w:t>
      </w:r>
      <w:r w:rsidR="00B26186">
        <w:t xml:space="preserve"> föreslagna lag</w:t>
      </w:r>
      <w:r w:rsidR="00E051AC">
        <w:t>en</w:t>
      </w:r>
      <w:r w:rsidR="00B26186">
        <w:t xml:space="preserve"> sammanhänger med landskapets budget på ett sådant sätt att de</w:t>
      </w:r>
      <w:r w:rsidR="00E051AC">
        <w:t>n</w:t>
      </w:r>
      <w:r w:rsidR="00B26186">
        <w:t xml:space="preserve"> bör sättas i kraft på de grunder som anges i 20</w:t>
      </w:r>
      <w:r w:rsidR="003A5E4C">
        <w:t> §</w:t>
      </w:r>
      <w:r w:rsidR="00B26186">
        <w:t xml:space="preserve"> 3</w:t>
      </w:r>
      <w:r w:rsidR="003A5E4C">
        <w:t> mom.</w:t>
      </w:r>
      <w:r w:rsidR="00B26186">
        <w:t xml:space="preserve"> självstyrelselagen.</w:t>
      </w:r>
    </w:p>
    <w:p w14:paraId="42FA5585" w14:textId="77777777" w:rsidR="00AF3004" w:rsidRDefault="00AF3004">
      <w:pPr>
        <w:pStyle w:val="ANormal"/>
      </w:pPr>
    </w:p>
    <w:p w14:paraId="18AFB6B8" w14:textId="77777777" w:rsidR="00AF3004" w:rsidRDefault="00B42DD2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28017DCC" w14:textId="77777777" w:rsidR="00AF3004" w:rsidRDefault="00AF3004">
      <w:pPr>
        <w:pStyle w:val="ANormal"/>
      </w:pPr>
    </w:p>
    <w:p w14:paraId="5C43C37D" w14:textId="77777777" w:rsidR="00AF3004" w:rsidRDefault="00AF3004">
      <w:pPr>
        <w:pStyle w:val="ANormal"/>
      </w:pPr>
      <w:r>
        <w:br w:type="page"/>
      </w:r>
    </w:p>
    <w:p w14:paraId="2EAF7E15" w14:textId="77777777" w:rsidR="00AF3004" w:rsidRDefault="00AF3004">
      <w:pPr>
        <w:pStyle w:val="Innehll1"/>
      </w:pPr>
      <w:r>
        <w:lastRenderedPageBreak/>
        <w:t>INNEHÅLL</w:t>
      </w:r>
    </w:p>
    <w:p w14:paraId="3294EEA0" w14:textId="015FFFCF" w:rsidR="00322119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13535833" w:history="1">
        <w:r w:rsidR="00322119" w:rsidRPr="00287B17">
          <w:rPr>
            <w:rStyle w:val="Hyperlnk"/>
          </w:rPr>
          <w:t>Huvudsakligt innehåll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_Toc113535833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1</w:t>
        </w:r>
        <w:r w:rsidR="00322119">
          <w:rPr>
            <w:webHidden/>
          </w:rPr>
          <w:fldChar w:fldCharType="end"/>
        </w:r>
      </w:hyperlink>
    </w:p>
    <w:p w14:paraId="16935129" w14:textId="4EC21AAB" w:rsidR="00322119" w:rsidRDefault="00B42DD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34" w:history="1">
        <w:r w:rsidR="00322119" w:rsidRPr="00287B17">
          <w:rPr>
            <w:rStyle w:val="Hyperlnk"/>
          </w:rPr>
          <w:t>Motivering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_Toc113535834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3</w:t>
        </w:r>
        <w:r w:rsidR="00322119">
          <w:rPr>
            <w:webHidden/>
          </w:rPr>
          <w:fldChar w:fldCharType="end"/>
        </w:r>
      </w:hyperlink>
    </w:p>
    <w:p w14:paraId="2C9D4DFD" w14:textId="06A8D15B" w:rsidR="00322119" w:rsidRDefault="00B42D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35" w:history="1">
        <w:r w:rsidR="00322119" w:rsidRPr="00287B17">
          <w:rPr>
            <w:rStyle w:val="Hyperlnk"/>
          </w:rPr>
          <w:t>1. Bakgrund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_Toc113535835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3</w:t>
        </w:r>
        <w:r w:rsidR="00322119">
          <w:rPr>
            <w:webHidden/>
          </w:rPr>
          <w:fldChar w:fldCharType="end"/>
        </w:r>
      </w:hyperlink>
    </w:p>
    <w:p w14:paraId="29C5B050" w14:textId="5B25CCE0" w:rsidR="00322119" w:rsidRDefault="00B42D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36" w:history="1">
        <w:r w:rsidR="00322119" w:rsidRPr="00287B17">
          <w:rPr>
            <w:rStyle w:val="Hyperlnk"/>
          </w:rPr>
          <w:t>2. Landskapsregeringens förslag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_Toc113535836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3</w:t>
        </w:r>
        <w:r w:rsidR="00322119">
          <w:rPr>
            <w:webHidden/>
          </w:rPr>
          <w:fldChar w:fldCharType="end"/>
        </w:r>
      </w:hyperlink>
    </w:p>
    <w:p w14:paraId="2009B8E4" w14:textId="791BA6FA" w:rsidR="00322119" w:rsidRDefault="00B42D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37" w:history="1">
        <w:r w:rsidR="00322119" w:rsidRPr="00287B17">
          <w:rPr>
            <w:rStyle w:val="Hyperlnk"/>
          </w:rPr>
          <w:t>3. Förslagets konsekvenser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_Toc113535837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4</w:t>
        </w:r>
        <w:r w:rsidR="00322119">
          <w:rPr>
            <w:webHidden/>
          </w:rPr>
          <w:fldChar w:fldCharType="end"/>
        </w:r>
      </w:hyperlink>
    </w:p>
    <w:p w14:paraId="3006D5C6" w14:textId="014C239E" w:rsidR="00322119" w:rsidRDefault="00B42D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38" w:history="1">
        <w:r w:rsidR="00322119" w:rsidRPr="00287B17">
          <w:rPr>
            <w:rStyle w:val="Hyperlnk"/>
          </w:rPr>
          <w:t>4. Beredning och ikraftträdande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_Toc113535838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4</w:t>
        </w:r>
        <w:r w:rsidR="00322119">
          <w:rPr>
            <w:webHidden/>
          </w:rPr>
          <w:fldChar w:fldCharType="end"/>
        </w:r>
      </w:hyperlink>
    </w:p>
    <w:p w14:paraId="1143E9B2" w14:textId="56E5BEF4" w:rsidR="00322119" w:rsidRDefault="00B42DD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39" w:history="1">
        <w:r w:rsidR="00322119" w:rsidRPr="00287B17">
          <w:rPr>
            <w:rStyle w:val="Hyperlnk"/>
          </w:rPr>
          <w:t>Lagtext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_Toc113535839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6</w:t>
        </w:r>
        <w:r w:rsidR="00322119">
          <w:rPr>
            <w:webHidden/>
          </w:rPr>
          <w:fldChar w:fldCharType="end"/>
        </w:r>
      </w:hyperlink>
    </w:p>
    <w:p w14:paraId="75690031" w14:textId="21C126C0" w:rsidR="00322119" w:rsidRDefault="00B42D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40" w:history="1">
        <w:r w:rsidR="00322119" w:rsidRPr="00287B17">
          <w:rPr>
            <w:rStyle w:val="Hyperlnk"/>
            <w:lang w:val="en-GB"/>
          </w:rPr>
          <w:t xml:space="preserve">L A N D S K A P S L A G </w:t>
        </w:r>
        <w:r w:rsidR="00322119" w:rsidRPr="00287B17">
          <w:rPr>
            <w:rStyle w:val="Hyperlnk"/>
          </w:rPr>
          <w:t>om ändring och temporär ändring av 5 § landskapslagen om landskapsandelar till kommunerna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_Toc113535840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6</w:t>
        </w:r>
        <w:r w:rsidR="00322119">
          <w:rPr>
            <w:webHidden/>
          </w:rPr>
          <w:fldChar w:fldCharType="end"/>
        </w:r>
      </w:hyperlink>
    </w:p>
    <w:p w14:paraId="58395049" w14:textId="3C02FBE8" w:rsidR="00322119" w:rsidRDefault="00B42DD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535841" w:history="1">
        <w:r w:rsidR="00322119" w:rsidRPr="00287B17">
          <w:rPr>
            <w:rStyle w:val="Hyperlnk"/>
          </w:rPr>
          <w:t>Parallelltexter</w:t>
        </w:r>
        <w:r w:rsidR="00322119">
          <w:rPr>
            <w:webHidden/>
          </w:rPr>
          <w:tab/>
        </w:r>
        <w:r w:rsidR="00322119">
          <w:rPr>
            <w:webHidden/>
          </w:rPr>
          <w:fldChar w:fldCharType="begin"/>
        </w:r>
        <w:r w:rsidR="00322119">
          <w:rPr>
            <w:webHidden/>
          </w:rPr>
          <w:instrText xml:space="preserve"> PAGEREF _Toc113535841 \h </w:instrText>
        </w:r>
        <w:r w:rsidR="00322119">
          <w:rPr>
            <w:webHidden/>
          </w:rPr>
        </w:r>
        <w:r w:rsidR="00322119">
          <w:rPr>
            <w:webHidden/>
          </w:rPr>
          <w:fldChar w:fldCharType="separate"/>
        </w:r>
        <w:r w:rsidR="00322119">
          <w:rPr>
            <w:webHidden/>
          </w:rPr>
          <w:t>7</w:t>
        </w:r>
        <w:r w:rsidR="00322119">
          <w:rPr>
            <w:webHidden/>
          </w:rPr>
          <w:fldChar w:fldCharType="end"/>
        </w:r>
      </w:hyperlink>
    </w:p>
    <w:p w14:paraId="0F2A08E5" w14:textId="29C9DD5B"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AA3E433" w14:textId="1F4183AE" w:rsidR="00AF3004" w:rsidRDefault="00AF3004">
      <w:pPr>
        <w:pStyle w:val="ANormal"/>
      </w:pPr>
      <w:r>
        <w:br w:type="page"/>
      </w:r>
    </w:p>
    <w:p w14:paraId="5C765C68" w14:textId="1959F2C0" w:rsidR="00AF3004" w:rsidRDefault="002B4C19">
      <w:pPr>
        <w:pStyle w:val="RubrikA"/>
      </w:pPr>
      <w:bookmarkStart w:id="2" w:name="_Toc113535834"/>
      <w:r>
        <w:lastRenderedPageBreak/>
        <w:t>M</w:t>
      </w:r>
      <w:r w:rsidR="00AF3004">
        <w:t>otivering</w:t>
      </w:r>
      <w:bookmarkEnd w:id="2"/>
    </w:p>
    <w:p w14:paraId="43C3E07E" w14:textId="77777777" w:rsidR="00AF3004" w:rsidRDefault="00AF3004">
      <w:pPr>
        <w:pStyle w:val="Rubrikmellanrum"/>
      </w:pPr>
    </w:p>
    <w:p w14:paraId="4C880C07" w14:textId="77777777" w:rsidR="00AF3004" w:rsidRDefault="00AF3004">
      <w:pPr>
        <w:pStyle w:val="RubrikB"/>
      </w:pPr>
      <w:bookmarkStart w:id="3" w:name="_Toc113535835"/>
      <w:r>
        <w:t>1. Bakgrund</w:t>
      </w:r>
      <w:bookmarkEnd w:id="3"/>
    </w:p>
    <w:p w14:paraId="1A42429C" w14:textId="00C52A46" w:rsidR="00AF3004" w:rsidRDefault="00AF3004">
      <w:pPr>
        <w:pStyle w:val="Rubrikmellanrum"/>
      </w:pPr>
    </w:p>
    <w:p w14:paraId="03234BDE" w14:textId="05D1A40F" w:rsidR="00210615" w:rsidRDefault="00210615" w:rsidP="00A302E1">
      <w:pPr>
        <w:pStyle w:val="ANormal"/>
      </w:pPr>
      <w:r>
        <w:t xml:space="preserve">För </w:t>
      </w:r>
      <w:r w:rsidR="00EB037F">
        <w:t>finansieringen av sina</w:t>
      </w:r>
      <w:r>
        <w:t xml:space="preserve"> lagstadgade uppgifter tilldelas kommunerna landskapsandelar enligt landskapslagen (2017:120) om landskapsandelar till kommunerna.</w:t>
      </w:r>
      <w:r w:rsidR="0077263A">
        <w:t xml:space="preserve"> </w:t>
      </w:r>
      <w:r w:rsidR="00CC418B">
        <w:t xml:space="preserve">På socialvårdsområdet finns kostnadsbaserade landskapsandelar för äldreomsorgen och för den samordnade socialtjänsten. </w:t>
      </w:r>
      <w:r w:rsidR="00AB2A9E">
        <w:t>Inom området för utbildningsverksamheten finns kostnadsbaserade landskapsandelar för barnomsorg, specialfritidshemsverksamhet, grundskola, träningsundervisning, förberedande undervisning samt grundskoleutbildning för andra än läropliktiga.</w:t>
      </w:r>
    </w:p>
    <w:p w14:paraId="723DD212" w14:textId="2F9DCA2F" w:rsidR="001343F8" w:rsidRDefault="00210615" w:rsidP="00A302E1">
      <w:pPr>
        <w:pStyle w:val="ANormal"/>
      </w:pPr>
      <w:r>
        <w:tab/>
        <w:t>Under åren 2011</w:t>
      </w:r>
      <w:r w:rsidR="00C14E93">
        <w:t xml:space="preserve"> och </w:t>
      </w:r>
      <w:r>
        <w:t xml:space="preserve">2012 låg </w:t>
      </w:r>
      <w:r w:rsidR="00A302E1">
        <w:t>andel</w:t>
      </w:r>
      <w:r w:rsidR="00C610BB">
        <w:t>en</w:t>
      </w:r>
      <w:r w:rsidR="00A302E1">
        <w:t xml:space="preserve"> </w:t>
      </w:r>
      <w:r w:rsidR="00C610BB">
        <w:t xml:space="preserve">landskapsandelar och kompensationer </w:t>
      </w:r>
      <w:r w:rsidR="00A302E1">
        <w:t xml:space="preserve">av kommunernas verksamhetskostnader på omkring 25 procent, för att sedan variera mellan 22 och 23 procent under 2013–2018. </w:t>
      </w:r>
      <w:r w:rsidR="00A1427E">
        <w:t>Därefter sjönk</w:t>
      </w:r>
      <w:r w:rsidR="00A302E1">
        <w:t xml:space="preserve"> andelen </w:t>
      </w:r>
      <w:r w:rsidR="00A1427E">
        <w:t>2019</w:t>
      </w:r>
      <w:r w:rsidR="00A302E1">
        <w:t xml:space="preserve"> till 20 procent</w:t>
      </w:r>
      <w:r w:rsidR="00C83B95">
        <w:t>. Den</w:t>
      </w:r>
      <w:r w:rsidR="00A302E1">
        <w:t xml:space="preserve"> </w:t>
      </w:r>
      <w:r w:rsidR="00C610BB">
        <w:t>har</w:t>
      </w:r>
      <w:r w:rsidR="00C14E93">
        <w:t xml:space="preserve"> sedan</w:t>
      </w:r>
      <w:r>
        <w:t xml:space="preserve"> tillfälligt</w:t>
      </w:r>
      <w:r w:rsidR="00A302E1">
        <w:t xml:space="preserve"> </w:t>
      </w:r>
      <w:r w:rsidR="00C610BB">
        <w:t>varit högre under</w:t>
      </w:r>
      <w:r w:rsidR="00C83B95">
        <w:t xml:space="preserve"> </w:t>
      </w:r>
      <w:r w:rsidR="00A302E1">
        <w:t>2020</w:t>
      </w:r>
      <w:r w:rsidR="00C610BB">
        <w:t xml:space="preserve"> och 2021</w:t>
      </w:r>
      <w:r w:rsidR="00A302E1">
        <w:t xml:space="preserve"> </w:t>
      </w:r>
      <w:r w:rsidR="00C610BB">
        <w:t>till följd av</w:t>
      </w:r>
      <w:r>
        <w:t xml:space="preserve"> temporär</w:t>
      </w:r>
      <w:r w:rsidR="00C610BB">
        <w:t>a</w:t>
      </w:r>
      <w:r>
        <w:t xml:space="preserve"> </w:t>
      </w:r>
      <w:r w:rsidR="00C610BB">
        <w:t>åtgärder med anledning av coronapandemin.</w:t>
      </w:r>
      <w:r>
        <w:t xml:space="preserve"> </w:t>
      </w:r>
      <w:r w:rsidR="00925DEA">
        <w:t xml:space="preserve">År 2020 höjdes landskapsandelarna på socialvårdsområdet samtidigt som kommunerna kompenserades för minskade skatteintäkter, 2021 </w:t>
      </w:r>
      <w:r w:rsidR="00B45B24">
        <w:t>höjdes landskapsandelarna för äldreomsorgen, kommunernas socialtjänst (KST) och grundskolan. För båda dessa år var också</w:t>
      </w:r>
      <w:r w:rsidR="00A302E1">
        <w:t xml:space="preserve"> </w:t>
      </w:r>
      <w:r w:rsidR="00B45B24">
        <w:t>kommunernas andel av samfundsskatten tillfälligt högre.</w:t>
      </w:r>
    </w:p>
    <w:p w14:paraId="42249C6E" w14:textId="7FBA84E2" w:rsidR="00A302E1" w:rsidRDefault="001343F8" w:rsidP="00A302E1">
      <w:pPr>
        <w:pStyle w:val="ANormal"/>
      </w:pPr>
      <w:r>
        <w:tab/>
      </w:r>
      <w:r w:rsidR="00B45B24">
        <w:t>Motsvarande</w:t>
      </w:r>
      <w:r w:rsidR="00A302E1">
        <w:t xml:space="preserve"> nyckeltalsanalys när det gäller landskapsandelar och kompensationer </w:t>
      </w:r>
      <w:r w:rsidR="00C83B95">
        <w:t>i förhållande till</w:t>
      </w:r>
      <w:r w:rsidR="00A302E1">
        <w:t xml:space="preserve"> nettodriftskostnaderna visar också på en generell minskning av andelen. År 2015 låg andelen landskapsandelar </w:t>
      </w:r>
      <w:r w:rsidR="00C14E93">
        <w:t>av</w:t>
      </w:r>
      <w:r w:rsidR="00A302E1">
        <w:t xml:space="preserve"> nettodriftskostnader</w:t>
      </w:r>
      <w:r w:rsidR="00C14E93">
        <w:t>na</w:t>
      </w:r>
      <w:r w:rsidR="00A302E1">
        <w:t xml:space="preserve"> på </w:t>
      </w:r>
      <w:r>
        <w:t>runt</w:t>
      </w:r>
      <w:r w:rsidR="00A302E1">
        <w:t xml:space="preserve"> 27 procent, för att sedan till 2019 sjunka till c</w:t>
      </w:r>
      <w:r>
        <w:t>irk</w:t>
      </w:r>
      <w:r w:rsidR="00A302E1">
        <w:t xml:space="preserve">a 24 procent. </w:t>
      </w:r>
      <w:r w:rsidR="00C14E93">
        <w:t>Under</w:t>
      </w:r>
      <w:r w:rsidR="00A302E1">
        <w:t xml:space="preserve"> 2020 var </w:t>
      </w:r>
      <w:r w:rsidR="00C14E93">
        <w:t>an</w:t>
      </w:r>
      <w:r w:rsidR="00A302E1">
        <w:t>d</w:t>
      </w:r>
      <w:r w:rsidR="00C14E93">
        <w:t>el</w:t>
      </w:r>
      <w:r w:rsidR="00A302E1">
        <w:t xml:space="preserve">en igen högre vilket alltså berodde på tillfälliga volymhöjningar </w:t>
      </w:r>
      <w:r w:rsidR="00C14E93">
        <w:t>med anledning av pandemin</w:t>
      </w:r>
      <w:r w:rsidR="00A302E1">
        <w:t>.</w:t>
      </w:r>
    </w:p>
    <w:p w14:paraId="71ED194F" w14:textId="3EC04476" w:rsidR="00A60CDA" w:rsidRDefault="00A302E1" w:rsidP="00A302E1">
      <w:pPr>
        <w:pStyle w:val="ANormal"/>
      </w:pPr>
      <w:r>
        <w:tab/>
      </w:r>
      <w:r w:rsidR="00B45B24">
        <w:t>Under åren 2011</w:t>
      </w:r>
      <w:r w:rsidR="008C6D6A">
        <w:t xml:space="preserve"> och </w:t>
      </w:r>
      <w:r w:rsidR="00B45B24">
        <w:t>2012 var l</w:t>
      </w:r>
      <w:r>
        <w:t xml:space="preserve">andskapsandelarna per invånare </w:t>
      </w:r>
      <w:r w:rsidR="001343F8">
        <w:t>runt</w:t>
      </w:r>
      <w:r>
        <w:t xml:space="preserve"> 1</w:t>
      </w:r>
      <w:r w:rsidR="000C1C37">
        <w:t> </w:t>
      </w:r>
      <w:r>
        <w:t>400 euro i medeltal</w:t>
      </w:r>
      <w:r w:rsidR="001343F8">
        <w:t>.</w:t>
      </w:r>
      <w:r>
        <w:t xml:space="preserve"> </w:t>
      </w:r>
      <w:r w:rsidR="001343F8">
        <w:t>D</w:t>
      </w:r>
      <w:r>
        <w:t>et medeltalet har sedan sjunkit till drygt 1</w:t>
      </w:r>
      <w:r w:rsidR="000C1C37">
        <w:t> </w:t>
      </w:r>
      <w:r>
        <w:t xml:space="preserve">200 </w:t>
      </w:r>
      <w:r w:rsidR="00775C1E">
        <w:t xml:space="preserve">per invånare </w:t>
      </w:r>
      <w:r>
        <w:t>under 2013</w:t>
      </w:r>
      <w:r w:rsidR="008C6D6A">
        <w:t xml:space="preserve"> och </w:t>
      </w:r>
      <w:r>
        <w:t>2014, för att sedan öka till c</w:t>
      </w:r>
      <w:r w:rsidR="001343F8">
        <w:t>irk</w:t>
      </w:r>
      <w:r>
        <w:t>a 1</w:t>
      </w:r>
      <w:r w:rsidR="000C1C37">
        <w:t> </w:t>
      </w:r>
      <w:r>
        <w:t xml:space="preserve">300 </w:t>
      </w:r>
      <w:r w:rsidR="00775C1E">
        <w:t xml:space="preserve">per invånare </w:t>
      </w:r>
      <w:r>
        <w:t>under åren 2015–2018</w:t>
      </w:r>
      <w:r w:rsidR="001343F8">
        <w:t xml:space="preserve"> och återigen sjunka till</w:t>
      </w:r>
      <w:r>
        <w:t xml:space="preserve"> </w:t>
      </w:r>
      <w:r w:rsidR="001343F8">
        <w:t>cirka 1</w:t>
      </w:r>
      <w:r w:rsidR="000C1C37">
        <w:t> </w:t>
      </w:r>
      <w:r w:rsidR="001343F8">
        <w:t xml:space="preserve">200 euro per invånare </w:t>
      </w:r>
      <w:r>
        <w:t xml:space="preserve">2019. Både verksamhetskostnader per invånare och skatteintäkter per invånare har ökat </w:t>
      </w:r>
      <w:r w:rsidR="001343F8">
        <w:t>från</w:t>
      </w:r>
      <w:r>
        <w:t xml:space="preserve"> 2011 till 2021.</w:t>
      </w:r>
    </w:p>
    <w:p w14:paraId="17E8DD69" w14:textId="77777777" w:rsidR="00B16AE7" w:rsidRPr="00B16AE7" w:rsidRDefault="00B16AE7" w:rsidP="00B16AE7">
      <w:pPr>
        <w:pStyle w:val="ANormal"/>
      </w:pPr>
    </w:p>
    <w:p w14:paraId="14D7A2C3" w14:textId="4F1A8598" w:rsidR="00215446" w:rsidRDefault="00215446" w:rsidP="00215446">
      <w:pPr>
        <w:pStyle w:val="RubrikB"/>
      </w:pPr>
      <w:bookmarkStart w:id="4" w:name="_Toc113535836"/>
      <w:r>
        <w:t>2. Landskapsregeringens förslag</w:t>
      </w:r>
      <w:bookmarkEnd w:id="4"/>
    </w:p>
    <w:p w14:paraId="4783EBC3" w14:textId="2AF885FC" w:rsidR="00215446" w:rsidRDefault="00215446" w:rsidP="00215446">
      <w:pPr>
        <w:pStyle w:val="Rubrikmellanrum"/>
      </w:pPr>
    </w:p>
    <w:p w14:paraId="70C12804" w14:textId="5DB91154" w:rsidR="00A302E1" w:rsidRDefault="00A302E1" w:rsidP="00215446">
      <w:pPr>
        <w:pStyle w:val="ANormal"/>
      </w:pPr>
      <w:r w:rsidRPr="00A302E1">
        <w:t>Med anledning av att kommunernas självfinansiering har ökat föreslå</w:t>
      </w:r>
      <w:r w:rsidR="00905EB4">
        <w:t>r landskapsregeringen</w:t>
      </w:r>
      <w:r w:rsidRPr="00A302E1">
        <w:t xml:space="preserve"> en höjning av landskapsandelarna</w:t>
      </w:r>
      <w:r w:rsidR="00A544AB">
        <w:t xml:space="preserve"> för finansåret 2022</w:t>
      </w:r>
      <w:r w:rsidRPr="00A302E1">
        <w:t xml:space="preserve">. Ökningen föreslås ske inom den </w:t>
      </w:r>
      <w:r w:rsidR="00056F85">
        <w:t>kostnads</w:t>
      </w:r>
      <w:r w:rsidRPr="00A302E1">
        <w:t>baserade landskapsandelen för äldreomsorg</w:t>
      </w:r>
      <w:r w:rsidR="00905EB4">
        <w:t>en</w:t>
      </w:r>
      <w:r w:rsidRPr="00A302E1">
        <w:t xml:space="preserve"> genom att </w:t>
      </w:r>
      <w:r w:rsidR="00FF7B28">
        <w:t xml:space="preserve">den </w:t>
      </w:r>
      <w:r w:rsidRPr="00A302E1">
        <w:t>ersättningsgrad</w:t>
      </w:r>
      <w:r w:rsidR="00FF7B28">
        <w:t xml:space="preserve"> som anges i 5</w:t>
      </w:r>
      <w:r w:rsidR="003A5E4C">
        <w:t> §</w:t>
      </w:r>
      <w:r w:rsidR="00FF7B28">
        <w:t xml:space="preserve"> 1</w:t>
      </w:r>
      <w:r w:rsidR="003A5E4C">
        <w:t> mom.</w:t>
      </w:r>
      <w:r w:rsidR="00FF7B28">
        <w:t xml:space="preserve"> i landskapslagen om landskapsandelar till kommunerna</w:t>
      </w:r>
      <w:r w:rsidRPr="00A302E1">
        <w:t xml:space="preserve"> justeras uppåt</w:t>
      </w:r>
      <w:r w:rsidR="00905EB4">
        <w:t xml:space="preserve"> från nuvarande 12,5</w:t>
      </w:r>
      <w:r w:rsidR="000C1C37">
        <w:t xml:space="preserve"> </w:t>
      </w:r>
      <w:r w:rsidR="00905EB4">
        <w:t>procent av normkostnaden till 18,5</w:t>
      </w:r>
      <w:r w:rsidR="000C1C37">
        <w:t xml:space="preserve"> </w:t>
      </w:r>
      <w:r w:rsidR="00905EB4">
        <w:t>procent</w:t>
      </w:r>
      <w:r w:rsidRPr="00A302E1">
        <w:t xml:space="preserve">. De befintliga ersättningsintervallen mellan regionerna fasta Åland, skärgård och ytterskärgård bibehålls. </w:t>
      </w:r>
      <w:r w:rsidR="00905EB4">
        <w:t>De föreslagna ersättningsgraderna framgår av följande tabell:</w:t>
      </w:r>
    </w:p>
    <w:p w14:paraId="7B9207A5" w14:textId="2C136077" w:rsidR="004D70EC" w:rsidRDefault="004D70EC" w:rsidP="00215446">
      <w:pPr>
        <w:pStyle w:val="ANormal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13"/>
        <w:gridCol w:w="1914"/>
      </w:tblGrid>
      <w:tr w:rsidR="00DA4E10" w:rsidRPr="00A848AA" w14:paraId="17026715" w14:textId="77777777" w:rsidTr="002F2F7F">
        <w:trPr>
          <w:trHeight w:val="565"/>
        </w:trPr>
        <w:tc>
          <w:tcPr>
            <w:tcW w:w="5382" w:type="dxa"/>
            <w:gridSpan w:val="3"/>
            <w:vAlign w:val="center"/>
            <w:hideMark/>
          </w:tcPr>
          <w:p w14:paraId="1D003E7C" w14:textId="1CDB2701" w:rsidR="00DA4E10" w:rsidRPr="00D546D3" w:rsidRDefault="00DA4E10" w:rsidP="00285C89">
            <w:pPr>
              <w:pStyle w:val="Tabelltext"/>
              <w:rPr>
                <w:b/>
                <w:bCs/>
              </w:rPr>
            </w:pPr>
            <w:r w:rsidRPr="00D546D3">
              <w:rPr>
                <w:b/>
                <w:bCs/>
              </w:rPr>
              <w:t>Ersättningsgrad för landskapsandelen för äldreomsorg 2022</w:t>
            </w:r>
            <w:r w:rsidR="00D546D3">
              <w:rPr>
                <w:b/>
                <w:bCs/>
              </w:rPr>
              <w:t xml:space="preserve"> (procent av normkostnaden)</w:t>
            </w:r>
          </w:p>
        </w:tc>
      </w:tr>
      <w:tr w:rsidR="00DA4E10" w:rsidRPr="00A848AA" w14:paraId="6C4EFF50" w14:textId="77777777" w:rsidTr="002F2F7F">
        <w:trPr>
          <w:trHeight w:val="351"/>
        </w:trPr>
        <w:tc>
          <w:tcPr>
            <w:tcW w:w="1555" w:type="dxa"/>
            <w:vAlign w:val="center"/>
          </w:tcPr>
          <w:p w14:paraId="52395137" w14:textId="77777777" w:rsidR="00DA4E10" w:rsidRPr="00D546D3" w:rsidRDefault="00DA4E10" w:rsidP="00285C89">
            <w:pPr>
              <w:pStyle w:val="Tabelltext"/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vAlign w:val="center"/>
          </w:tcPr>
          <w:p w14:paraId="7BED9AD8" w14:textId="593C2233" w:rsidR="00DA4E10" w:rsidRPr="00D546D3" w:rsidRDefault="00DA4E10" w:rsidP="00285C89">
            <w:pPr>
              <w:pStyle w:val="Tabelltext"/>
              <w:jc w:val="center"/>
              <w:rPr>
                <w:b/>
                <w:bCs/>
              </w:rPr>
            </w:pPr>
            <w:r w:rsidRPr="00D546D3">
              <w:rPr>
                <w:b/>
                <w:bCs/>
              </w:rPr>
              <w:t>Enligt förslaget</w:t>
            </w:r>
          </w:p>
        </w:tc>
        <w:tc>
          <w:tcPr>
            <w:tcW w:w="1914" w:type="dxa"/>
            <w:vAlign w:val="center"/>
          </w:tcPr>
          <w:p w14:paraId="655A57F0" w14:textId="2CBC5006" w:rsidR="00DA4E10" w:rsidRPr="00D546D3" w:rsidRDefault="00DA4E10" w:rsidP="00285C89">
            <w:pPr>
              <w:pStyle w:val="Tabelltext"/>
              <w:jc w:val="center"/>
              <w:rPr>
                <w:b/>
                <w:bCs/>
              </w:rPr>
            </w:pPr>
            <w:r w:rsidRPr="00D546D3">
              <w:rPr>
                <w:b/>
                <w:bCs/>
              </w:rPr>
              <w:t>Enligt gällande lag</w:t>
            </w:r>
          </w:p>
        </w:tc>
      </w:tr>
      <w:tr w:rsidR="00DA4E10" w:rsidRPr="00A848AA" w14:paraId="5F7AB555" w14:textId="77777777" w:rsidTr="002F2F7F">
        <w:trPr>
          <w:trHeight w:val="351"/>
        </w:trPr>
        <w:tc>
          <w:tcPr>
            <w:tcW w:w="1555" w:type="dxa"/>
            <w:noWrap/>
            <w:vAlign w:val="bottom"/>
            <w:hideMark/>
          </w:tcPr>
          <w:p w14:paraId="2DA592A1" w14:textId="170CDBDD" w:rsidR="00DA4E10" w:rsidRPr="00D546D3" w:rsidRDefault="00D546D3" w:rsidP="00285C89">
            <w:pPr>
              <w:pStyle w:val="Tabelltext"/>
            </w:pPr>
            <w:r>
              <w:t>F</w:t>
            </w:r>
            <w:r w:rsidR="00DA4E10" w:rsidRPr="00D546D3">
              <w:t>asta Åland</w:t>
            </w:r>
          </w:p>
        </w:tc>
        <w:tc>
          <w:tcPr>
            <w:tcW w:w="1913" w:type="dxa"/>
            <w:noWrap/>
            <w:vAlign w:val="bottom"/>
            <w:hideMark/>
          </w:tcPr>
          <w:p w14:paraId="43F6F9FD" w14:textId="5B10BC87" w:rsidR="00DA4E10" w:rsidRPr="00D546D3" w:rsidRDefault="00D546D3" w:rsidP="00285C89">
            <w:pPr>
              <w:pStyle w:val="Tabelltext"/>
              <w:jc w:val="right"/>
              <w:rPr>
                <w:highlight w:val="lightGray"/>
              </w:rPr>
            </w:pPr>
            <w:r>
              <w:t>18,5 %</w:t>
            </w:r>
            <w:r w:rsidR="00DA4E10" w:rsidRPr="00D546D3">
              <w:t xml:space="preserve">   </w:t>
            </w:r>
          </w:p>
        </w:tc>
        <w:tc>
          <w:tcPr>
            <w:tcW w:w="1914" w:type="dxa"/>
            <w:noWrap/>
            <w:vAlign w:val="bottom"/>
            <w:hideMark/>
          </w:tcPr>
          <w:p w14:paraId="74E12E08" w14:textId="1D08CC81" w:rsidR="00DA4E10" w:rsidRPr="00D546D3" w:rsidRDefault="00D546D3" w:rsidP="00285C89">
            <w:pPr>
              <w:pStyle w:val="Tabelltext"/>
              <w:jc w:val="right"/>
              <w:rPr>
                <w:highlight w:val="lightGray"/>
              </w:rPr>
            </w:pPr>
            <w:r>
              <w:t>12,5 %</w:t>
            </w:r>
            <w:r w:rsidR="00DA4E10" w:rsidRPr="00D546D3">
              <w:t xml:space="preserve">   </w:t>
            </w:r>
          </w:p>
        </w:tc>
      </w:tr>
      <w:tr w:rsidR="00DA4E10" w:rsidRPr="00A848AA" w14:paraId="73EA63A3" w14:textId="77777777" w:rsidTr="002F2F7F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018B6A4E" w14:textId="6EACA852" w:rsidR="00DA4E10" w:rsidRPr="00D546D3" w:rsidRDefault="00D546D3" w:rsidP="00285C89">
            <w:pPr>
              <w:pStyle w:val="Tabelltext"/>
            </w:pPr>
            <w:r w:rsidRPr="00D546D3">
              <w:t>Skärgården</w:t>
            </w:r>
          </w:p>
        </w:tc>
        <w:tc>
          <w:tcPr>
            <w:tcW w:w="1913" w:type="dxa"/>
            <w:noWrap/>
            <w:vAlign w:val="bottom"/>
            <w:hideMark/>
          </w:tcPr>
          <w:p w14:paraId="5C79DF71" w14:textId="0DB97C6B" w:rsidR="00DA4E10" w:rsidRPr="00D546D3" w:rsidRDefault="00D546D3" w:rsidP="00285C89">
            <w:pPr>
              <w:pStyle w:val="Tabelltext"/>
              <w:jc w:val="right"/>
              <w:rPr>
                <w:highlight w:val="lightGray"/>
              </w:rPr>
            </w:pPr>
            <w:r>
              <w:t>33,5 %</w:t>
            </w:r>
            <w:r w:rsidR="00DA4E10" w:rsidRPr="00D546D3">
              <w:t xml:space="preserve">   </w:t>
            </w:r>
          </w:p>
        </w:tc>
        <w:tc>
          <w:tcPr>
            <w:tcW w:w="1914" w:type="dxa"/>
            <w:noWrap/>
            <w:vAlign w:val="bottom"/>
            <w:hideMark/>
          </w:tcPr>
          <w:p w14:paraId="4A7DD93A" w14:textId="2A8AE931" w:rsidR="00DA4E10" w:rsidRPr="00D546D3" w:rsidRDefault="00D546D3" w:rsidP="00285C89">
            <w:pPr>
              <w:pStyle w:val="Tabelltext"/>
              <w:jc w:val="right"/>
              <w:rPr>
                <w:highlight w:val="lightGray"/>
              </w:rPr>
            </w:pPr>
            <w:r>
              <w:t>27,5 %</w:t>
            </w:r>
            <w:r w:rsidR="00DA4E10" w:rsidRPr="00D546D3">
              <w:t xml:space="preserve">   </w:t>
            </w:r>
          </w:p>
        </w:tc>
      </w:tr>
      <w:tr w:rsidR="00DA4E10" w:rsidRPr="00A848AA" w14:paraId="734DFFEB" w14:textId="77777777" w:rsidTr="002F2F7F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5BD5946B" w14:textId="7C7EEAB3" w:rsidR="00DA4E10" w:rsidRPr="00D546D3" w:rsidRDefault="00D546D3" w:rsidP="00285C89">
            <w:pPr>
              <w:pStyle w:val="Tabelltext"/>
            </w:pPr>
            <w:r w:rsidRPr="00D546D3">
              <w:t>Ytterskärgården</w:t>
            </w:r>
          </w:p>
        </w:tc>
        <w:tc>
          <w:tcPr>
            <w:tcW w:w="1913" w:type="dxa"/>
            <w:noWrap/>
            <w:vAlign w:val="bottom"/>
            <w:hideMark/>
          </w:tcPr>
          <w:p w14:paraId="2BABB972" w14:textId="75B02F5B" w:rsidR="00DA4E10" w:rsidRPr="00D546D3" w:rsidRDefault="00D546D3" w:rsidP="00285C89">
            <w:pPr>
              <w:pStyle w:val="Tabelltext"/>
              <w:jc w:val="right"/>
              <w:rPr>
                <w:highlight w:val="lightGray"/>
              </w:rPr>
            </w:pPr>
            <w:r>
              <w:t>38,5 %</w:t>
            </w:r>
            <w:r w:rsidR="00DA4E10" w:rsidRPr="00D546D3">
              <w:t xml:space="preserve">   </w:t>
            </w:r>
          </w:p>
        </w:tc>
        <w:tc>
          <w:tcPr>
            <w:tcW w:w="1914" w:type="dxa"/>
            <w:noWrap/>
            <w:vAlign w:val="bottom"/>
            <w:hideMark/>
          </w:tcPr>
          <w:p w14:paraId="75F60574" w14:textId="0CBD215F" w:rsidR="00DA4E10" w:rsidRPr="00D546D3" w:rsidRDefault="00D546D3" w:rsidP="00285C89">
            <w:pPr>
              <w:pStyle w:val="Tabelltext"/>
              <w:jc w:val="right"/>
              <w:rPr>
                <w:highlight w:val="lightGray"/>
              </w:rPr>
            </w:pPr>
            <w:r>
              <w:t>32,5 %</w:t>
            </w:r>
            <w:r w:rsidR="00DA4E10" w:rsidRPr="00D546D3">
              <w:t xml:space="preserve">   </w:t>
            </w:r>
          </w:p>
        </w:tc>
      </w:tr>
    </w:tbl>
    <w:p w14:paraId="7E6890DD" w14:textId="0C8A741C" w:rsidR="00AC39DF" w:rsidRDefault="00AC39DF" w:rsidP="00215446">
      <w:pPr>
        <w:pStyle w:val="ANormal"/>
      </w:pPr>
    </w:p>
    <w:p w14:paraId="2BDDC52E" w14:textId="4EB5F29B" w:rsidR="00E051AC" w:rsidRDefault="00A544AB" w:rsidP="00E051AC">
      <w:pPr>
        <w:pStyle w:val="ANormal"/>
      </w:pPr>
      <w:r>
        <w:tab/>
      </w:r>
      <w:r w:rsidR="00905EB4" w:rsidRPr="00A302E1">
        <w:t xml:space="preserve">Landskapsandelen för äldreomsorgen föreslås </w:t>
      </w:r>
      <w:r w:rsidR="00FF7B28">
        <w:t>bli justerad</w:t>
      </w:r>
      <w:r w:rsidR="00905EB4" w:rsidRPr="00A302E1">
        <w:t xml:space="preserve"> retroaktivt fr</w:t>
      </w:r>
      <w:r w:rsidR="00905EB4">
        <w:t xml:space="preserve">ån </w:t>
      </w:r>
      <w:r w:rsidR="00905EB4" w:rsidRPr="00A302E1">
        <w:t>o</w:t>
      </w:r>
      <w:r w:rsidR="00905EB4">
        <w:t xml:space="preserve">ch </w:t>
      </w:r>
      <w:r w:rsidR="00905EB4" w:rsidRPr="00A302E1">
        <w:t>m</w:t>
      </w:r>
      <w:r w:rsidR="00905EB4">
        <w:t>ed</w:t>
      </w:r>
      <w:r w:rsidR="00905EB4" w:rsidRPr="00A302E1">
        <w:t xml:space="preserve"> ingången av år 2022</w:t>
      </w:r>
      <w:r w:rsidR="00905EB4">
        <w:t xml:space="preserve"> och gälla</w:t>
      </w:r>
      <w:r w:rsidR="00905EB4" w:rsidRPr="00A302E1">
        <w:t xml:space="preserve"> temporär</w:t>
      </w:r>
      <w:r w:rsidR="00905EB4">
        <w:t>t</w:t>
      </w:r>
      <w:r w:rsidR="00905EB4" w:rsidRPr="00A302E1">
        <w:t xml:space="preserve"> för </w:t>
      </w:r>
      <w:r w:rsidR="00905EB4">
        <w:t xml:space="preserve">detta </w:t>
      </w:r>
      <w:r w:rsidR="00905EB4" w:rsidRPr="00A302E1">
        <w:t>år.</w:t>
      </w:r>
      <w:r w:rsidR="00E051AC">
        <w:t xml:space="preserve"> Det innebär </w:t>
      </w:r>
      <w:r w:rsidR="00E051AC">
        <w:lastRenderedPageBreak/>
        <w:t xml:space="preserve">att landskapsregeringens beslut om fastställande av landskapsandelen upphävs och att ett nytt beslut </w:t>
      </w:r>
      <w:r w:rsidR="00FF7B28">
        <w:t xml:space="preserve">ska </w:t>
      </w:r>
      <w:r w:rsidR="00E051AC">
        <w:t xml:space="preserve">fattas </w:t>
      </w:r>
      <w:r w:rsidR="00EA5C23">
        <w:t>så snart</w:t>
      </w:r>
      <w:r w:rsidR="00E051AC">
        <w:t xml:space="preserve"> lagen har trätt i kraft.</w:t>
      </w:r>
    </w:p>
    <w:p w14:paraId="7245642B" w14:textId="2A84C43B" w:rsidR="00A544AB" w:rsidRDefault="00A544AB" w:rsidP="00E051AC">
      <w:pPr>
        <w:pStyle w:val="ANormal"/>
      </w:pPr>
      <w:r>
        <w:tab/>
        <w:t>I lagförslaget ingår även en språklig korrigering av texten i 5</w:t>
      </w:r>
      <w:r w:rsidR="003A5E4C">
        <w:t> §</w:t>
      </w:r>
      <w:r>
        <w:t xml:space="preserve"> 2</w:t>
      </w:r>
      <w:r w:rsidR="003A5E4C">
        <w:t> mom.</w:t>
      </w:r>
      <w:r>
        <w:t xml:space="preserve"> i landskapslagen om landskapsandelar till kommunerna</w:t>
      </w:r>
      <w:r w:rsidR="00FF7B28">
        <w:t>. Till skillnad från ändringen av lagens 5</w:t>
      </w:r>
      <w:r w:rsidR="003A5E4C">
        <w:t> §</w:t>
      </w:r>
      <w:r w:rsidR="00FF7B28">
        <w:t xml:space="preserve"> 1</w:t>
      </w:r>
      <w:r w:rsidR="003A5E4C">
        <w:t> mom.</w:t>
      </w:r>
      <w:r w:rsidR="00FF7B28">
        <w:t xml:space="preserve"> är denna ändring permanent.</w:t>
      </w:r>
    </w:p>
    <w:p w14:paraId="1072E4EE" w14:textId="77777777" w:rsidR="00E051AC" w:rsidRDefault="00E051AC" w:rsidP="00215446">
      <w:pPr>
        <w:pStyle w:val="ANormal"/>
      </w:pPr>
    </w:p>
    <w:p w14:paraId="394A910B" w14:textId="070DECE7" w:rsidR="00215446" w:rsidRDefault="00215446" w:rsidP="00215446">
      <w:pPr>
        <w:pStyle w:val="RubrikB"/>
      </w:pPr>
      <w:bookmarkStart w:id="5" w:name="_Toc113535837"/>
      <w:r>
        <w:t>3. Förslagets konsekvenser</w:t>
      </w:r>
      <w:bookmarkEnd w:id="5"/>
    </w:p>
    <w:p w14:paraId="3C45FEA2" w14:textId="644666D7" w:rsidR="00215446" w:rsidRDefault="00215446" w:rsidP="00215446">
      <w:pPr>
        <w:pStyle w:val="Rubrikmellanrum"/>
      </w:pPr>
    </w:p>
    <w:p w14:paraId="7BE425B6" w14:textId="307A44B5" w:rsidR="00215446" w:rsidRDefault="00CB4489" w:rsidP="00215446">
      <w:pPr>
        <w:pStyle w:val="ANormal"/>
      </w:pPr>
      <w:r w:rsidRPr="00483460">
        <w:t xml:space="preserve">Den direkta ekonomiska effekten av förslaget blir att överföringarna från landskapet till kommunerna ökar med </w:t>
      </w:r>
      <w:r w:rsidR="004E39C4">
        <w:t>närmare</w:t>
      </w:r>
      <w:r w:rsidRPr="00483460">
        <w:t xml:space="preserve"> 2</w:t>
      </w:r>
      <w:r w:rsidR="004E39C4">
        <w:t>,1</w:t>
      </w:r>
      <w:r w:rsidRPr="00483460">
        <w:t> miljoner euro</w:t>
      </w:r>
      <w:r w:rsidR="00E72CC3" w:rsidRPr="00483460">
        <w:t xml:space="preserve"> under 202</w:t>
      </w:r>
      <w:r w:rsidR="00483460" w:rsidRPr="00483460">
        <w:t>2</w:t>
      </w:r>
      <w:r w:rsidRPr="00483460">
        <w:t xml:space="preserve">. Anslag för detta har tagits upp i landskapsregeringens förslag till </w:t>
      </w:r>
      <w:r w:rsidR="004A26A7">
        <w:t>tredje</w:t>
      </w:r>
      <w:r w:rsidRPr="00483460">
        <w:t xml:space="preserve"> tilläggsbudget för 202</w:t>
      </w:r>
      <w:r w:rsidR="00483460" w:rsidRPr="00483460">
        <w:t>2</w:t>
      </w:r>
      <w:r w:rsidRPr="00483460">
        <w:t xml:space="preserve"> (se moment </w:t>
      </w:r>
      <w:r w:rsidRPr="00A00E52">
        <w:t>41500</w:t>
      </w:r>
      <w:r w:rsidRPr="00483460">
        <w:t xml:space="preserve">). </w:t>
      </w:r>
      <w:r w:rsidR="00854800" w:rsidRPr="00483460">
        <w:t>Fördelningen mellan kommunerna framgår av följande tabell:</w:t>
      </w:r>
    </w:p>
    <w:p w14:paraId="0C3B54B8" w14:textId="5B2DC36D" w:rsidR="002D6423" w:rsidRDefault="002D6423" w:rsidP="00125719">
      <w:pPr>
        <w:pStyle w:val="ANormal"/>
        <w:jc w:val="center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276"/>
      </w:tblGrid>
      <w:tr w:rsidR="007D4454" w:rsidRPr="00EA5382" w14:paraId="27F19825" w14:textId="77777777" w:rsidTr="007D4454">
        <w:trPr>
          <w:trHeight w:val="565"/>
        </w:trPr>
        <w:tc>
          <w:tcPr>
            <w:tcW w:w="6516" w:type="dxa"/>
            <w:gridSpan w:val="4"/>
            <w:vAlign w:val="center"/>
            <w:hideMark/>
          </w:tcPr>
          <w:p w14:paraId="274CE260" w14:textId="3C7360B9" w:rsidR="007D4454" w:rsidRPr="00EA5382" w:rsidRDefault="007D4454" w:rsidP="007D4454">
            <w:pPr>
              <w:pStyle w:val="Tabelltext"/>
              <w:rPr>
                <w:b/>
                <w:bCs/>
              </w:rPr>
            </w:pPr>
            <w:bookmarkStart w:id="6" w:name="_Hlk71207252"/>
            <w:r>
              <w:rPr>
                <w:b/>
                <w:bCs/>
              </w:rPr>
              <w:t>Landskapsandel för äldreomsorg</w:t>
            </w:r>
            <w:r w:rsidR="006F50ED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 2022</w:t>
            </w:r>
            <w:r w:rsidR="00D546D3">
              <w:rPr>
                <w:b/>
                <w:bCs/>
              </w:rPr>
              <w:t xml:space="preserve"> (euro)</w:t>
            </w:r>
          </w:p>
        </w:tc>
      </w:tr>
      <w:tr w:rsidR="007D4454" w:rsidRPr="00EA5382" w14:paraId="52F4C564" w14:textId="77777777" w:rsidTr="003C06B3">
        <w:trPr>
          <w:trHeight w:val="351"/>
        </w:trPr>
        <w:tc>
          <w:tcPr>
            <w:tcW w:w="1555" w:type="dxa"/>
            <w:vAlign w:val="center"/>
          </w:tcPr>
          <w:p w14:paraId="126F3929" w14:textId="77777777" w:rsidR="007D4454" w:rsidRPr="00EA5382" w:rsidRDefault="007D4454" w:rsidP="00125719">
            <w:pPr>
              <w:pStyle w:val="Tabelltext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FF08A26" w14:textId="43D2D774" w:rsidR="007D4454" w:rsidRPr="00EA5382" w:rsidRDefault="007D4454" w:rsidP="00125719">
            <w:pPr>
              <w:pStyle w:val="Tabel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Belopp enligt förslaget</w:t>
            </w:r>
          </w:p>
        </w:tc>
        <w:tc>
          <w:tcPr>
            <w:tcW w:w="1843" w:type="dxa"/>
            <w:vAlign w:val="center"/>
          </w:tcPr>
          <w:p w14:paraId="011FE62B" w14:textId="5C5B5E53" w:rsidR="007D4454" w:rsidRPr="00EA5382" w:rsidRDefault="007D4454" w:rsidP="00125719">
            <w:pPr>
              <w:pStyle w:val="Tabel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Belopp enligt gällande lag</w:t>
            </w:r>
          </w:p>
        </w:tc>
        <w:tc>
          <w:tcPr>
            <w:tcW w:w="1276" w:type="dxa"/>
            <w:vAlign w:val="center"/>
          </w:tcPr>
          <w:p w14:paraId="3FCDBDBD" w14:textId="207D1D99" w:rsidR="007D4454" w:rsidRPr="00EA5382" w:rsidRDefault="007D4454" w:rsidP="00125719">
            <w:pPr>
              <w:pStyle w:val="Tabell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Förändring</w:t>
            </w:r>
          </w:p>
        </w:tc>
      </w:tr>
      <w:tr w:rsidR="003C06B3" w:rsidRPr="00483460" w14:paraId="7D96C513" w14:textId="77777777" w:rsidTr="003C06B3">
        <w:trPr>
          <w:trHeight w:val="351"/>
        </w:trPr>
        <w:tc>
          <w:tcPr>
            <w:tcW w:w="1555" w:type="dxa"/>
            <w:noWrap/>
            <w:vAlign w:val="bottom"/>
            <w:hideMark/>
          </w:tcPr>
          <w:p w14:paraId="7A668107" w14:textId="77777777" w:rsidR="003C06B3" w:rsidRPr="00EA5382" w:rsidRDefault="003C06B3" w:rsidP="003C06B3">
            <w:pPr>
              <w:pStyle w:val="Tabelltext"/>
            </w:pPr>
            <w:bookmarkStart w:id="7" w:name="_Hlk71277319"/>
            <w:r w:rsidRPr="00EA5382">
              <w:t>Brändö</w:t>
            </w:r>
          </w:p>
        </w:tc>
        <w:tc>
          <w:tcPr>
            <w:tcW w:w="1842" w:type="dxa"/>
            <w:noWrap/>
            <w:vAlign w:val="bottom"/>
            <w:hideMark/>
          </w:tcPr>
          <w:p w14:paraId="4970F595" w14:textId="0D1AC8C7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313</w:t>
            </w:r>
            <w:r w:rsidR="000C1C37">
              <w:t> </w:t>
            </w:r>
            <w:r w:rsidRPr="00E46314">
              <w:t xml:space="preserve">982   </w:t>
            </w:r>
          </w:p>
        </w:tc>
        <w:tc>
          <w:tcPr>
            <w:tcW w:w="1843" w:type="dxa"/>
            <w:noWrap/>
            <w:vAlign w:val="bottom"/>
            <w:hideMark/>
          </w:tcPr>
          <w:p w14:paraId="0C075170" w14:textId="500B8CBA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265</w:t>
            </w:r>
            <w:r w:rsidR="00D111DE">
              <w:t> </w:t>
            </w:r>
            <w:r w:rsidRPr="0037241E">
              <w:t xml:space="preserve">050   </w:t>
            </w:r>
          </w:p>
        </w:tc>
        <w:tc>
          <w:tcPr>
            <w:tcW w:w="1276" w:type="dxa"/>
            <w:noWrap/>
            <w:vAlign w:val="bottom"/>
            <w:hideMark/>
          </w:tcPr>
          <w:p w14:paraId="0FCBEE43" w14:textId="6DE0C06A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48</w:t>
            </w:r>
            <w:r w:rsidR="00D111DE">
              <w:t> </w:t>
            </w:r>
            <w:r w:rsidRPr="0037241E">
              <w:t xml:space="preserve">932   </w:t>
            </w:r>
          </w:p>
        </w:tc>
      </w:tr>
      <w:tr w:rsidR="003C06B3" w:rsidRPr="00483460" w14:paraId="20FFD046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1C136E9A" w14:textId="77777777" w:rsidR="003C06B3" w:rsidRPr="00EA5382" w:rsidRDefault="003C06B3" w:rsidP="003C06B3">
            <w:pPr>
              <w:pStyle w:val="Tabelltext"/>
            </w:pPr>
            <w:r w:rsidRPr="00EA5382">
              <w:t>Eckerö</w:t>
            </w:r>
          </w:p>
        </w:tc>
        <w:tc>
          <w:tcPr>
            <w:tcW w:w="1842" w:type="dxa"/>
            <w:noWrap/>
            <w:vAlign w:val="bottom"/>
            <w:hideMark/>
          </w:tcPr>
          <w:p w14:paraId="3086D7CC" w14:textId="2577308B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254</w:t>
            </w:r>
            <w:r w:rsidR="000C1C37">
              <w:t> </w:t>
            </w:r>
            <w:r w:rsidRPr="00E46314">
              <w:t xml:space="preserve">942   </w:t>
            </w:r>
          </w:p>
        </w:tc>
        <w:tc>
          <w:tcPr>
            <w:tcW w:w="1843" w:type="dxa"/>
            <w:noWrap/>
            <w:vAlign w:val="bottom"/>
            <w:hideMark/>
          </w:tcPr>
          <w:p w14:paraId="79DD9C2E" w14:textId="00752871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172</w:t>
            </w:r>
            <w:r w:rsidR="00D111DE">
              <w:t> </w:t>
            </w:r>
            <w:r w:rsidRPr="0037241E">
              <w:t xml:space="preserve">258   </w:t>
            </w:r>
          </w:p>
        </w:tc>
        <w:tc>
          <w:tcPr>
            <w:tcW w:w="1276" w:type="dxa"/>
            <w:noWrap/>
            <w:vAlign w:val="bottom"/>
            <w:hideMark/>
          </w:tcPr>
          <w:p w14:paraId="45BD9615" w14:textId="09F904A1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82</w:t>
            </w:r>
            <w:r w:rsidR="00D111DE">
              <w:t> </w:t>
            </w:r>
            <w:r w:rsidRPr="0037241E">
              <w:t xml:space="preserve">684   </w:t>
            </w:r>
          </w:p>
        </w:tc>
      </w:tr>
      <w:tr w:rsidR="003C06B3" w:rsidRPr="00483460" w14:paraId="171E05B0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10E5DE0E" w14:textId="77777777" w:rsidR="003C06B3" w:rsidRPr="00EA5382" w:rsidRDefault="003C06B3" w:rsidP="003C06B3">
            <w:pPr>
              <w:pStyle w:val="Tabelltext"/>
            </w:pPr>
            <w:r w:rsidRPr="00EA5382">
              <w:t>Finström</w:t>
            </w:r>
          </w:p>
        </w:tc>
        <w:tc>
          <w:tcPr>
            <w:tcW w:w="1842" w:type="dxa"/>
            <w:noWrap/>
            <w:vAlign w:val="bottom"/>
            <w:hideMark/>
          </w:tcPr>
          <w:p w14:paraId="5D8483A5" w14:textId="1BD23209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510</w:t>
            </w:r>
            <w:r w:rsidR="000C1C37">
              <w:t> </w:t>
            </w:r>
            <w:r w:rsidRPr="00E46314">
              <w:t xml:space="preserve">844   </w:t>
            </w:r>
          </w:p>
        </w:tc>
        <w:tc>
          <w:tcPr>
            <w:tcW w:w="1843" w:type="dxa"/>
            <w:noWrap/>
            <w:vAlign w:val="bottom"/>
            <w:hideMark/>
          </w:tcPr>
          <w:p w14:paraId="0B8D1F03" w14:textId="58F4C9C6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345</w:t>
            </w:r>
            <w:r w:rsidR="00D111DE">
              <w:t> </w:t>
            </w:r>
            <w:r w:rsidRPr="0037241E">
              <w:t xml:space="preserve">165   </w:t>
            </w:r>
          </w:p>
        </w:tc>
        <w:tc>
          <w:tcPr>
            <w:tcW w:w="1276" w:type="dxa"/>
            <w:noWrap/>
            <w:vAlign w:val="bottom"/>
            <w:hideMark/>
          </w:tcPr>
          <w:p w14:paraId="3FEB66A5" w14:textId="234D8510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165</w:t>
            </w:r>
            <w:r w:rsidR="00D111DE">
              <w:t> </w:t>
            </w:r>
            <w:r w:rsidRPr="0037241E">
              <w:t xml:space="preserve">679   </w:t>
            </w:r>
          </w:p>
        </w:tc>
      </w:tr>
      <w:tr w:rsidR="003C06B3" w:rsidRPr="00483460" w14:paraId="2683869E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75CCFAE4" w14:textId="77777777" w:rsidR="003C06B3" w:rsidRPr="00EA5382" w:rsidRDefault="003C06B3" w:rsidP="003C06B3">
            <w:pPr>
              <w:pStyle w:val="Tabelltext"/>
            </w:pPr>
            <w:r w:rsidRPr="00EA5382">
              <w:t>Föglö</w:t>
            </w:r>
          </w:p>
        </w:tc>
        <w:tc>
          <w:tcPr>
            <w:tcW w:w="1842" w:type="dxa"/>
            <w:noWrap/>
            <w:vAlign w:val="bottom"/>
            <w:hideMark/>
          </w:tcPr>
          <w:p w14:paraId="53C1E162" w14:textId="38B8954E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331</w:t>
            </w:r>
            <w:r w:rsidR="000C1C37">
              <w:t> </w:t>
            </w:r>
            <w:r w:rsidRPr="00E46314">
              <w:t xml:space="preserve">807   </w:t>
            </w:r>
          </w:p>
        </w:tc>
        <w:tc>
          <w:tcPr>
            <w:tcW w:w="1843" w:type="dxa"/>
            <w:noWrap/>
            <w:vAlign w:val="bottom"/>
            <w:hideMark/>
          </w:tcPr>
          <w:p w14:paraId="4E723E3E" w14:textId="7B880A9A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272</w:t>
            </w:r>
            <w:r w:rsidR="00D111DE">
              <w:t> </w:t>
            </w:r>
            <w:r w:rsidRPr="0037241E">
              <w:t xml:space="preserve">379   </w:t>
            </w:r>
          </w:p>
        </w:tc>
        <w:tc>
          <w:tcPr>
            <w:tcW w:w="1276" w:type="dxa"/>
            <w:noWrap/>
            <w:vAlign w:val="bottom"/>
            <w:hideMark/>
          </w:tcPr>
          <w:p w14:paraId="0FCAA5B8" w14:textId="2A1B6D1A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59</w:t>
            </w:r>
            <w:r w:rsidR="00D111DE">
              <w:t> </w:t>
            </w:r>
            <w:r w:rsidRPr="0037241E">
              <w:t xml:space="preserve">428   </w:t>
            </w:r>
          </w:p>
        </w:tc>
      </w:tr>
      <w:tr w:rsidR="003C06B3" w:rsidRPr="00483460" w14:paraId="62A150C5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1ED02EF2" w14:textId="77777777" w:rsidR="003C06B3" w:rsidRPr="00EA5382" w:rsidRDefault="003C06B3" w:rsidP="003C06B3">
            <w:pPr>
              <w:pStyle w:val="Tabelltext"/>
            </w:pPr>
            <w:r w:rsidRPr="00EA5382">
              <w:t>Geta</w:t>
            </w:r>
          </w:p>
        </w:tc>
        <w:tc>
          <w:tcPr>
            <w:tcW w:w="1842" w:type="dxa"/>
            <w:noWrap/>
            <w:vAlign w:val="bottom"/>
            <w:hideMark/>
          </w:tcPr>
          <w:p w14:paraId="33A5C1B2" w14:textId="3D3DDE2D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129</w:t>
            </w:r>
            <w:r w:rsidR="000C1C37">
              <w:t> </w:t>
            </w:r>
            <w:r w:rsidRPr="00E46314">
              <w:t xml:space="preserve">301   </w:t>
            </w:r>
          </w:p>
        </w:tc>
        <w:tc>
          <w:tcPr>
            <w:tcW w:w="1843" w:type="dxa"/>
            <w:noWrap/>
            <w:vAlign w:val="bottom"/>
            <w:hideMark/>
          </w:tcPr>
          <w:p w14:paraId="42129CC2" w14:textId="3EC936D8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87</w:t>
            </w:r>
            <w:r w:rsidR="00D111DE">
              <w:t> </w:t>
            </w:r>
            <w:r w:rsidRPr="0037241E">
              <w:t xml:space="preserve">365   </w:t>
            </w:r>
          </w:p>
        </w:tc>
        <w:tc>
          <w:tcPr>
            <w:tcW w:w="1276" w:type="dxa"/>
            <w:noWrap/>
            <w:vAlign w:val="bottom"/>
            <w:hideMark/>
          </w:tcPr>
          <w:p w14:paraId="5F14A580" w14:textId="6FA8CA7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41</w:t>
            </w:r>
            <w:r w:rsidR="00D111DE">
              <w:t> </w:t>
            </w:r>
            <w:r w:rsidRPr="0037241E">
              <w:t xml:space="preserve">935   </w:t>
            </w:r>
          </w:p>
        </w:tc>
      </w:tr>
      <w:tr w:rsidR="003C06B3" w:rsidRPr="00483460" w14:paraId="2391F3B7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61A47386" w14:textId="77777777" w:rsidR="003C06B3" w:rsidRPr="00EA5382" w:rsidRDefault="003C06B3" w:rsidP="003C06B3">
            <w:pPr>
              <w:pStyle w:val="Tabelltext"/>
            </w:pPr>
            <w:r w:rsidRPr="00EA5382">
              <w:t>Hammarland</w:t>
            </w:r>
          </w:p>
        </w:tc>
        <w:tc>
          <w:tcPr>
            <w:tcW w:w="1842" w:type="dxa"/>
            <w:noWrap/>
            <w:vAlign w:val="bottom"/>
            <w:hideMark/>
          </w:tcPr>
          <w:p w14:paraId="7CF0D356" w14:textId="47EEB7F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330</w:t>
            </w:r>
            <w:r w:rsidR="000C1C37">
              <w:t> </w:t>
            </w:r>
            <w:r w:rsidRPr="00E46314">
              <w:t xml:space="preserve">675   </w:t>
            </w:r>
          </w:p>
        </w:tc>
        <w:tc>
          <w:tcPr>
            <w:tcW w:w="1843" w:type="dxa"/>
            <w:noWrap/>
            <w:vAlign w:val="bottom"/>
            <w:hideMark/>
          </w:tcPr>
          <w:p w14:paraId="1D89E3C9" w14:textId="489E1C7F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223</w:t>
            </w:r>
            <w:r w:rsidR="00D111DE">
              <w:t> </w:t>
            </w:r>
            <w:r w:rsidRPr="0037241E">
              <w:t xml:space="preserve">429   </w:t>
            </w:r>
          </w:p>
        </w:tc>
        <w:tc>
          <w:tcPr>
            <w:tcW w:w="1276" w:type="dxa"/>
            <w:noWrap/>
            <w:vAlign w:val="bottom"/>
            <w:hideMark/>
          </w:tcPr>
          <w:p w14:paraId="4DF45FE6" w14:textId="5DF721CB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107</w:t>
            </w:r>
            <w:r w:rsidR="00D111DE">
              <w:t> </w:t>
            </w:r>
            <w:r w:rsidRPr="0037241E">
              <w:t xml:space="preserve">246   </w:t>
            </w:r>
          </w:p>
        </w:tc>
      </w:tr>
      <w:tr w:rsidR="003C06B3" w:rsidRPr="00483460" w14:paraId="3C2615E1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313F7F9C" w14:textId="77777777" w:rsidR="003C06B3" w:rsidRPr="00EA5382" w:rsidRDefault="003C06B3" w:rsidP="003C06B3">
            <w:pPr>
              <w:pStyle w:val="Tabelltext"/>
            </w:pPr>
            <w:r w:rsidRPr="00EA5382">
              <w:t>Jomala</w:t>
            </w:r>
          </w:p>
        </w:tc>
        <w:tc>
          <w:tcPr>
            <w:tcW w:w="1842" w:type="dxa"/>
            <w:noWrap/>
            <w:vAlign w:val="bottom"/>
            <w:hideMark/>
          </w:tcPr>
          <w:p w14:paraId="6C0F4C20" w14:textId="7E9E6B69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625</w:t>
            </w:r>
            <w:r w:rsidR="000C1C37">
              <w:t> </w:t>
            </w:r>
            <w:r w:rsidRPr="00E46314">
              <w:t xml:space="preserve">094   </w:t>
            </w:r>
          </w:p>
        </w:tc>
        <w:tc>
          <w:tcPr>
            <w:tcW w:w="1843" w:type="dxa"/>
            <w:noWrap/>
            <w:vAlign w:val="bottom"/>
            <w:hideMark/>
          </w:tcPr>
          <w:p w14:paraId="69DBB93E" w14:textId="169A250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422</w:t>
            </w:r>
            <w:r w:rsidR="00D111DE">
              <w:t> </w:t>
            </w:r>
            <w:r w:rsidRPr="0037241E">
              <w:t xml:space="preserve">361   </w:t>
            </w:r>
          </w:p>
        </w:tc>
        <w:tc>
          <w:tcPr>
            <w:tcW w:w="1276" w:type="dxa"/>
            <w:noWrap/>
            <w:vAlign w:val="bottom"/>
            <w:hideMark/>
          </w:tcPr>
          <w:p w14:paraId="2D5E77DC" w14:textId="6E489F24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202</w:t>
            </w:r>
            <w:r w:rsidR="00D111DE">
              <w:t> </w:t>
            </w:r>
            <w:r w:rsidRPr="0037241E">
              <w:t xml:space="preserve">733   </w:t>
            </w:r>
          </w:p>
        </w:tc>
      </w:tr>
      <w:tr w:rsidR="003C06B3" w:rsidRPr="00483460" w14:paraId="0BF51711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1C223AE6" w14:textId="77777777" w:rsidR="003C06B3" w:rsidRPr="00EA5382" w:rsidRDefault="003C06B3" w:rsidP="003C06B3">
            <w:pPr>
              <w:pStyle w:val="Tabelltext"/>
            </w:pPr>
            <w:r w:rsidRPr="00EA5382">
              <w:t>Kumlinge</w:t>
            </w:r>
          </w:p>
        </w:tc>
        <w:tc>
          <w:tcPr>
            <w:tcW w:w="1842" w:type="dxa"/>
            <w:noWrap/>
            <w:vAlign w:val="bottom"/>
            <w:hideMark/>
          </w:tcPr>
          <w:p w14:paraId="683A3B15" w14:textId="4ED8D07C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279</w:t>
            </w:r>
            <w:r w:rsidR="000C1C37">
              <w:t> </w:t>
            </w:r>
            <w:r w:rsidRPr="00E46314">
              <w:t xml:space="preserve">985   </w:t>
            </w:r>
          </w:p>
        </w:tc>
        <w:tc>
          <w:tcPr>
            <w:tcW w:w="1843" w:type="dxa"/>
            <w:noWrap/>
            <w:vAlign w:val="bottom"/>
            <w:hideMark/>
          </w:tcPr>
          <w:p w14:paraId="286E9F00" w14:textId="7D2EB25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236</w:t>
            </w:r>
            <w:r w:rsidR="00D111DE">
              <w:t> </w:t>
            </w:r>
            <w:r w:rsidRPr="0037241E">
              <w:t xml:space="preserve">351   </w:t>
            </w:r>
          </w:p>
        </w:tc>
        <w:tc>
          <w:tcPr>
            <w:tcW w:w="1276" w:type="dxa"/>
            <w:noWrap/>
            <w:vAlign w:val="bottom"/>
            <w:hideMark/>
          </w:tcPr>
          <w:p w14:paraId="36D6877C" w14:textId="14BD277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43</w:t>
            </w:r>
            <w:r w:rsidR="00D111DE">
              <w:t> </w:t>
            </w:r>
            <w:r w:rsidRPr="0037241E">
              <w:t xml:space="preserve">634   </w:t>
            </w:r>
          </w:p>
        </w:tc>
      </w:tr>
      <w:tr w:rsidR="003C06B3" w:rsidRPr="00483460" w14:paraId="620B312B" w14:textId="77777777" w:rsidTr="003C06B3">
        <w:trPr>
          <w:trHeight w:val="330"/>
        </w:trPr>
        <w:tc>
          <w:tcPr>
            <w:tcW w:w="1555" w:type="dxa"/>
            <w:noWrap/>
            <w:vAlign w:val="bottom"/>
            <w:hideMark/>
          </w:tcPr>
          <w:p w14:paraId="54828FB6" w14:textId="77777777" w:rsidR="003C06B3" w:rsidRPr="00EA5382" w:rsidRDefault="003C06B3" w:rsidP="003C06B3">
            <w:pPr>
              <w:pStyle w:val="Tabelltext"/>
            </w:pPr>
            <w:r w:rsidRPr="00EA5382">
              <w:t>Kökar</w:t>
            </w:r>
          </w:p>
        </w:tc>
        <w:tc>
          <w:tcPr>
            <w:tcW w:w="1842" w:type="dxa"/>
            <w:noWrap/>
            <w:vAlign w:val="bottom"/>
            <w:hideMark/>
          </w:tcPr>
          <w:p w14:paraId="2FD01D39" w14:textId="2B336BAF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182</w:t>
            </w:r>
            <w:r w:rsidR="000C1C37">
              <w:t> </w:t>
            </w:r>
            <w:r w:rsidRPr="00E46314">
              <w:t xml:space="preserve">029   </w:t>
            </w:r>
          </w:p>
        </w:tc>
        <w:tc>
          <w:tcPr>
            <w:tcW w:w="1843" w:type="dxa"/>
            <w:noWrap/>
            <w:vAlign w:val="bottom"/>
            <w:hideMark/>
          </w:tcPr>
          <w:p w14:paraId="6FABFB41" w14:textId="1D0A3115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153</w:t>
            </w:r>
            <w:r w:rsidR="00D111DE">
              <w:t> </w:t>
            </w:r>
            <w:r w:rsidRPr="0037241E">
              <w:t xml:space="preserve">661   </w:t>
            </w:r>
          </w:p>
        </w:tc>
        <w:tc>
          <w:tcPr>
            <w:tcW w:w="1276" w:type="dxa"/>
            <w:noWrap/>
            <w:vAlign w:val="bottom"/>
            <w:hideMark/>
          </w:tcPr>
          <w:p w14:paraId="33D2EE2A" w14:textId="5AE050B9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28</w:t>
            </w:r>
            <w:r w:rsidR="00D111DE">
              <w:t> </w:t>
            </w:r>
            <w:r w:rsidRPr="0037241E">
              <w:t xml:space="preserve">368   </w:t>
            </w:r>
          </w:p>
        </w:tc>
      </w:tr>
      <w:tr w:rsidR="003C06B3" w:rsidRPr="00483460" w14:paraId="75B9A7A8" w14:textId="77777777" w:rsidTr="003C06B3">
        <w:trPr>
          <w:trHeight w:val="330"/>
        </w:trPr>
        <w:tc>
          <w:tcPr>
            <w:tcW w:w="1555" w:type="dxa"/>
            <w:noWrap/>
            <w:vAlign w:val="bottom"/>
            <w:hideMark/>
          </w:tcPr>
          <w:p w14:paraId="626A3A2D" w14:textId="77777777" w:rsidR="003C06B3" w:rsidRPr="00EA5382" w:rsidRDefault="003C06B3" w:rsidP="003C06B3">
            <w:pPr>
              <w:pStyle w:val="Tabelltext"/>
            </w:pPr>
            <w:r w:rsidRPr="00EA5382">
              <w:t>Lemland</w:t>
            </w:r>
          </w:p>
        </w:tc>
        <w:tc>
          <w:tcPr>
            <w:tcW w:w="1842" w:type="dxa"/>
            <w:noWrap/>
            <w:vAlign w:val="bottom"/>
            <w:hideMark/>
          </w:tcPr>
          <w:p w14:paraId="2046BE58" w14:textId="18E256D8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304</w:t>
            </w:r>
            <w:r w:rsidR="000C1C37">
              <w:t> </w:t>
            </w:r>
            <w:r w:rsidRPr="00E46314">
              <w:t xml:space="preserve">214   </w:t>
            </w:r>
          </w:p>
        </w:tc>
        <w:tc>
          <w:tcPr>
            <w:tcW w:w="1843" w:type="dxa"/>
            <w:noWrap/>
            <w:vAlign w:val="bottom"/>
            <w:hideMark/>
          </w:tcPr>
          <w:p w14:paraId="22C2E127" w14:textId="091AFD7A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205</w:t>
            </w:r>
            <w:r w:rsidR="00D111DE">
              <w:t> </w:t>
            </w:r>
            <w:r w:rsidRPr="0037241E">
              <w:t xml:space="preserve">550   </w:t>
            </w:r>
          </w:p>
        </w:tc>
        <w:tc>
          <w:tcPr>
            <w:tcW w:w="1276" w:type="dxa"/>
            <w:noWrap/>
            <w:vAlign w:val="bottom"/>
            <w:hideMark/>
          </w:tcPr>
          <w:p w14:paraId="29445515" w14:textId="300CD514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98</w:t>
            </w:r>
            <w:r w:rsidR="00D111DE">
              <w:t> </w:t>
            </w:r>
            <w:r w:rsidRPr="0037241E">
              <w:t xml:space="preserve">664   </w:t>
            </w:r>
          </w:p>
        </w:tc>
      </w:tr>
      <w:tr w:rsidR="003C06B3" w:rsidRPr="00483460" w14:paraId="6B13764A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6E61C43A" w14:textId="77777777" w:rsidR="003C06B3" w:rsidRPr="00EA5382" w:rsidRDefault="003C06B3" w:rsidP="003C06B3">
            <w:pPr>
              <w:pStyle w:val="Tabelltext"/>
            </w:pPr>
            <w:r w:rsidRPr="00EA5382">
              <w:t>Lumparland</w:t>
            </w:r>
          </w:p>
        </w:tc>
        <w:tc>
          <w:tcPr>
            <w:tcW w:w="1842" w:type="dxa"/>
            <w:noWrap/>
            <w:vAlign w:val="bottom"/>
            <w:hideMark/>
          </w:tcPr>
          <w:p w14:paraId="37B1CA00" w14:textId="22A1731D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97</w:t>
            </w:r>
            <w:r w:rsidR="000C1C37">
              <w:t> </w:t>
            </w:r>
            <w:r w:rsidRPr="00E46314">
              <w:t xml:space="preserve">788   </w:t>
            </w:r>
          </w:p>
        </w:tc>
        <w:tc>
          <w:tcPr>
            <w:tcW w:w="1843" w:type="dxa"/>
            <w:noWrap/>
            <w:vAlign w:val="bottom"/>
            <w:hideMark/>
          </w:tcPr>
          <w:p w14:paraId="07E48E82" w14:textId="58187449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66</w:t>
            </w:r>
            <w:r w:rsidR="00D111DE">
              <w:t> </w:t>
            </w:r>
            <w:r w:rsidRPr="0037241E">
              <w:t xml:space="preserve">073   </w:t>
            </w:r>
          </w:p>
        </w:tc>
        <w:tc>
          <w:tcPr>
            <w:tcW w:w="1276" w:type="dxa"/>
            <w:noWrap/>
            <w:vAlign w:val="bottom"/>
            <w:hideMark/>
          </w:tcPr>
          <w:p w14:paraId="663BC60D" w14:textId="4F07080B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31</w:t>
            </w:r>
            <w:r w:rsidR="00D111DE">
              <w:t> </w:t>
            </w:r>
            <w:r w:rsidRPr="0037241E">
              <w:t xml:space="preserve">715   </w:t>
            </w:r>
          </w:p>
        </w:tc>
      </w:tr>
      <w:tr w:rsidR="003C06B3" w:rsidRPr="00483460" w14:paraId="70E0B37F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64ADF3F6" w14:textId="77777777" w:rsidR="003C06B3" w:rsidRPr="00EA5382" w:rsidRDefault="003C06B3" w:rsidP="003C06B3">
            <w:pPr>
              <w:pStyle w:val="Tabelltext"/>
            </w:pPr>
            <w:r w:rsidRPr="00EA5382">
              <w:t>Saltvik</w:t>
            </w:r>
          </w:p>
        </w:tc>
        <w:tc>
          <w:tcPr>
            <w:tcW w:w="1842" w:type="dxa"/>
            <w:noWrap/>
            <w:vAlign w:val="bottom"/>
            <w:hideMark/>
          </w:tcPr>
          <w:p w14:paraId="0075009C" w14:textId="545E3E29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467</w:t>
            </w:r>
            <w:r w:rsidR="000C1C37">
              <w:t> </w:t>
            </w:r>
            <w:r w:rsidRPr="00E46314">
              <w:t xml:space="preserve">482   </w:t>
            </w:r>
          </w:p>
        </w:tc>
        <w:tc>
          <w:tcPr>
            <w:tcW w:w="1843" w:type="dxa"/>
            <w:noWrap/>
            <w:vAlign w:val="bottom"/>
            <w:hideMark/>
          </w:tcPr>
          <w:p w14:paraId="0CB581FE" w14:textId="09614177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315</w:t>
            </w:r>
            <w:r w:rsidR="00D111DE">
              <w:t> </w:t>
            </w:r>
            <w:r w:rsidRPr="0037241E">
              <w:t xml:space="preserve">866   </w:t>
            </w:r>
          </w:p>
        </w:tc>
        <w:tc>
          <w:tcPr>
            <w:tcW w:w="1276" w:type="dxa"/>
            <w:noWrap/>
            <w:vAlign w:val="bottom"/>
            <w:hideMark/>
          </w:tcPr>
          <w:p w14:paraId="2A48ACA1" w14:textId="63380C9C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151</w:t>
            </w:r>
            <w:r w:rsidR="00D111DE">
              <w:t> </w:t>
            </w:r>
            <w:r w:rsidRPr="0037241E">
              <w:t xml:space="preserve">616   </w:t>
            </w:r>
          </w:p>
        </w:tc>
      </w:tr>
      <w:tr w:rsidR="003C06B3" w:rsidRPr="00483460" w14:paraId="1405F3A2" w14:textId="77777777" w:rsidTr="003C06B3">
        <w:trPr>
          <w:trHeight w:val="330"/>
        </w:trPr>
        <w:tc>
          <w:tcPr>
            <w:tcW w:w="1555" w:type="dxa"/>
            <w:noWrap/>
            <w:vAlign w:val="bottom"/>
            <w:hideMark/>
          </w:tcPr>
          <w:p w14:paraId="7752FE7A" w14:textId="77777777" w:rsidR="003C06B3" w:rsidRPr="00EA5382" w:rsidRDefault="003C06B3" w:rsidP="003C06B3">
            <w:pPr>
              <w:pStyle w:val="Tabelltext"/>
            </w:pPr>
            <w:r w:rsidRPr="00EA5382">
              <w:t>Sottunga</w:t>
            </w:r>
          </w:p>
        </w:tc>
        <w:tc>
          <w:tcPr>
            <w:tcW w:w="1842" w:type="dxa"/>
            <w:noWrap/>
            <w:vAlign w:val="bottom"/>
            <w:hideMark/>
          </w:tcPr>
          <w:p w14:paraId="45F98B87" w14:textId="5BF220E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85</w:t>
            </w:r>
            <w:r w:rsidR="000C1C37">
              <w:t> </w:t>
            </w:r>
            <w:r w:rsidRPr="00E46314">
              <w:t xml:space="preserve">498   </w:t>
            </w:r>
          </w:p>
        </w:tc>
        <w:tc>
          <w:tcPr>
            <w:tcW w:w="1843" w:type="dxa"/>
            <w:noWrap/>
            <w:vAlign w:val="bottom"/>
            <w:hideMark/>
          </w:tcPr>
          <w:p w14:paraId="3DFAB654" w14:textId="354C6809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72</w:t>
            </w:r>
            <w:r w:rsidR="00D111DE">
              <w:t> </w:t>
            </w:r>
            <w:r w:rsidRPr="0037241E">
              <w:t xml:space="preserve">174   </w:t>
            </w:r>
          </w:p>
        </w:tc>
        <w:tc>
          <w:tcPr>
            <w:tcW w:w="1276" w:type="dxa"/>
            <w:noWrap/>
            <w:vAlign w:val="bottom"/>
            <w:hideMark/>
          </w:tcPr>
          <w:p w14:paraId="563195FF" w14:textId="51FBAAE2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13</w:t>
            </w:r>
            <w:r w:rsidR="00D111DE">
              <w:t> </w:t>
            </w:r>
            <w:r w:rsidRPr="0037241E">
              <w:t xml:space="preserve">324   </w:t>
            </w:r>
          </w:p>
        </w:tc>
      </w:tr>
      <w:tr w:rsidR="003C06B3" w:rsidRPr="00483460" w14:paraId="43B52728" w14:textId="77777777" w:rsidTr="003C06B3">
        <w:trPr>
          <w:trHeight w:val="330"/>
        </w:trPr>
        <w:tc>
          <w:tcPr>
            <w:tcW w:w="1555" w:type="dxa"/>
            <w:noWrap/>
            <w:vAlign w:val="bottom"/>
            <w:hideMark/>
          </w:tcPr>
          <w:p w14:paraId="43603BB5" w14:textId="77777777" w:rsidR="003C06B3" w:rsidRPr="00EA5382" w:rsidRDefault="003C06B3" w:rsidP="003C06B3">
            <w:pPr>
              <w:pStyle w:val="Tabelltext"/>
            </w:pPr>
            <w:r w:rsidRPr="00EA5382">
              <w:t>Sund</w:t>
            </w:r>
          </w:p>
        </w:tc>
        <w:tc>
          <w:tcPr>
            <w:tcW w:w="1842" w:type="dxa"/>
            <w:noWrap/>
            <w:vAlign w:val="bottom"/>
            <w:hideMark/>
          </w:tcPr>
          <w:p w14:paraId="5DDF6EE3" w14:textId="175C6E56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221</w:t>
            </w:r>
            <w:r w:rsidR="000C1C37">
              <w:t> </w:t>
            </w:r>
            <w:r w:rsidRPr="00E46314">
              <w:t xml:space="preserve">374   </w:t>
            </w:r>
          </w:p>
        </w:tc>
        <w:tc>
          <w:tcPr>
            <w:tcW w:w="1843" w:type="dxa"/>
            <w:noWrap/>
            <w:vAlign w:val="bottom"/>
            <w:hideMark/>
          </w:tcPr>
          <w:p w14:paraId="2AF8A309" w14:textId="5512AB02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149</w:t>
            </w:r>
            <w:r w:rsidR="00D111DE">
              <w:t> </w:t>
            </w:r>
            <w:r w:rsidRPr="0037241E">
              <w:t xml:space="preserve">577   </w:t>
            </w:r>
          </w:p>
        </w:tc>
        <w:tc>
          <w:tcPr>
            <w:tcW w:w="1276" w:type="dxa"/>
            <w:noWrap/>
            <w:vAlign w:val="bottom"/>
            <w:hideMark/>
          </w:tcPr>
          <w:p w14:paraId="1F93579B" w14:textId="2FB51ACA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71</w:t>
            </w:r>
            <w:r w:rsidR="00D111DE">
              <w:t> </w:t>
            </w:r>
            <w:r w:rsidRPr="0037241E">
              <w:t xml:space="preserve">797   </w:t>
            </w:r>
          </w:p>
        </w:tc>
      </w:tr>
      <w:tr w:rsidR="003C06B3" w:rsidRPr="00483460" w14:paraId="403A524E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17AC06D2" w14:textId="77777777" w:rsidR="003C06B3" w:rsidRPr="00EA5382" w:rsidRDefault="003C06B3" w:rsidP="003C06B3">
            <w:pPr>
              <w:pStyle w:val="Tabelltext"/>
            </w:pPr>
            <w:r w:rsidRPr="00EA5382">
              <w:t>Vårdö</w:t>
            </w:r>
          </w:p>
        </w:tc>
        <w:tc>
          <w:tcPr>
            <w:tcW w:w="1842" w:type="dxa"/>
            <w:noWrap/>
            <w:vAlign w:val="bottom"/>
            <w:hideMark/>
          </w:tcPr>
          <w:p w14:paraId="3D8E5F3C" w14:textId="07598CD2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294</w:t>
            </w:r>
            <w:r w:rsidR="000C1C37">
              <w:t> </w:t>
            </w:r>
            <w:r w:rsidRPr="00E46314">
              <w:t xml:space="preserve">503   </w:t>
            </w:r>
          </w:p>
        </w:tc>
        <w:tc>
          <w:tcPr>
            <w:tcW w:w="1843" w:type="dxa"/>
            <w:noWrap/>
            <w:vAlign w:val="bottom"/>
            <w:hideMark/>
          </w:tcPr>
          <w:p w14:paraId="022EEDC9" w14:textId="665C9510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241</w:t>
            </w:r>
            <w:r w:rsidR="00D111DE">
              <w:t> </w:t>
            </w:r>
            <w:r w:rsidRPr="0037241E">
              <w:t xml:space="preserve">756   </w:t>
            </w:r>
          </w:p>
        </w:tc>
        <w:tc>
          <w:tcPr>
            <w:tcW w:w="1276" w:type="dxa"/>
            <w:noWrap/>
            <w:vAlign w:val="bottom"/>
            <w:hideMark/>
          </w:tcPr>
          <w:p w14:paraId="5D64FB3B" w14:textId="715A0B08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52</w:t>
            </w:r>
            <w:r w:rsidR="00D111DE">
              <w:t> </w:t>
            </w:r>
            <w:r w:rsidRPr="0037241E">
              <w:t xml:space="preserve">747   </w:t>
            </w:r>
          </w:p>
        </w:tc>
      </w:tr>
      <w:tr w:rsidR="003C06B3" w:rsidRPr="00483460" w14:paraId="0FD9BCC6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18744E2F" w14:textId="77777777" w:rsidR="003C06B3" w:rsidRPr="00EA5382" w:rsidRDefault="003C06B3" w:rsidP="003C06B3">
            <w:pPr>
              <w:pStyle w:val="Tabelltext"/>
            </w:pPr>
            <w:r w:rsidRPr="00EA5382">
              <w:t>Mariehamn</w:t>
            </w:r>
          </w:p>
        </w:tc>
        <w:tc>
          <w:tcPr>
            <w:tcW w:w="1842" w:type="dxa"/>
            <w:noWrap/>
            <w:vAlign w:val="bottom"/>
            <w:hideMark/>
          </w:tcPr>
          <w:p w14:paraId="40E81E5E" w14:textId="6962D5DE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E46314">
              <w:t>2</w:t>
            </w:r>
            <w:r w:rsidR="000C1C37">
              <w:t> </w:t>
            </w:r>
            <w:r w:rsidRPr="00E46314">
              <w:t>738</w:t>
            </w:r>
            <w:r w:rsidR="000C1C37">
              <w:t> </w:t>
            </w:r>
            <w:r w:rsidRPr="00E46314">
              <w:t xml:space="preserve">441   </w:t>
            </w:r>
          </w:p>
        </w:tc>
        <w:tc>
          <w:tcPr>
            <w:tcW w:w="1843" w:type="dxa"/>
            <w:noWrap/>
            <w:vAlign w:val="bottom"/>
            <w:hideMark/>
          </w:tcPr>
          <w:p w14:paraId="2773F842" w14:textId="6219E995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1</w:t>
            </w:r>
            <w:r w:rsidR="00D111DE">
              <w:t> </w:t>
            </w:r>
            <w:r w:rsidRPr="0037241E">
              <w:t>850</w:t>
            </w:r>
            <w:r w:rsidR="00D111DE">
              <w:t> </w:t>
            </w:r>
            <w:r w:rsidRPr="0037241E">
              <w:t xml:space="preserve">298   </w:t>
            </w:r>
          </w:p>
        </w:tc>
        <w:tc>
          <w:tcPr>
            <w:tcW w:w="1276" w:type="dxa"/>
            <w:noWrap/>
            <w:vAlign w:val="bottom"/>
            <w:hideMark/>
          </w:tcPr>
          <w:p w14:paraId="2707D4EB" w14:textId="2DCF5C53" w:rsidR="003C06B3" w:rsidRPr="00483460" w:rsidRDefault="003C06B3" w:rsidP="003C06B3">
            <w:pPr>
              <w:pStyle w:val="Tabelltext"/>
              <w:jc w:val="right"/>
              <w:rPr>
                <w:highlight w:val="lightGray"/>
              </w:rPr>
            </w:pPr>
            <w:r w:rsidRPr="0037241E">
              <w:t>888</w:t>
            </w:r>
            <w:r w:rsidR="00D111DE">
              <w:t> </w:t>
            </w:r>
            <w:r w:rsidRPr="0037241E">
              <w:t xml:space="preserve">143   </w:t>
            </w:r>
          </w:p>
        </w:tc>
      </w:tr>
      <w:tr w:rsidR="007D4454" w:rsidRPr="00483460" w14:paraId="7BEE8B41" w14:textId="77777777" w:rsidTr="003C06B3">
        <w:trPr>
          <w:trHeight w:val="315"/>
        </w:trPr>
        <w:tc>
          <w:tcPr>
            <w:tcW w:w="1555" w:type="dxa"/>
            <w:noWrap/>
            <w:vAlign w:val="bottom"/>
            <w:hideMark/>
          </w:tcPr>
          <w:p w14:paraId="2F2BAA82" w14:textId="2504AA37" w:rsidR="007D4454" w:rsidRPr="00EA5382" w:rsidRDefault="007D4454" w:rsidP="00F522D0">
            <w:pPr>
              <w:pStyle w:val="Tabelltext"/>
            </w:pPr>
          </w:p>
        </w:tc>
        <w:tc>
          <w:tcPr>
            <w:tcW w:w="1842" w:type="dxa"/>
            <w:noWrap/>
            <w:vAlign w:val="center"/>
            <w:hideMark/>
          </w:tcPr>
          <w:p w14:paraId="39390801" w14:textId="3F02B6FA" w:rsidR="007D4454" w:rsidRPr="00483460" w:rsidRDefault="007D4454" w:rsidP="001F745A">
            <w:pPr>
              <w:pStyle w:val="Tabelltext"/>
              <w:jc w:val="right"/>
              <w:rPr>
                <w:highlight w:val="lightGray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F151232" w14:textId="2EA9ECC6" w:rsidR="007D4454" w:rsidRPr="00483460" w:rsidRDefault="007D4454" w:rsidP="001F745A">
            <w:pPr>
              <w:pStyle w:val="Tabelltext"/>
              <w:jc w:val="right"/>
              <w:rPr>
                <w:highlight w:val="lightGray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4667FE2D" w14:textId="47ED376E" w:rsidR="007D4454" w:rsidRPr="00483460" w:rsidRDefault="007D4454" w:rsidP="001F745A">
            <w:pPr>
              <w:pStyle w:val="Tabelltext"/>
              <w:jc w:val="right"/>
              <w:rPr>
                <w:highlight w:val="lightGray"/>
              </w:rPr>
            </w:pPr>
          </w:p>
        </w:tc>
      </w:tr>
      <w:tr w:rsidR="003C06B3" w:rsidRPr="00483460" w14:paraId="52B0D62E" w14:textId="77777777" w:rsidTr="003C06B3">
        <w:trPr>
          <w:trHeight w:val="330"/>
        </w:trPr>
        <w:tc>
          <w:tcPr>
            <w:tcW w:w="1555" w:type="dxa"/>
            <w:noWrap/>
            <w:vAlign w:val="bottom"/>
            <w:hideMark/>
          </w:tcPr>
          <w:p w14:paraId="5B4379C0" w14:textId="489008E4" w:rsidR="003C06B3" w:rsidRPr="00EA5382" w:rsidRDefault="003C06B3" w:rsidP="003C06B3">
            <w:pPr>
              <w:pStyle w:val="Tabelltext"/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  <w:tc>
          <w:tcPr>
            <w:tcW w:w="1842" w:type="dxa"/>
            <w:noWrap/>
            <w:vAlign w:val="bottom"/>
            <w:hideMark/>
          </w:tcPr>
          <w:p w14:paraId="46A29C02" w14:textId="0E2DE467" w:rsidR="003C06B3" w:rsidRPr="003C06B3" w:rsidRDefault="003C06B3" w:rsidP="003C06B3">
            <w:pPr>
              <w:pStyle w:val="Tabelltext"/>
              <w:jc w:val="right"/>
              <w:rPr>
                <w:b/>
                <w:bCs/>
                <w:highlight w:val="lightGray"/>
              </w:rPr>
            </w:pPr>
            <w:r w:rsidRPr="003C06B3">
              <w:rPr>
                <w:b/>
                <w:bCs/>
              </w:rPr>
              <w:t>7</w:t>
            </w:r>
            <w:r w:rsidR="000C1C37">
              <w:rPr>
                <w:b/>
                <w:bCs/>
              </w:rPr>
              <w:t> </w:t>
            </w:r>
            <w:r w:rsidRPr="003C06B3">
              <w:rPr>
                <w:b/>
                <w:bCs/>
              </w:rPr>
              <w:t>167</w:t>
            </w:r>
            <w:r w:rsidR="000C1C37">
              <w:rPr>
                <w:b/>
                <w:bCs/>
              </w:rPr>
              <w:t> </w:t>
            </w:r>
            <w:r w:rsidRPr="003C06B3">
              <w:rPr>
                <w:b/>
                <w:bCs/>
              </w:rPr>
              <w:t xml:space="preserve">961   </w:t>
            </w:r>
          </w:p>
        </w:tc>
        <w:tc>
          <w:tcPr>
            <w:tcW w:w="1843" w:type="dxa"/>
            <w:noWrap/>
            <w:vAlign w:val="bottom"/>
            <w:hideMark/>
          </w:tcPr>
          <w:p w14:paraId="4812A59C" w14:textId="6F627962" w:rsidR="003C06B3" w:rsidRPr="003C06B3" w:rsidRDefault="003C06B3" w:rsidP="003C06B3">
            <w:pPr>
              <w:pStyle w:val="Tabelltext"/>
              <w:jc w:val="right"/>
              <w:rPr>
                <w:b/>
                <w:bCs/>
                <w:highlight w:val="lightGray"/>
              </w:rPr>
            </w:pPr>
            <w:r w:rsidRPr="003C06B3">
              <w:rPr>
                <w:b/>
                <w:bCs/>
              </w:rPr>
              <w:t>5</w:t>
            </w:r>
            <w:r w:rsidR="00D111DE">
              <w:rPr>
                <w:b/>
                <w:bCs/>
              </w:rPr>
              <w:t> </w:t>
            </w:r>
            <w:r w:rsidRPr="003C06B3">
              <w:rPr>
                <w:b/>
                <w:bCs/>
              </w:rPr>
              <w:t>079</w:t>
            </w:r>
            <w:r w:rsidR="00D111DE">
              <w:rPr>
                <w:b/>
                <w:bCs/>
              </w:rPr>
              <w:t> </w:t>
            </w:r>
            <w:r w:rsidRPr="003C06B3">
              <w:rPr>
                <w:b/>
                <w:bCs/>
              </w:rPr>
              <w:t xml:space="preserve">314   </w:t>
            </w:r>
          </w:p>
        </w:tc>
        <w:tc>
          <w:tcPr>
            <w:tcW w:w="1276" w:type="dxa"/>
            <w:noWrap/>
            <w:vAlign w:val="bottom"/>
            <w:hideMark/>
          </w:tcPr>
          <w:p w14:paraId="0E681EA0" w14:textId="1BD5FCC7" w:rsidR="003C06B3" w:rsidRPr="003C06B3" w:rsidRDefault="003C06B3" w:rsidP="003C06B3">
            <w:pPr>
              <w:pStyle w:val="Tabelltext"/>
              <w:jc w:val="right"/>
              <w:rPr>
                <w:b/>
                <w:bCs/>
                <w:highlight w:val="lightGray"/>
              </w:rPr>
            </w:pPr>
            <w:r w:rsidRPr="003C06B3">
              <w:rPr>
                <w:b/>
                <w:bCs/>
              </w:rPr>
              <w:t>2</w:t>
            </w:r>
            <w:r w:rsidR="00D111DE">
              <w:rPr>
                <w:b/>
                <w:bCs/>
              </w:rPr>
              <w:t> </w:t>
            </w:r>
            <w:r w:rsidRPr="003C06B3">
              <w:rPr>
                <w:b/>
                <w:bCs/>
              </w:rPr>
              <w:t>088</w:t>
            </w:r>
            <w:r w:rsidR="00D111DE">
              <w:rPr>
                <w:b/>
                <w:bCs/>
              </w:rPr>
              <w:t> </w:t>
            </w:r>
            <w:r w:rsidRPr="003C06B3">
              <w:rPr>
                <w:b/>
                <w:bCs/>
              </w:rPr>
              <w:t xml:space="preserve">646   </w:t>
            </w:r>
          </w:p>
        </w:tc>
      </w:tr>
      <w:bookmarkEnd w:id="6"/>
      <w:bookmarkEnd w:id="7"/>
    </w:tbl>
    <w:p w14:paraId="05AF095D" w14:textId="2706E351" w:rsidR="002D6423" w:rsidRDefault="002D6423" w:rsidP="00125719">
      <w:pPr>
        <w:pStyle w:val="ANormal"/>
        <w:jc w:val="center"/>
      </w:pPr>
    </w:p>
    <w:p w14:paraId="28AA3E8A" w14:textId="38297ACC" w:rsidR="002D6423" w:rsidRDefault="00F522D0" w:rsidP="00215446">
      <w:pPr>
        <w:pStyle w:val="ANormal"/>
      </w:pPr>
      <w:r>
        <w:tab/>
      </w:r>
      <w:r w:rsidRPr="00483460">
        <w:t xml:space="preserve">Förutom att landskapets kostnader ökar med </w:t>
      </w:r>
      <w:r w:rsidR="004E39C4">
        <w:t xml:space="preserve">drygt </w:t>
      </w:r>
      <w:r w:rsidRPr="00483460">
        <w:t>2 miljoner</w:t>
      </w:r>
      <w:r w:rsidR="00483460" w:rsidRPr="00483460">
        <w:t xml:space="preserve"> euro</w:t>
      </w:r>
      <w:r w:rsidRPr="00483460">
        <w:t>, innebär förslaget ett visst administrativt merarbete för landskapsregeringen genom att beslute</w:t>
      </w:r>
      <w:r w:rsidR="004E39C4">
        <w:t>t</w:t>
      </w:r>
      <w:r w:rsidRPr="00483460">
        <w:t xml:space="preserve"> om de</w:t>
      </w:r>
      <w:r w:rsidR="00FD4969">
        <w:t>n</w:t>
      </w:r>
      <w:r w:rsidRPr="00483460">
        <w:t xml:space="preserve"> aktuella landskapsandel</w:t>
      </w:r>
      <w:r w:rsidR="00FD4969">
        <w:t>en</w:t>
      </w:r>
      <w:r w:rsidRPr="00483460">
        <w:t xml:space="preserve"> för 202</w:t>
      </w:r>
      <w:r w:rsidR="00483460" w:rsidRPr="00483460">
        <w:t>2</w:t>
      </w:r>
      <w:r w:rsidRPr="00483460">
        <w:t xml:space="preserve"> måste fattas på nytt. Effekten bedöms dock vara marginell. Andra konsekvenser av förslaget är </w:t>
      </w:r>
      <w:r w:rsidR="00EA3D1F" w:rsidRPr="00483460">
        <w:t xml:space="preserve">mycket </w:t>
      </w:r>
      <w:r w:rsidRPr="00483460">
        <w:t>svårbedömda eftersom de helt och hållet är beroende av hur kommunerna fördelar resurserna inom sina verksamhetsområden.</w:t>
      </w:r>
    </w:p>
    <w:p w14:paraId="57D79A2C" w14:textId="77777777" w:rsidR="0047289C" w:rsidRDefault="0047289C" w:rsidP="00215446">
      <w:pPr>
        <w:pStyle w:val="ANormal"/>
      </w:pPr>
    </w:p>
    <w:p w14:paraId="1EF3BA58" w14:textId="3DEAD213" w:rsidR="00215446" w:rsidRDefault="00215446" w:rsidP="00215446">
      <w:pPr>
        <w:pStyle w:val="RubrikB"/>
      </w:pPr>
      <w:bookmarkStart w:id="8" w:name="_Toc113535838"/>
      <w:r>
        <w:t>4. Beredning och ikraftträdande</w:t>
      </w:r>
      <w:bookmarkEnd w:id="8"/>
    </w:p>
    <w:p w14:paraId="7489F95E" w14:textId="6C307C83" w:rsidR="00215446" w:rsidRDefault="00215446" w:rsidP="00215446">
      <w:pPr>
        <w:pStyle w:val="Rubrikmellanrum"/>
      </w:pPr>
    </w:p>
    <w:p w14:paraId="392D0F68" w14:textId="06B3052B" w:rsidR="003747C3" w:rsidRDefault="003747C3" w:rsidP="003747C3">
      <w:pPr>
        <w:pStyle w:val="ANormal"/>
      </w:pPr>
      <w:r>
        <w:t xml:space="preserve">Lagförslaget har beretts vid lagberedningen, medan de beräkningar som ligger till grund för </w:t>
      </w:r>
      <w:r w:rsidR="00E72CC3">
        <w:t>förslag</w:t>
      </w:r>
      <w:r>
        <w:t xml:space="preserve">et har utförts vid finansavdelningen. </w:t>
      </w:r>
      <w:r w:rsidR="00FB70E8">
        <w:t>Förslaget har beretts i brådskande ordning och har av den anledningen</w:t>
      </w:r>
      <w:r>
        <w:t xml:space="preserve"> inte skickats på någon remiss.</w:t>
      </w:r>
    </w:p>
    <w:p w14:paraId="0CE5F06C" w14:textId="3FF96BF2" w:rsidR="003747C3" w:rsidRDefault="003747C3" w:rsidP="003747C3">
      <w:pPr>
        <w:pStyle w:val="ANormal"/>
      </w:pPr>
      <w:r>
        <w:tab/>
        <w:t xml:space="preserve">När lagen träder i kraft upphävs landskapsregeringens beslut om </w:t>
      </w:r>
      <w:r w:rsidR="00D668C9">
        <w:t xml:space="preserve">antagande </w:t>
      </w:r>
      <w:r>
        <w:t xml:space="preserve">av </w:t>
      </w:r>
      <w:r w:rsidR="00D668C9">
        <w:t xml:space="preserve">socialvårdsplanen för 2022 till den del det gäller fastställande av </w:t>
      </w:r>
      <w:r>
        <w:lastRenderedPageBreak/>
        <w:t>de</w:t>
      </w:r>
      <w:r w:rsidR="00ED0F04">
        <w:t>n</w:t>
      </w:r>
      <w:r>
        <w:t xml:space="preserve"> kostnadsbaserade landskapsandel</w:t>
      </w:r>
      <w:r w:rsidR="00ED0F04">
        <w:t>en</w:t>
      </w:r>
      <w:r>
        <w:t xml:space="preserve"> för äldreomsorgen. </w:t>
      </w:r>
      <w:r w:rsidR="00ED0F04">
        <w:t>Ett nytt</w:t>
      </w:r>
      <w:r>
        <w:t xml:space="preserve"> beslut ska fattas så snart som möjligt efter ikraftträdandet </w:t>
      </w:r>
      <w:r w:rsidR="00EE14F0">
        <w:t>där</w:t>
      </w:r>
      <w:r>
        <w:t xml:space="preserve"> </w:t>
      </w:r>
      <w:r w:rsidR="00ED0F04">
        <w:t>belopp</w:t>
      </w:r>
      <w:r w:rsidR="00EE14F0">
        <w:t>et för de enskilda kommunernas landskapsandel för äldreomsorgen</w:t>
      </w:r>
      <w:r w:rsidR="00ED0F04">
        <w:t xml:space="preserve"> </w:t>
      </w:r>
      <w:r>
        <w:t>justeras.</w:t>
      </w:r>
    </w:p>
    <w:p w14:paraId="1DE2233A" w14:textId="4C4D6A51" w:rsidR="00ED0F04" w:rsidRDefault="00ED0F04" w:rsidP="00ED0F04">
      <w:pPr>
        <w:pStyle w:val="ANormal"/>
      </w:pPr>
      <w:r>
        <w:tab/>
        <w:t xml:space="preserve">Förslaget sammanhänger med landskapsregeringens förslag till tredje tilläggsbudget för 2022 och är avsett att behandlas tillsammans med det (se anslag </w:t>
      </w:r>
      <w:r w:rsidR="00A00E52" w:rsidRPr="00A00E52">
        <w:t>415</w:t>
      </w:r>
      <w:r w:rsidRPr="00A00E52">
        <w:t>00</w:t>
      </w:r>
      <w:r>
        <w:t xml:space="preserve"> i budgetförslaget). Det är angeläget att kommunerna får ta del av den höjda landskapsandelen under innevarande finansår. </w:t>
      </w:r>
      <w:r w:rsidR="0047289C">
        <w:t>Det är därför viktigt att den föreslagna lagen träder i kraft så snart som möjligt, så att landskapsandelen för äldreomsorgen för 2022 kan fastställas enligt de ändrade bestämmelserna och betalas ut till kommunerna</w:t>
      </w:r>
      <w:r w:rsidR="009F19CB">
        <w:t xml:space="preserve"> under innevarande år</w:t>
      </w:r>
      <w:r w:rsidR="0047289C">
        <w:t xml:space="preserve">. </w:t>
      </w:r>
      <w:r>
        <w:t>Mot bakgrund av detta anser landskapsregeringen att den lag som ingår i lagförslaget uppfyller de villkor som ställs i 20</w:t>
      </w:r>
      <w:r w:rsidR="003A5E4C">
        <w:t> §</w:t>
      </w:r>
      <w:r>
        <w:t xml:space="preserve"> 3</w:t>
      </w:r>
      <w:r w:rsidR="003A5E4C">
        <w:t> mom.</w:t>
      </w:r>
      <w:r>
        <w:t xml:space="preserve"> självstyrelselagen och att de</w:t>
      </w:r>
      <w:r w:rsidR="0047289C">
        <w:t>n</w:t>
      </w:r>
      <w:r>
        <w:t xml:space="preserve"> därför bör behandlas enligt dessa undantagsbestämmelser.</w:t>
      </w:r>
    </w:p>
    <w:p w14:paraId="1B25A70D" w14:textId="3D7D2787" w:rsidR="00215446" w:rsidRDefault="00215446" w:rsidP="002D6423">
      <w:pPr>
        <w:pStyle w:val="ANormal"/>
      </w:pPr>
    </w:p>
    <w:p w14:paraId="1B2208AF" w14:textId="54E4BE69" w:rsidR="00AF3004" w:rsidRDefault="00AF3004" w:rsidP="008E48F5">
      <w:pPr>
        <w:pStyle w:val="RubrikA"/>
      </w:pPr>
      <w:r>
        <w:br w:type="page"/>
      </w:r>
      <w:bookmarkStart w:id="9" w:name="_Toc113535839"/>
      <w:r>
        <w:lastRenderedPageBreak/>
        <w:t>Lagtext</w:t>
      </w:r>
      <w:bookmarkEnd w:id="9"/>
    </w:p>
    <w:p w14:paraId="03B3EAC8" w14:textId="77777777" w:rsidR="00AF3004" w:rsidRDefault="00AF3004">
      <w:pPr>
        <w:pStyle w:val="Rubrikmellanrum"/>
      </w:pPr>
    </w:p>
    <w:p w14:paraId="2842BFE4" w14:textId="77777777" w:rsidR="00AF3004" w:rsidRDefault="00AF3004">
      <w:pPr>
        <w:pStyle w:val="ANormal"/>
      </w:pPr>
      <w:r>
        <w:t>Landskapsregeringen föreslår att följande lag antas.</w:t>
      </w:r>
    </w:p>
    <w:p w14:paraId="23C86160" w14:textId="77777777" w:rsidR="00AF3004" w:rsidRDefault="00AF3004">
      <w:pPr>
        <w:pStyle w:val="ANormal"/>
      </w:pPr>
    </w:p>
    <w:p w14:paraId="16C3A829" w14:textId="2DFA365F" w:rsidR="001F3EC5" w:rsidRDefault="00AF3004" w:rsidP="001F3EC5">
      <w:pPr>
        <w:pStyle w:val="LagHuvRubr"/>
        <w:rPr>
          <w:lang w:val="en-GB"/>
        </w:rPr>
      </w:pPr>
      <w:bookmarkStart w:id="10" w:name="_Toc113535840"/>
      <w:r>
        <w:rPr>
          <w:lang w:val="en-GB"/>
        </w:rPr>
        <w:t>L A N D S K A P S L A G</w:t>
      </w:r>
      <w:r>
        <w:rPr>
          <w:lang w:val="en-GB"/>
        </w:rPr>
        <w:br/>
      </w:r>
      <w:r w:rsidR="001F3EC5" w:rsidRPr="00B52817">
        <w:t xml:space="preserve">om </w:t>
      </w:r>
      <w:bookmarkStart w:id="11" w:name="_Hlk38373109"/>
      <w:r w:rsidR="00156270" w:rsidRPr="00B52817">
        <w:t xml:space="preserve">ändring och </w:t>
      </w:r>
      <w:r w:rsidR="001F3EC5" w:rsidRPr="00B52817">
        <w:t xml:space="preserve">temporär ändring av </w:t>
      </w:r>
      <w:r w:rsidR="00A7154E" w:rsidRPr="00B52817">
        <w:t>5</w:t>
      </w:r>
      <w:r w:rsidR="003A5E4C" w:rsidRPr="00B52817">
        <w:t> §</w:t>
      </w:r>
      <w:r w:rsidR="00A7154E" w:rsidRPr="00B52817">
        <w:t xml:space="preserve"> </w:t>
      </w:r>
      <w:r w:rsidR="001F3EC5" w:rsidRPr="00B52817">
        <w:t>landskapslagen om landskapsandelar till kommunerna</w:t>
      </w:r>
      <w:bookmarkEnd w:id="10"/>
    </w:p>
    <w:p w14:paraId="6B16FA85" w14:textId="77777777" w:rsidR="001F3EC5" w:rsidRDefault="001F3EC5" w:rsidP="001F3EC5">
      <w:pPr>
        <w:pStyle w:val="ANormal"/>
        <w:rPr>
          <w:lang w:val="en-GB"/>
        </w:rPr>
      </w:pPr>
    </w:p>
    <w:p w14:paraId="2E430C2B" w14:textId="5A753939" w:rsidR="001F3EC5" w:rsidRDefault="001F3EC5" w:rsidP="001F3EC5">
      <w:pPr>
        <w:pStyle w:val="ANormal"/>
      </w:pPr>
      <w:bookmarkStart w:id="12" w:name="_Hlk102120258"/>
      <w:r>
        <w:tab/>
        <w:t xml:space="preserve">I enlighet med lagtingets beslut </w:t>
      </w:r>
      <w:r w:rsidRPr="00AF0167">
        <w:rPr>
          <w:b/>
          <w:bCs/>
        </w:rPr>
        <w:t>ändras</w:t>
      </w:r>
      <w:r>
        <w:t xml:space="preserve"> </w:t>
      </w:r>
      <w:r w:rsidR="00F92961">
        <w:t>5</w:t>
      </w:r>
      <w:r w:rsidR="003A5E4C">
        <w:t> §</w:t>
      </w:r>
      <w:r w:rsidR="00F92961">
        <w:t xml:space="preserve"> 2</w:t>
      </w:r>
      <w:r w:rsidR="003A5E4C">
        <w:t> mom.</w:t>
      </w:r>
      <w:r w:rsidR="00F92961">
        <w:t xml:space="preserve"> samt </w:t>
      </w:r>
      <w:r>
        <w:t>temporärt 5</w:t>
      </w:r>
      <w:r w:rsidR="003A5E4C">
        <w:t> §</w:t>
      </w:r>
      <w:r>
        <w:t xml:space="preserve"> 1</w:t>
      </w:r>
      <w:r w:rsidR="003A5E4C">
        <w:t> mom.</w:t>
      </w:r>
      <w:r>
        <w:t xml:space="preserve"> landskapslagen (2017:120) om landskapsandelar till kommunerna</w:t>
      </w:r>
      <w:r w:rsidR="000E3740">
        <w:t xml:space="preserve">, </w:t>
      </w:r>
      <w:r w:rsidR="00156270">
        <w:t>av dessa 5</w:t>
      </w:r>
      <w:r w:rsidR="003A5E4C">
        <w:t> §</w:t>
      </w:r>
      <w:r w:rsidR="00156270">
        <w:t xml:space="preserve"> 1</w:t>
      </w:r>
      <w:r w:rsidR="003A5E4C">
        <w:t> mom.</w:t>
      </w:r>
      <w:r w:rsidR="00156270">
        <w:t xml:space="preserve"> </w:t>
      </w:r>
      <w:r w:rsidR="000E3740">
        <w:t>sådan</w:t>
      </w:r>
      <w:r w:rsidR="00A7154E">
        <w:t>t</w:t>
      </w:r>
      <w:r w:rsidR="000E3740">
        <w:t xml:space="preserve"> de</w:t>
      </w:r>
      <w:r w:rsidR="002E3EA5">
        <w:t>t</w:t>
      </w:r>
      <w:r w:rsidR="000E3740">
        <w:t xml:space="preserve"> lyder i landskapslagen 2020/129,</w:t>
      </w:r>
      <w:r>
        <w:t xml:space="preserve"> som följer:</w:t>
      </w:r>
    </w:p>
    <w:bookmarkEnd w:id="11"/>
    <w:bookmarkEnd w:id="12"/>
    <w:p w14:paraId="5D369ACC" w14:textId="77777777" w:rsidR="001F3EC5" w:rsidRDefault="001F3EC5" w:rsidP="001F3EC5">
      <w:pPr>
        <w:pStyle w:val="ANormal"/>
      </w:pPr>
    </w:p>
    <w:p w14:paraId="273BFC8F" w14:textId="6A19680F" w:rsidR="00BD7C48" w:rsidRPr="00196241" w:rsidRDefault="00BD7C48" w:rsidP="00BD7C48">
      <w:pPr>
        <w:pStyle w:val="LagParagraf"/>
      </w:pPr>
      <w:r w:rsidRPr="00196241">
        <w:t>5</w:t>
      </w:r>
      <w:r w:rsidR="003A5E4C">
        <w:t> §</w:t>
      </w:r>
    </w:p>
    <w:p w14:paraId="4354AE8D" w14:textId="77777777" w:rsidR="00BD7C48" w:rsidRPr="00196241" w:rsidRDefault="00BD7C48" w:rsidP="00BD7C48">
      <w:pPr>
        <w:pStyle w:val="LagPararubrik"/>
      </w:pPr>
      <w:r w:rsidRPr="00196241">
        <w:t xml:space="preserve">Landskapsandel för </w:t>
      </w:r>
      <w:r>
        <w:t>äldreomsorgen</w:t>
      </w:r>
    </w:p>
    <w:p w14:paraId="22B91E55" w14:textId="15C9C595" w:rsidR="00BD7C48" w:rsidRPr="00196241" w:rsidRDefault="00BD7C48" w:rsidP="00BD7C48">
      <w:pPr>
        <w:pStyle w:val="ANormal"/>
      </w:pPr>
      <w:r w:rsidRPr="00196241">
        <w:tab/>
        <w:t xml:space="preserve">Landskapsandelen för </w:t>
      </w:r>
      <w:r w:rsidRPr="00725691">
        <w:t>äldreomsorgen</w:t>
      </w:r>
      <w:r w:rsidRPr="00196241">
        <w:t xml:space="preserve"> är </w:t>
      </w:r>
      <w:r w:rsidR="00A7154E" w:rsidRPr="007D0288">
        <w:t>18,5</w:t>
      </w:r>
      <w:r w:rsidRPr="007D0288">
        <w:t xml:space="preserve"> </w:t>
      </w:r>
      <w:r w:rsidRPr="00196241">
        <w:t xml:space="preserve">procent av normkostnaden för </w:t>
      </w:r>
      <w:r>
        <w:t>äldreomsorgen</w:t>
      </w:r>
      <w:r w:rsidRPr="00196241">
        <w:t>.</w:t>
      </w:r>
    </w:p>
    <w:p w14:paraId="0AD65667" w14:textId="07D68639" w:rsidR="00BD7C48" w:rsidRPr="003C47FC" w:rsidRDefault="00F92961" w:rsidP="00BD7C48">
      <w:pPr>
        <w:pStyle w:val="ANormal"/>
      </w:pPr>
      <w:r>
        <w:tab/>
      </w:r>
      <w:r w:rsidRPr="00F92961">
        <w:t>I tillägg till den landskapsandel som avses i 1</w:t>
      </w:r>
      <w:r w:rsidR="003A5E4C">
        <w:t> mom.</w:t>
      </w:r>
      <w:r w:rsidRPr="00F92961">
        <w:t xml:space="preserve"> får en skärgårdskommun ytterligare 15 procent av normkostnaden för </w:t>
      </w:r>
      <w:r w:rsidR="00E86268">
        <w:t>äldreomsorgen</w:t>
      </w:r>
      <w:r w:rsidRPr="00F92961">
        <w:t>. En kommun i ytterskärgården får därutöver ett tillägg motsvarande 5 procent av normkostnaden.</w:t>
      </w:r>
    </w:p>
    <w:p w14:paraId="0A9D1C87" w14:textId="77777777" w:rsidR="003B6868" w:rsidRDefault="00B42DD2" w:rsidP="003B6868">
      <w:pPr>
        <w:pStyle w:val="ANormal"/>
        <w:jc w:val="center"/>
      </w:pPr>
      <w:hyperlink w:anchor="_top" w:tooltip="Klicka för att gå till toppen av dokumentet" w:history="1">
        <w:r w:rsidR="003B6868">
          <w:rPr>
            <w:rStyle w:val="Hyperlnk"/>
          </w:rPr>
          <w:t>__________________</w:t>
        </w:r>
      </w:hyperlink>
    </w:p>
    <w:p w14:paraId="7994AB32" w14:textId="21CDB734" w:rsidR="00BD7C48" w:rsidRDefault="00BD7C48" w:rsidP="00BD7C48">
      <w:pPr>
        <w:pStyle w:val="ANormal"/>
      </w:pPr>
    </w:p>
    <w:p w14:paraId="158C203C" w14:textId="1C930AC8" w:rsidR="006064D4" w:rsidRDefault="006064D4" w:rsidP="006064D4">
      <w:pPr>
        <w:pStyle w:val="ANormal"/>
      </w:pPr>
      <w:r>
        <w:tab/>
        <w:t>Lagtinget bemyndigar landskapsregeringen att bestämma att denna lag helt eller delvis ska träda i kraft i den ordning som föreskrivs i 20</w:t>
      </w:r>
      <w:r w:rsidR="003A5E4C">
        <w:t> §</w:t>
      </w:r>
      <w:r>
        <w:t xml:space="preserve"> 3</w:t>
      </w:r>
      <w:r w:rsidR="003A5E4C">
        <w:t> mom.</w:t>
      </w:r>
      <w:r>
        <w:t xml:space="preserve"> självstyrelselagen (1991:71) för Åland.</w:t>
      </w:r>
    </w:p>
    <w:p w14:paraId="5EBCD924" w14:textId="4528666B" w:rsidR="00C20F04" w:rsidRDefault="000E3740" w:rsidP="000E3740">
      <w:pPr>
        <w:pStyle w:val="ANormal"/>
      </w:pPr>
      <w:r>
        <w:tab/>
        <w:t>Denna lag träder i kraft den …</w:t>
      </w:r>
      <w:r w:rsidR="00D7512F">
        <w:t>.</w:t>
      </w:r>
      <w:r>
        <w:t xml:space="preserve"> </w:t>
      </w:r>
      <w:r w:rsidR="00D7512F">
        <w:t xml:space="preserve">Lagens </w:t>
      </w:r>
      <w:bookmarkStart w:id="13" w:name="_Hlk102054734"/>
      <w:r w:rsidR="00D7512F">
        <w:t>5</w:t>
      </w:r>
      <w:r w:rsidR="003A5E4C">
        <w:t> §</w:t>
      </w:r>
      <w:r w:rsidR="00F92961">
        <w:t xml:space="preserve"> 1</w:t>
      </w:r>
      <w:r w:rsidR="003A5E4C">
        <w:t> mom.</w:t>
      </w:r>
      <w:r w:rsidR="00D7512F">
        <w:t xml:space="preserve"> </w:t>
      </w:r>
      <w:bookmarkEnd w:id="13"/>
      <w:r w:rsidR="00C20F04">
        <w:t>gäller till och med den 31 december 202</w:t>
      </w:r>
      <w:r w:rsidR="00F92961">
        <w:t>2</w:t>
      </w:r>
      <w:r w:rsidR="00C20F04">
        <w:t>.</w:t>
      </w:r>
    </w:p>
    <w:p w14:paraId="22376491" w14:textId="41DE3CDC" w:rsidR="000E3740" w:rsidRDefault="00C20F04" w:rsidP="000E3740">
      <w:pPr>
        <w:pStyle w:val="ANormal"/>
      </w:pPr>
      <w:r>
        <w:tab/>
        <w:t>Lagen</w:t>
      </w:r>
      <w:r w:rsidR="00D7512F">
        <w:t xml:space="preserve">s </w:t>
      </w:r>
      <w:r w:rsidR="00F92961">
        <w:t>5</w:t>
      </w:r>
      <w:r w:rsidR="003A5E4C">
        <w:t> §</w:t>
      </w:r>
      <w:r w:rsidR="00F92961">
        <w:t xml:space="preserve"> 1</w:t>
      </w:r>
      <w:r w:rsidR="003A5E4C">
        <w:t> mom.</w:t>
      </w:r>
      <w:r w:rsidR="00F92961">
        <w:t xml:space="preserve"> </w:t>
      </w:r>
      <w:r w:rsidR="000E3740">
        <w:t>tillämpas på de</w:t>
      </w:r>
      <w:r w:rsidR="00A7154E">
        <w:t>n</w:t>
      </w:r>
      <w:r w:rsidR="000E3740">
        <w:t xml:space="preserve"> kostnadsbaserade landskapsandel</w:t>
      </w:r>
      <w:r w:rsidR="00A7154E">
        <w:t>en</w:t>
      </w:r>
      <w:r w:rsidR="000E3740">
        <w:t xml:space="preserve"> för </w:t>
      </w:r>
      <w:r w:rsidR="00B54049">
        <w:t xml:space="preserve">äldreomsorgen </w:t>
      </w:r>
      <w:r w:rsidR="00F6228C">
        <w:t xml:space="preserve">för </w:t>
      </w:r>
      <w:r w:rsidR="000E3740">
        <w:t>finansåret 202</w:t>
      </w:r>
      <w:r w:rsidR="00F92961">
        <w:t>2</w:t>
      </w:r>
      <w:r w:rsidR="000E3740">
        <w:t>. Genom denna lag upphävs landskaps</w:t>
      </w:r>
      <w:r w:rsidR="00926DCD">
        <w:softHyphen/>
      </w:r>
      <w:r w:rsidR="000E3740">
        <w:t xml:space="preserve">regeringens beslut </w:t>
      </w:r>
      <w:r w:rsidR="00767CEE">
        <w:t>om</w:t>
      </w:r>
      <w:r w:rsidR="000E3740">
        <w:t xml:space="preserve"> fastställande av </w:t>
      </w:r>
      <w:r w:rsidR="00B54049">
        <w:t>de</w:t>
      </w:r>
      <w:r w:rsidR="00A7154E">
        <w:t>n</w:t>
      </w:r>
      <w:r w:rsidR="0076656B">
        <w:t xml:space="preserve"> nämnda</w:t>
      </w:r>
      <w:r w:rsidR="00B54049">
        <w:t xml:space="preserve"> </w:t>
      </w:r>
      <w:r w:rsidR="000E3740">
        <w:t>landskapsandel</w:t>
      </w:r>
      <w:r w:rsidR="00A7154E">
        <w:t>en</w:t>
      </w:r>
      <w:r w:rsidR="00767CEE">
        <w:t xml:space="preserve"> för 202</w:t>
      </w:r>
      <w:r w:rsidR="00F92961">
        <w:t>2</w:t>
      </w:r>
      <w:r w:rsidR="0076656B">
        <w:t>.</w:t>
      </w:r>
      <w:r w:rsidR="000E3740">
        <w:t xml:space="preserve"> Landskapsregeringen fastställer landskapsandel</w:t>
      </w:r>
      <w:r w:rsidR="006064D4">
        <w:t>en</w:t>
      </w:r>
      <w:r w:rsidR="000E3740">
        <w:t xml:space="preserve"> </w:t>
      </w:r>
      <w:r w:rsidR="00D7512F">
        <w:t>för 202</w:t>
      </w:r>
      <w:r w:rsidR="00F92961">
        <w:t>2</w:t>
      </w:r>
      <w:r w:rsidR="00D7512F">
        <w:t xml:space="preserve"> </w:t>
      </w:r>
      <w:r w:rsidR="000E3740">
        <w:t>enligt denna lag så fort som möjligt efter att den har trätt i kraft.</w:t>
      </w:r>
    </w:p>
    <w:p w14:paraId="52910585" w14:textId="77777777" w:rsidR="003B6868" w:rsidRDefault="003B6868" w:rsidP="000E3740">
      <w:pPr>
        <w:pStyle w:val="ANormal"/>
      </w:pPr>
    </w:p>
    <w:p w14:paraId="3BAAEAD7" w14:textId="77777777" w:rsidR="00AF3004" w:rsidRDefault="00B42DD2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14:paraId="27001FC9" w14:textId="77777777" w:rsidR="00AF3004" w:rsidRDefault="00AF3004">
      <w:pPr>
        <w:pStyle w:val="ANormal"/>
      </w:pPr>
    </w:p>
    <w:p w14:paraId="4AD02827" w14:textId="77777777"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14:paraId="7A522F5C" w14:textId="77777777">
        <w:trPr>
          <w:cantSplit/>
        </w:trPr>
        <w:tc>
          <w:tcPr>
            <w:tcW w:w="7931" w:type="dxa"/>
            <w:gridSpan w:val="2"/>
          </w:tcPr>
          <w:p w14:paraId="2EA13A9C" w14:textId="0CF3F29E"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322119">
              <w:t>den 8 september 2022</w:t>
            </w:r>
          </w:p>
        </w:tc>
      </w:tr>
      <w:tr w:rsidR="00AF3004" w14:paraId="3E6160F9" w14:textId="77777777">
        <w:tc>
          <w:tcPr>
            <w:tcW w:w="4454" w:type="dxa"/>
            <w:vAlign w:val="bottom"/>
          </w:tcPr>
          <w:p w14:paraId="3DEFE192" w14:textId="77777777" w:rsidR="00AF3004" w:rsidRDefault="00AF3004">
            <w:pPr>
              <w:pStyle w:val="ANormal"/>
              <w:keepNext/>
            </w:pPr>
          </w:p>
          <w:p w14:paraId="36AD6F56" w14:textId="77777777" w:rsidR="00AF3004" w:rsidRDefault="00AF3004">
            <w:pPr>
              <w:pStyle w:val="ANormal"/>
              <w:keepNext/>
            </w:pPr>
          </w:p>
          <w:p w14:paraId="36951327" w14:textId="77777777"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100CA200" w14:textId="77777777" w:rsidR="00AF3004" w:rsidRDefault="00AF3004">
            <w:pPr>
              <w:pStyle w:val="ANormal"/>
              <w:keepNext/>
            </w:pPr>
          </w:p>
          <w:p w14:paraId="4FAFA3E1" w14:textId="77777777" w:rsidR="00AF3004" w:rsidRDefault="00AF3004">
            <w:pPr>
              <w:pStyle w:val="ANormal"/>
              <w:keepNext/>
            </w:pPr>
          </w:p>
          <w:p w14:paraId="202ECC53" w14:textId="40063DFD" w:rsidR="00AF3004" w:rsidRDefault="003B6868">
            <w:pPr>
              <w:pStyle w:val="ANormal"/>
              <w:keepNext/>
            </w:pPr>
            <w:r>
              <w:t>Veronica Thörnroos</w:t>
            </w:r>
          </w:p>
        </w:tc>
      </w:tr>
      <w:tr w:rsidR="00AF3004" w14:paraId="0E4CAB66" w14:textId="77777777">
        <w:tc>
          <w:tcPr>
            <w:tcW w:w="4454" w:type="dxa"/>
            <w:vAlign w:val="bottom"/>
          </w:tcPr>
          <w:p w14:paraId="38D1FB9C" w14:textId="77777777" w:rsidR="00AF3004" w:rsidRDefault="00AF3004">
            <w:pPr>
              <w:pStyle w:val="ANormal"/>
              <w:keepNext/>
            </w:pPr>
          </w:p>
          <w:p w14:paraId="6AAE70A0" w14:textId="77777777" w:rsidR="00AF3004" w:rsidRDefault="00AF3004">
            <w:pPr>
              <w:pStyle w:val="ANormal"/>
              <w:keepNext/>
            </w:pPr>
          </w:p>
          <w:p w14:paraId="4123ABFA" w14:textId="0CDF9DCB"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AC786C">
              <w:t>minister</w:t>
            </w:r>
          </w:p>
        </w:tc>
        <w:tc>
          <w:tcPr>
            <w:tcW w:w="3477" w:type="dxa"/>
            <w:vAlign w:val="bottom"/>
          </w:tcPr>
          <w:p w14:paraId="10896758" w14:textId="77777777" w:rsidR="00AF3004" w:rsidRDefault="00AF3004">
            <w:pPr>
              <w:pStyle w:val="ANormal"/>
              <w:keepNext/>
            </w:pPr>
          </w:p>
          <w:p w14:paraId="024E666D" w14:textId="77777777" w:rsidR="00AF3004" w:rsidRDefault="00AF3004">
            <w:pPr>
              <w:pStyle w:val="ANormal"/>
              <w:keepNext/>
            </w:pPr>
          </w:p>
          <w:p w14:paraId="14BC13B4" w14:textId="0107B278" w:rsidR="00AF3004" w:rsidRDefault="003B6868">
            <w:pPr>
              <w:pStyle w:val="ANormal"/>
              <w:keepNext/>
            </w:pPr>
            <w:r>
              <w:t>Roger Höglund</w:t>
            </w:r>
          </w:p>
        </w:tc>
      </w:tr>
    </w:tbl>
    <w:p w14:paraId="2E582BB7" w14:textId="465A03EC" w:rsidR="00AF3004" w:rsidRDefault="00AF3004">
      <w:pPr>
        <w:pStyle w:val="ANormal"/>
      </w:pPr>
    </w:p>
    <w:p w14:paraId="06555D7D" w14:textId="52B5F4D2" w:rsidR="00B52817" w:rsidRDefault="00B52817">
      <w:pPr>
        <w:rPr>
          <w:sz w:val="22"/>
          <w:szCs w:val="20"/>
        </w:rPr>
      </w:pPr>
      <w:r>
        <w:br w:type="page"/>
      </w:r>
    </w:p>
    <w:p w14:paraId="297E0424" w14:textId="1DBAF46A" w:rsidR="00B52817" w:rsidRDefault="00B52817" w:rsidP="00B52817">
      <w:pPr>
        <w:pStyle w:val="RubrikA"/>
      </w:pPr>
      <w:bookmarkStart w:id="14" w:name="_Toc113535841"/>
      <w:r>
        <w:lastRenderedPageBreak/>
        <w:t>Parallelltexter</w:t>
      </w:r>
      <w:bookmarkEnd w:id="14"/>
    </w:p>
    <w:p w14:paraId="283F436D" w14:textId="1E0A79ED" w:rsidR="00B52817" w:rsidRDefault="00B52817" w:rsidP="00B52817">
      <w:pPr>
        <w:pStyle w:val="Rubrikmellanrum"/>
      </w:pPr>
    </w:p>
    <w:p w14:paraId="12F43DF6" w14:textId="3992BC77" w:rsidR="00B52817" w:rsidRPr="00B52817" w:rsidRDefault="00B52817" w:rsidP="00B52817">
      <w:pPr>
        <w:pStyle w:val="ArendeUnderRubrik"/>
      </w:pPr>
      <w:r>
        <w:t xml:space="preserve">Parallelltexter till landskapsregeringens lagförslag nr </w:t>
      </w:r>
      <w:r w:rsidR="00322119">
        <w:t>26</w:t>
      </w:r>
      <w:r>
        <w:t>/2021-2022</w:t>
      </w:r>
    </w:p>
    <w:sectPr w:rsidR="00B52817" w:rsidRPr="00B52817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2B41" w14:textId="77777777" w:rsidR="00AC786C" w:rsidRDefault="00AC786C">
      <w:r>
        <w:separator/>
      </w:r>
    </w:p>
  </w:endnote>
  <w:endnote w:type="continuationSeparator" w:id="0">
    <w:p w14:paraId="73F7A354" w14:textId="77777777" w:rsidR="00AC786C" w:rsidRDefault="00A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1EE7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FBB" w14:textId="7FFF78DA" w:rsidR="00AF3004" w:rsidRDefault="00B52817">
    <w:pPr>
      <w:pStyle w:val="Sidfot"/>
      <w:rPr>
        <w:lang w:val="fi-FI"/>
      </w:rPr>
    </w:pPr>
    <w:r>
      <w:t>LF</w:t>
    </w:r>
    <w:r w:rsidR="00322119">
      <w:t>26</w:t>
    </w:r>
    <w:r>
      <w:t>2021202</w:t>
    </w:r>
    <w:r w:rsidR="00322119">
      <w:t>2</w:t>
    </w:r>
    <w: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A5B3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B10D" w14:textId="77777777" w:rsidR="00AC786C" w:rsidRDefault="00AC786C">
      <w:r>
        <w:separator/>
      </w:r>
    </w:p>
  </w:footnote>
  <w:footnote w:type="continuationSeparator" w:id="0">
    <w:p w14:paraId="4DDDDCB4" w14:textId="77777777" w:rsidR="00AC786C" w:rsidRDefault="00AC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1C28" w14:textId="77777777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5C25C85A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DA6E" w14:textId="77777777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460788">
    <w:abstractNumId w:val="6"/>
  </w:num>
  <w:num w:numId="2" w16cid:durableId="171992273">
    <w:abstractNumId w:val="3"/>
  </w:num>
  <w:num w:numId="3" w16cid:durableId="464352045">
    <w:abstractNumId w:val="2"/>
  </w:num>
  <w:num w:numId="4" w16cid:durableId="655497842">
    <w:abstractNumId w:val="1"/>
  </w:num>
  <w:num w:numId="5" w16cid:durableId="2048404457">
    <w:abstractNumId w:val="0"/>
  </w:num>
  <w:num w:numId="6" w16cid:durableId="1376660144">
    <w:abstractNumId w:val="7"/>
  </w:num>
  <w:num w:numId="7" w16cid:durableId="1122698092">
    <w:abstractNumId w:val="5"/>
  </w:num>
  <w:num w:numId="8" w16cid:durableId="1203590938">
    <w:abstractNumId w:val="4"/>
  </w:num>
  <w:num w:numId="9" w16cid:durableId="796217338">
    <w:abstractNumId w:val="10"/>
  </w:num>
  <w:num w:numId="10" w16cid:durableId="617226704">
    <w:abstractNumId w:val="13"/>
  </w:num>
  <w:num w:numId="11" w16cid:durableId="939533054">
    <w:abstractNumId w:val="12"/>
  </w:num>
  <w:num w:numId="12" w16cid:durableId="1206871565">
    <w:abstractNumId w:val="16"/>
  </w:num>
  <w:num w:numId="13" w16cid:durableId="1462380549">
    <w:abstractNumId w:val="11"/>
  </w:num>
  <w:num w:numId="14" w16cid:durableId="203367984">
    <w:abstractNumId w:val="15"/>
  </w:num>
  <w:num w:numId="15" w16cid:durableId="1032877945">
    <w:abstractNumId w:val="9"/>
  </w:num>
  <w:num w:numId="16" w16cid:durableId="130559788">
    <w:abstractNumId w:val="21"/>
  </w:num>
  <w:num w:numId="17" w16cid:durableId="1670059215">
    <w:abstractNumId w:val="8"/>
  </w:num>
  <w:num w:numId="18" w16cid:durableId="992759240">
    <w:abstractNumId w:val="17"/>
  </w:num>
  <w:num w:numId="19" w16cid:durableId="825362561">
    <w:abstractNumId w:val="20"/>
  </w:num>
  <w:num w:numId="20" w16cid:durableId="521668950">
    <w:abstractNumId w:val="23"/>
  </w:num>
  <w:num w:numId="21" w16cid:durableId="1521165550">
    <w:abstractNumId w:val="22"/>
  </w:num>
  <w:num w:numId="22" w16cid:durableId="21327606">
    <w:abstractNumId w:val="14"/>
  </w:num>
  <w:num w:numId="23" w16cid:durableId="1633049221">
    <w:abstractNumId w:val="18"/>
  </w:num>
  <w:num w:numId="24" w16cid:durableId="976180569">
    <w:abstractNumId w:val="18"/>
  </w:num>
  <w:num w:numId="25" w16cid:durableId="86116911">
    <w:abstractNumId w:val="19"/>
  </w:num>
  <w:num w:numId="26" w16cid:durableId="1077244827">
    <w:abstractNumId w:val="14"/>
  </w:num>
  <w:num w:numId="27" w16cid:durableId="647784021">
    <w:abstractNumId w:val="14"/>
  </w:num>
  <w:num w:numId="28" w16cid:durableId="745886443">
    <w:abstractNumId w:val="14"/>
  </w:num>
  <w:num w:numId="29" w16cid:durableId="866678323">
    <w:abstractNumId w:val="14"/>
  </w:num>
  <w:num w:numId="30" w16cid:durableId="1323579712">
    <w:abstractNumId w:val="14"/>
  </w:num>
  <w:num w:numId="31" w16cid:durableId="2020039562">
    <w:abstractNumId w:val="14"/>
  </w:num>
  <w:num w:numId="32" w16cid:durableId="2064525888">
    <w:abstractNumId w:val="14"/>
  </w:num>
  <w:num w:numId="33" w16cid:durableId="1922568768">
    <w:abstractNumId w:val="14"/>
  </w:num>
  <w:num w:numId="34" w16cid:durableId="259068096">
    <w:abstractNumId w:val="14"/>
  </w:num>
  <w:num w:numId="35" w16cid:durableId="1561557174">
    <w:abstractNumId w:val="18"/>
  </w:num>
  <w:num w:numId="36" w16cid:durableId="1273511027">
    <w:abstractNumId w:val="19"/>
  </w:num>
  <w:num w:numId="37" w16cid:durableId="354621444">
    <w:abstractNumId w:val="14"/>
  </w:num>
  <w:num w:numId="38" w16cid:durableId="1490631801">
    <w:abstractNumId w:val="14"/>
  </w:num>
  <w:num w:numId="39" w16cid:durableId="93520066">
    <w:abstractNumId w:val="14"/>
  </w:num>
  <w:num w:numId="40" w16cid:durableId="1391225102">
    <w:abstractNumId w:val="14"/>
  </w:num>
  <w:num w:numId="41" w16cid:durableId="1121144334">
    <w:abstractNumId w:val="14"/>
  </w:num>
  <w:num w:numId="42" w16cid:durableId="351226106">
    <w:abstractNumId w:val="14"/>
  </w:num>
  <w:num w:numId="43" w16cid:durableId="371805259">
    <w:abstractNumId w:val="14"/>
  </w:num>
  <w:num w:numId="44" w16cid:durableId="1273244821">
    <w:abstractNumId w:val="14"/>
  </w:num>
  <w:num w:numId="45" w16cid:durableId="1459748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6C"/>
    <w:rsid w:val="000021AE"/>
    <w:rsid w:val="00011555"/>
    <w:rsid w:val="00056F85"/>
    <w:rsid w:val="000A121D"/>
    <w:rsid w:val="000C1C37"/>
    <w:rsid w:val="000D49EF"/>
    <w:rsid w:val="000E3740"/>
    <w:rsid w:val="000F6644"/>
    <w:rsid w:val="00106A6A"/>
    <w:rsid w:val="00125719"/>
    <w:rsid w:val="001343F8"/>
    <w:rsid w:val="00147F7E"/>
    <w:rsid w:val="00156270"/>
    <w:rsid w:val="001A7D43"/>
    <w:rsid w:val="001A7FA7"/>
    <w:rsid w:val="001B5380"/>
    <w:rsid w:val="001B6B8A"/>
    <w:rsid w:val="001F345D"/>
    <w:rsid w:val="001F3EC5"/>
    <w:rsid w:val="001F745A"/>
    <w:rsid w:val="00202894"/>
    <w:rsid w:val="00210615"/>
    <w:rsid w:val="00215446"/>
    <w:rsid w:val="00233A47"/>
    <w:rsid w:val="002345C7"/>
    <w:rsid w:val="00236647"/>
    <w:rsid w:val="00252A63"/>
    <w:rsid w:val="00263538"/>
    <w:rsid w:val="002B4C19"/>
    <w:rsid w:val="002B7986"/>
    <w:rsid w:val="002D1EB4"/>
    <w:rsid w:val="002D6423"/>
    <w:rsid w:val="002E3EA5"/>
    <w:rsid w:val="002F2F7F"/>
    <w:rsid w:val="00322119"/>
    <w:rsid w:val="00342FC4"/>
    <w:rsid w:val="003747C3"/>
    <w:rsid w:val="00380E7D"/>
    <w:rsid w:val="003A5E4C"/>
    <w:rsid w:val="003B6868"/>
    <w:rsid w:val="003C06B3"/>
    <w:rsid w:val="003D1D47"/>
    <w:rsid w:val="004221E9"/>
    <w:rsid w:val="00422B02"/>
    <w:rsid w:val="00464E03"/>
    <w:rsid w:val="00466457"/>
    <w:rsid w:val="00466CAE"/>
    <w:rsid w:val="00467290"/>
    <w:rsid w:val="0047289C"/>
    <w:rsid w:val="00483460"/>
    <w:rsid w:val="004A26A7"/>
    <w:rsid w:val="004A6BA1"/>
    <w:rsid w:val="004D70EC"/>
    <w:rsid w:val="004E39C4"/>
    <w:rsid w:val="00524A09"/>
    <w:rsid w:val="005759FF"/>
    <w:rsid w:val="0059660F"/>
    <w:rsid w:val="005F1DF9"/>
    <w:rsid w:val="006064D4"/>
    <w:rsid w:val="00632BAC"/>
    <w:rsid w:val="00653F42"/>
    <w:rsid w:val="00666DEC"/>
    <w:rsid w:val="0067244C"/>
    <w:rsid w:val="006B633C"/>
    <w:rsid w:val="006C37F7"/>
    <w:rsid w:val="006C74C6"/>
    <w:rsid w:val="006E2F59"/>
    <w:rsid w:val="006F50ED"/>
    <w:rsid w:val="00722128"/>
    <w:rsid w:val="00724805"/>
    <w:rsid w:val="00751C9A"/>
    <w:rsid w:val="0076656B"/>
    <w:rsid w:val="00767CEE"/>
    <w:rsid w:val="0077263A"/>
    <w:rsid w:val="00773625"/>
    <w:rsid w:val="00775C1E"/>
    <w:rsid w:val="00791EAF"/>
    <w:rsid w:val="007A129D"/>
    <w:rsid w:val="007C65D6"/>
    <w:rsid w:val="007D0288"/>
    <w:rsid w:val="007D4454"/>
    <w:rsid w:val="00816EDE"/>
    <w:rsid w:val="00833AD2"/>
    <w:rsid w:val="008450DA"/>
    <w:rsid w:val="00854800"/>
    <w:rsid w:val="00881DFC"/>
    <w:rsid w:val="008C1678"/>
    <w:rsid w:val="008C4014"/>
    <w:rsid w:val="008C6D6A"/>
    <w:rsid w:val="008E48F5"/>
    <w:rsid w:val="008F443F"/>
    <w:rsid w:val="00905EB4"/>
    <w:rsid w:val="00925DEA"/>
    <w:rsid w:val="00926DCD"/>
    <w:rsid w:val="009344CE"/>
    <w:rsid w:val="009457F9"/>
    <w:rsid w:val="00981ACB"/>
    <w:rsid w:val="009C2B22"/>
    <w:rsid w:val="009E73FE"/>
    <w:rsid w:val="009F19CB"/>
    <w:rsid w:val="00A00E52"/>
    <w:rsid w:val="00A1427E"/>
    <w:rsid w:val="00A302E1"/>
    <w:rsid w:val="00A32351"/>
    <w:rsid w:val="00A348CB"/>
    <w:rsid w:val="00A4348B"/>
    <w:rsid w:val="00A544AB"/>
    <w:rsid w:val="00A60CDA"/>
    <w:rsid w:val="00A7154E"/>
    <w:rsid w:val="00A848AA"/>
    <w:rsid w:val="00AB2A9E"/>
    <w:rsid w:val="00AB7BD9"/>
    <w:rsid w:val="00AC39DF"/>
    <w:rsid w:val="00AC786C"/>
    <w:rsid w:val="00AD0AA9"/>
    <w:rsid w:val="00AE3E9E"/>
    <w:rsid w:val="00AF3004"/>
    <w:rsid w:val="00B00155"/>
    <w:rsid w:val="00B16124"/>
    <w:rsid w:val="00B16AE7"/>
    <w:rsid w:val="00B21A04"/>
    <w:rsid w:val="00B26186"/>
    <w:rsid w:val="00B42DD2"/>
    <w:rsid w:val="00B45B24"/>
    <w:rsid w:val="00B52817"/>
    <w:rsid w:val="00B54049"/>
    <w:rsid w:val="00B64E93"/>
    <w:rsid w:val="00B664EE"/>
    <w:rsid w:val="00B67E88"/>
    <w:rsid w:val="00B8425D"/>
    <w:rsid w:val="00BA065A"/>
    <w:rsid w:val="00BC704E"/>
    <w:rsid w:val="00BD1BA1"/>
    <w:rsid w:val="00BD7C48"/>
    <w:rsid w:val="00BE5B9E"/>
    <w:rsid w:val="00C14E93"/>
    <w:rsid w:val="00C20F04"/>
    <w:rsid w:val="00C43A06"/>
    <w:rsid w:val="00C51B78"/>
    <w:rsid w:val="00C610BB"/>
    <w:rsid w:val="00C83B95"/>
    <w:rsid w:val="00CB4489"/>
    <w:rsid w:val="00CC418B"/>
    <w:rsid w:val="00CC58EA"/>
    <w:rsid w:val="00CE4FC8"/>
    <w:rsid w:val="00CF71B4"/>
    <w:rsid w:val="00D111DE"/>
    <w:rsid w:val="00D51C31"/>
    <w:rsid w:val="00D546D3"/>
    <w:rsid w:val="00D668C9"/>
    <w:rsid w:val="00D7512F"/>
    <w:rsid w:val="00D9785E"/>
    <w:rsid w:val="00DA4E10"/>
    <w:rsid w:val="00DB30F2"/>
    <w:rsid w:val="00DD5E39"/>
    <w:rsid w:val="00DE468E"/>
    <w:rsid w:val="00E004B1"/>
    <w:rsid w:val="00E0088D"/>
    <w:rsid w:val="00E051AC"/>
    <w:rsid w:val="00E155CA"/>
    <w:rsid w:val="00E61EF6"/>
    <w:rsid w:val="00E72CC3"/>
    <w:rsid w:val="00E86268"/>
    <w:rsid w:val="00EA3D1F"/>
    <w:rsid w:val="00EA5382"/>
    <w:rsid w:val="00EA5C23"/>
    <w:rsid w:val="00EB037F"/>
    <w:rsid w:val="00EB7C6A"/>
    <w:rsid w:val="00ED0F04"/>
    <w:rsid w:val="00EE14F0"/>
    <w:rsid w:val="00EE3B86"/>
    <w:rsid w:val="00F522D0"/>
    <w:rsid w:val="00F6228C"/>
    <w:rsid w:val="00F83028"/>
    <w:rsid w:val="00F92961"/>
    <w:rsid w:val="00FB70E8"/>
    <w:rsid w:val="00FD06D4"/>
    <w:rsid w:val="00FD1AD8"/>
    <w:rsid w:val="00FD4969"/>
    <w:rsid w:val="00FD6449"/>
    <w:rsid w:val="00FD7F1D"/>
    <w:rsid w:val="00FF29BE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C5C5"/>
  <w15:chartTrackingRefBased/>
  <w15:docId w15:val="{CB69C37C-344E-440E-BF7E-79E72E8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table" w:styleId="Tabellrutnt">
    <w:name w:val="Table Grid"/>
    <w:basedOn w:val="Normaltabell"/>
    <w:uiPriority w:val="59"/>
    <w:rsid w:val="0098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FFE9-E097-4D83-A19E-4A4EFBC4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0</TotalTime>
  <Pages>7</Pages>
  <Words>1277</Words>
  <Characters>8586</Characters>
  <Application>Microsoft Office Word</Application>
  <DocSecurity>0</DocSecurity>
  <Lines>71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9844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Diana Lönngren</dc:creator>
  <cp:keywords/>
  <dc:description/>
  <cp:lastModifiedBy>Jessica Laaksonen</cp:lastModifiedBy>
  <cp:revision>2</cp:revision>
  <cp:lastPrinted>2022-09-05T05:56:00Z</cp:lastPrinted>
  <dcterms:created xsi:type="dcterms:W3CDTF">2022-09-08T10:57:00Z</dcterms:created>
  <dcterms:modified xsi:type="dcterms:W3CDTF">2022-09-08T10:57:00Z</dcterms:modified>
</cp:coreProperties>
</file>