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F4853" w14:paraId="538BF33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67F50A0" w14:textId="08ECA05B" w:rsidR="002F4853" w:rsidRDefault="002F48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t xml:space="preserve">  </w:t>
            </w:r>
            <w:r w:rsidR="00246B7A">
              <w:rPr>
                <w:noProof/>
                <w:lang w:val="sv-FI" w:eastAsia="sv-FI"/>
              </w:rPr>
              <w:drawing>
                <wp:inline distT="0" distB="0" distL="0" distR="0" wp14:anchorId="1F28311F" wp14:editId="4057F20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D44CD7B" w14:textId="7E44BF21" w:rsidR="002F4853" w:rsidRDefault="00246B7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3F1341F" wp14:editId="07EF315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853" w14:paraId="45309D25" w14:textId="77777777">
        <w:trPr>
          <w:cantSplit/>
          <w:trHeight w:val="299"/>
        </w:trPr>
        <w:tc>
          <w:tcPr>
            <w:tcW w:w="861" w:type="dxa"/>
            <w:vMerge/>
          </w:tcPr>
          <w:p w14:paraId="3AFDCDC2" w14:textId="77777777" w:rsidR="002F4853" w:rsidRDefault="002F485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B6A56" w14:textId="77777777" w:rsidR="002F4853" w:rsidRDefault="002F485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7BB3D6F" w14:textId="55D9EBA5" w:rsidR="002F4853" w:rsidRDefault="006A2FF0">
            <w:pPr>
              <w:pStyle w:val="xDokTypNr"/>
            </w:pPr>
            <w:r w:rsidRPr="00E05FEF">
              <w:t>UTLÅTANDE</w:t>
            </w:r>
            <w:r w:rsidR="00E05FEF" w:rsidRPr="00E05FEF">
              <w:t xml:space="preserve"> nr </w:t>
            </w:r>
            <w:r w:rsidR="007024AA">
              <w:t>1</w:t>
            </w:r>
            <w:r w:rsidR="00E05FEF" w:rsidRPr="00E05FEF">
              <w:t>/</w:t>
            </w:r>
            <w:proofErr w:type="gramStart"/>
            <w:r w:rsidRPr="00E05FEF">
              <w:t>20</w:t>
            </w:r>
            <w:r w:rsidR="007024AA">
              <w:t>2</w:t>
            </w:r>
            <w:r w:rsidRPr="00E05FEF">
              <w:t>1-20</w:t>
            </w:r>
            <w:r w:rsidR="004A0606" w:rsidRPr="00E05FEF">
              <w:t>2</w:t>
            </w:r>
            <w:r w:rsidR="007024AA">
              <w:t>2</w:t>
            </w:r>
            <w:proofErr w:type="gramEnd"/>
          </w:p>
        </w:tc>
      </w:tr>
      <w:tr w:rsidR="002F4853" w14:paraId="2B0A91AE" w14:textId="77777777">
        <w:trPr>
          <w:cantSplit/>
          <w:trHeight w:val="238"/>
        </w:trPr>
        <w:tc>
          <w:tcPr>
            <w:tcW w:w="861" w:type="dxa"/>
            <w:vMerge/>
          </w:tcPr>
          <w:p w14:paraId="75097BC4" w14:textId="77777777" w:rsidR="002F4853" w:rsidRDefault="002F485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DFA8E" w14:textId="77777777" w:rsidR="002F4853" w:rsidRDefault="002F485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9E1BFDF" w14:textId="77777777" w:rsidR="002F4853" w:rsidRDefault="002F485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48AC740" w14:textId="77777777" w:rsidR="002F4853" w:rsidRDefault="002F4853">
            <w:pPr>
              <w:pStyle w:val="xLedtext"/>
            </w:pPr>
          </w:p>
        </w:tc>
      </w:tr>
      <w:tr w:rsidR="002F4853" w14:paraId="34F70D41" w14:textId="77777777" w:rsidTr="00E05FEF">
        <w:trPr>
          <w:cantSplit/>
          <w:trHeight w:val="238"/>
        </w:trPr>
        <w:tc>
          <w:tcPr>
            <w:tcW w:w="861" w:type="dxa"/>
            <w:vMerge/>
          </w:tcPr>
          <w:p w14:paraId="4F83993A" w14:textId="77777777" w:rsidR="002F4853" w:rsidRDefault="002F485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69A17D2" w14:textId="77777777" w:rsidR="002F4853" w:rsidRDefault="002F4853">
            <w:pPr>
              <w:pStyle w:val="xAvsandare2"/>
            </w:pPr>
            <w:r>
              <w:t>Finans</w:t>
            </w:r>
            <w:r w:rsidR="00C516DE">
              <w:t>- och närings</w:t>
            </w:r>
            <w:r>
              <w:t>utskottet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0908D48" w14:textId="3C3FB558" w:rsidR="002F4853" w:rsidRDefault="006A2FF0">
            <w:pPr>
              <w:pStyle w:val="xDatum1"/>
            </w:pPr>
            <w:r w:rsidRPr="00E05FEF">
              <w:t>20</w:t>
            </w:r>
            <w:r w:rsidR="004A0606" w:rsidRPr="00E05FEF">
              <w:t>20</w:t>
            </w:r>
            <w:r w:rsidR="00DC2EF6" w:rsidRPr="00E05FEF">
              <w:t>-</w:t>
            </w:r>
            <w:r w:rsidR="00CE6CB4" w:rsidRPr="00E05FEF">
              <w:t>0</w:t>
            </w:r>
            <w:r w:rsidR="007024AA">
              <w:t>3</w:t>
            </w:r>
            <w:r w:rsidR="00BF7E86" w:rsidRPr="00E05FEF">
              <w:t>-</w:t>
            </w:r>
            <w:r w:rsidR="007024AA">
              <w:t>17</w:t>
            </w:r>
          </w:p>
        </w:tc>
        <w:tc>
          <w:tcPr>
            <w:tcW w:w="2563" w:type="dxa"/>
            <w:vAlign w:val="center"/>
          </w:tcPr>
          <w:p w14:paraId="2488F3A0" w14:textId="77777777" w:rsidR="002F4853" w:rsidRDefault="002F4853">
            <w:pPr>
              <w:pStyle w:val="xBeteckning1"/>
            </w:pPr>
          </w:p>
        </w:tc>
      </w:tr>
      <w:tr w:rsidR="002F4853" w14:paraId="27B85BAB" w14:textId="77777777">
        <w:trPr>
          <w:cantSplit/>
          <w:trHeight w:val="238"/>
        </w:trPr>
        <w:tc>
          <w:tcPr>
            <w:tcW w:w="861" w:type="dxa"/>
            <w:vMerge/>
          </w:tcPr>
          <w:p w14:paraId="04C43F13" w14:textId="77777777" w:rsidR="002F4853" w:rsidRDefault="002F485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B461D0" w14:textId="77777777" w:rsidR="002F4853" w:rsidRDefault="002F485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E196551" w14:textId="77777777" w:rsidR="002F4853" w:rsidRDefault="002F485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F50BEE7" w14:textId="77777777" w:rsidR="002F4853" w:rsidRDefault="002F4853">
            <w:pPr>
              <w:pStyle w:val="xLedtext"/>
            </w:pPr>
          </w:p>
        </w:tc>
      </w:tr>
      <w:tr w:rsidR="002F4853" w14:paraId="2D9DEF2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6A167FD" w14:textId="77777777" w:rsidR="002F4853" w:rsidRDefault="002F485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91F4FF1" w14:textId="77777777" w:rsidR="002F4853" w:rsidRDefault="002F485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4AB422" w14:textId="77777777" w:rsidR="002F4853" w:rsidRDefault="002F485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9ED3F30" w14:textId="77777777" w:rsidR="002F4853" w:rsidRDefault="002F4853">
            <w:pPr>
              <w:pStyle w:val="xBeteckning2"/>
            </w:pPr>
          </w:p>
        </w:tc>
      </w:tr>
      <w:tr w:rsidR="002F4853" w14:paraId="4D0C801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EED69EA" w14:textId="77777777" w:rsidR="002F4853" w:rsidRDefault="002F485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5050450" w14:textId="77777777" w:rsidR="002F4853" w:rsidRDefault="002F485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C831D6B" w14:textId="77777777" w:rsidR="002F4853" w:rsidRDefault="002F4853">
            <w:pPr>
              <w:pStyle w:val="xLedtext"/>
            </w:pPr>
          </w:p>
        </w:tc>
      </w:tr>
      <w:tr w:rsidR="002F4853" w14:paraId="76C55C97" w14:textId="77777777">
        <w:trPr>
          <w:cantSplit/>
          <w:trHeight w:val="238"/>
        </w:trPr>
        <w:tc>
          <w:tcPr>
            <w:tcW w:w="861" w:type="dxa"/>
          </w:tcPr>
          <w:p w14:paraId="739AD3AF" w14:textId="77777777" w:rsidR="002F4853" w:rsidRDefault="002F4853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5B7DEE8" w14:textId="5C5FDA4C" w:rsidR="002F4853" w:rsidRDefault="002F4853">
            <w:pPr>
              <w:pStyle w:val="xMottagare1"/>
            </w:pPr>
            <w:r>
              <w:t>Til</w:t>
            </w:r>
            <w:r w:rsidR="00DC2EF6">
              <w:t xml:space="preserve">l </w:t>
            </w:r>
            <w:r w:rsidR="007024AA">
              <w:t>lag- och kulturutskottet</w:t>
            </w:r>
          </w:p>
        </w:tc>
        <w:tc>
          <w:tcPr>
            <w:tcW w:w="4288" w:type="dxa"/>
            <w:gridSpan w:val="2"/>
            <w:vMerge w:val="restart"/>
          </w:tcPr>
          <w:p w14:paraId="49EF2759" w14:textId="77777777" w:rsidR="002F4853" w:rsidRDefault="002F4853">
            <w:pPr>
              <w:pStyle w:val="xMottagare1"/>
              <w:tabs>
                <w:tab w:val="left" w:pos="2349"/>
              </w:tabs>
            </w:pPr>
          </w:p>
        </w:tc>
      </w:tr>
      <w:tr w:rsidR="002F4853" w14:paraId="06D8D786" w14:textId="77777777">
        <w:trPr>
          <w:cantSplit/>
          <w:trHeight w:val="238"/>
        </w:trPr>
        <w:tc>
          <w:tcPr>
            <w:tcW w:w="861" w:type="dxa"/>
          </w:tcPr>
          <w:p w14:paraId="0C7E1634" w14:textId="77777777" w:rsidR="002F4853" w:rsidRDefault="002F4853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C267A6B" w14:textId="77777777" w:rsidR="002F4853" w:rsidRDefault="002F4853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B33372F" w14:textId="77777777" w:rsidR="002F4853" w:rsidRDefault="002F4853">
            <w:pPr>
              <w:pStyle w:val="xCelltext"/>
            </w:pPr>
          </w:p>
        </w:tc>
      </w:tr>
      <w:tr w:rsidR="002F4853" w14:paraId="755C0968" w14:textId="77777777">
        <w:trPr>
          <w:cantSplit/>
          <w:trHeight w:val="238"/>
        </w:trPr>
        <w:tc>
          <w:tcPr>
            <w:tcW w:w="861" w:type="dxa"/>
          </w:tcPr>
          <w:p w14:paraId="47D0F42A" w14:textId="77777777" w:rsidR="002F4853" w:rsidRDefault="002F4853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633C9D9" w14:textId="77777777" w:rsidR="002F4853" w:rsidRDefault="002F4853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BD35475" w14:textId="77777777" w:rsidR="002F4853" w:rsidRDefault="002F4853">
            <w:pPr>
              <w:pStyle w:val="xCelltext"/>
            </w:pPr>
          </w:p>
        </w:tc>
      </w:tr>
      <w:tr w:rsidR="002F4853" w14:paraId="30A53754" w14:textId="77777777">
        <w:trPr>
          <w:cantSplit/>
          <w:trHeight w:val="238"/>
        </w:trPr>
        <w:tc>
          <w:tcPr>
            <w:tcW w:w="861" w:type="dxa"/>
          </w:tcPr>
          <w:p w14:paraId="66E1D330" w14:textId="77777777" w:rsidR="002F4853" w:rsidRDefault="002F4853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06FD4BF" w14:textId="77777777" w:rsidR="002F4853" w:rsidRDefault="002F4853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4163F9" w14:textId="77777777" w:rsidR="002F4853" w:rsidRDefault="002F4853">
            <w:pPr>
              <w:pStyle w:val="xCelltext"/>
            </w:pPr>
          </w:p>
        </w:tc>
      </w:tr>
      <w:tr w:rsidR="002F4853" w14:paraId="4C5D5754" w14:textId="77777777">
        <w:trPr>
          <w:cantSplit/>
          <w:trHeight w:val="238"/>
        </w:trPr>
        <w:tc>
          <w:tcPr>
            <w:tcW w:w="861" w:type="dxa"/>
          </w:tcPr>
          <w:p w14:paraId="4D4857B9" w14:textId="77777777" w:rsidR="002F4853" w:rsidRDefault="002F4853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5A359D" w14:textId="77777777" w:rsidR="002F4853" w:rsidRDefault="002F4853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C7A6F7" w14:textId="77777777" w:rsidR="002F4853" w:rsidRDefault="002F4853">
            <w:pPr>
              <w:pStyle w:val="xCelltext"/>
            </w:pPr>
          </w:p>
        </w:tc>
      </w:tr>
    </w:tbl>
    <w:p w14:paraId="33EC0643" w14:textId="77777777" w:rsidR="002F4853" w:rsidRDefault="002F4853">
      <w:pPr>
        <w:rPr>
          <w:b/>
          <w:bCs/>
        </w:rPr>
        <w:sectPr w:rsidR="002F4853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0B8FC87" w14:textId="77777777" w:rsidR="002F4853" w:rsidRDefault="002F4853">
      <w:pPr>
        <w:pStyle w:val="ArendeOverRubrik"/>
      </w:pPr>
      <w:r>
        <w:t>Finans</w:t>
      </w:r>
      <w:r w:rsidR="00C516DE">
        <w:t>- och närings</w:t>
      </w:r>
      <w:r>
        <w:t>utskottets utlåtande</w:t>
      </w:r>
    </w:p>
    <w:p w14:paraId="53BC85C2" w14:textId="50635B22" w:rsidR="00D85E89" w:rsidRPr="00342D07" w:rsidRDefault="007024AA" w:rsidP="00342D0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Näringsrätt och näringstillstånd</w:t>
      </w:r>
    </w:p>
    <w:p w14:paraId="02643E98" w14:textId="541BE8B4" w:rsidR="002F4853" w:rsidRPr="00994BB4" w:rsidRDefault="00242917">
      <w:pPr>
        <w:pStyle w:val="ArendeUnderRubrik"/>
        <w:rPr>
          <w:rStyle w:val="Hyperlnk"/>
          <w:color w:val="auto"/>
        </w:rPr>
      </w:pPr>
      <w:hyperlink r:id="rId11" w:history="1">
        <w:r w:rsidR="00C024E5" w:rsidRPr="004A0606">
          <w:rPr>
            <w:rStyle w:val="Hyperlnk"/>
          </w:rPr>
          <w:t>Landskapsr</w:t>
        </w:r>
        <w:r w:rsidR="00B3634B" w:rsidRPr="004A0606">
          <w:rPr>
            <w:rStyle w:val="Hyperlnk"/>
          </w:rPr>
          <w:t>egeri</w:t>
        </w:r>
        <w:r w:rsidR="006A2FF0" w:rsidRPr="004A0606">
          <w:rPr>
            <w:rStyle w:val="Hyperlnk"/>
          </w:rPr>
          <w:t xml:space="preserve">ngens </w:t>
        </w:r>
        <w:r w:rsidR="007024AA">
          <w:rPr>
            <w:rStyle w:val="Hyperlnk"/>
          </w:rPr>
          <w:t>lagförslag</w:t>
        </w:r>
        <w:r w:rsidR="006A2FF0" w:rsidRPr="004A0606">
          <w:rPr>
            <w:rStyle w:val="Hyperlnk"/>
          </w:rPr>
          <w:t xml:space="preserve"> nr </w:t>
        </w:r>
        <w:r w:rsidR="007024AA">
          <w:rPr>
            <w:rStyle w:val="Hyperlnk"/>
          </w:rPr>
          <w:t>5</w:t>
        </w:r>
        <w:r w:rsidR="006A2FF0" w:rsidRPr="004A0606">
          <w:rPr>
            <w:rStyle w:val="Hyperlnk"/>
          </w:rPr>
          <w:t>/</w:t>
        </w:r>
        <w:proofErr w:type="gramStart"/>
        <w:r w:rsidR="006A2FF0" w:rsidRPr="004A0606">
          <w:rPr>
            <w:rStyle w:val="Hyperlnk"/>
          </w:rPr>
          <w:t>20</w:t>
        </w:r>
        <w:r w:rsidR="007024AA">
          <w:rPr>
            <w:rStyle w:val="Hyperlnk"/>
          </w:rPr>
          <w:t>2</w:t>
        </w:r>
        <w:r w:rsidR="006A2FF0" w:rsidRPr="004A0606">
          <w:rPr>
            <w:rStyle w:val="Hyperlnk"/>
          </w:rPr>
          <w:t>1-20</w:t>
        </w:r>
        <w:r w:rsidR="004A0606" w:rsidRPr="004A0606">
          <w:rPr>
            <w:rStyle w:val="Hyperlnk"/>
          </w:rPr>
          <w:t>2</w:t>
        </w:r>
        <w:r w:rsidR="007024AA">
          <w:rPr>
            <w:rStyle w:val="Hyperlnk"/>
          </w:rPr>
          <w:t>2</w:t>
        </w:r>
        <w:proofErr w:type="gramEnd"/>
      </w:hyperlink>
    </w:p>
    <w:p w14:paraId="4DBB135D" w14:textId="6876ACC1" w:rsidR="00994BB4" w:rsidRDefault="00994BB4">
      <w:pPr>
        <w:pStyle w:val="ArendeUnderRubrik"/>
      </w:pPr>
      <w:r>
        <w:rPr>
          <w:rStyle w:val="Hyperlnk"/>
        </w:rPr>
        <w:t>Lag- och kulturutskottets begäran om utlåtande</w:t>
      </w:r>
    </w:p>
    <w:p w14:paraId="5AC2075D" w14:textId="77777777" w:rsidR="00CE6CB4" w:rsidRDefault="00CE6CB4" w:rsidP="00CE6CB4">
      <w:pPr>
        <w:pStyle w:val="ArendeUnderRubrik"/>
        <w:numPr>
          <w:ilvl w:val="0"/>
          <w:numId w:val="0"/>
        </w:numPr>
        <w:ind w:left="283"/>
      </w:pPr>
    </w:p>
    <w:p w14:paraId="60A152D4" w14:textId="77777777" w:rsidR="002F4853" w:rsidRDefault="002F4853">
      <w:pPr>
        <w:pStyle w:val="Innehll1"/>
      </w:pPr>
      <w:r>
        <w:t>INNEHÅLL</w:t>
      </w:r>
    </w:p>
    <w:p w14:paraId="41829360" w14:textId="6F0066DB" w:rsidR="00CB3156" w:rsidRDefault="002F485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98330605" w:history="1">
        <w:r w:rsidR="00CB3156" w:rsidRPr="00CD59D6">
          <w:rPr>
            <w:rStyle w:val="Hyperlnk"/>
          </w:rPr>
          <w:t>Utskottets synpunkter</w:t>
        </w:r>
        <w:r w:rsidR="00CB3156">
          <w:rPr>
            <w:webHidden/>
          </w:rPr>
          <w:tab/>
        </w:r>
        <w:r w:rsidR="00CB3156">
          <w:rPr>
            <w:webHidden/>
          </w:rPr>
          <w:fldChar w:fldCharType="begin"/>
        </w:r>
        <w:r w:rsidR="00CB3156">
          <w:rPr>
            <w:webHidden/>
          </w:rPr>
          <w:instrText xml:space="preserve"> PAGEREF _Toc98330605 \h </w:instrText>
        </w:r>
        <w:r w:rsidR="00CB3156">
          <w:rPr>
            <w:webHidden/>
          </w:rPr>
        </w:r>
        <w:r w:rsidR="00CB3156">
          <w:rPr>
            <w:webHidden/>
          </w:rPr>
          <w:fldChar w:fldCharType="separate"/>
        </w:r>
        <w:r w:rsidR="00CB3156">
          <w:rPr>
            <w:webHidden/>
          </w:rPr>
          <w:t>1</w:t>
        </w:r>
        <w:r w:rsidR="00CB3156">
          <w:rPr>
            <w:webHidden/>
          </w:rPr>
          <w:fldChar w:fldCharType="end"/>
        </w:r>
      </w:hyperlink>
    </w:p>
    <w:p w14:paraId="495C9122" w14:textId="159F1F9B" w:rsidR="00CB3156" w:rsidRDefault="0024291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8330606" w:history="1">
        <w:r w:rsidR="00CB3156" w:rsidRPr="00CD59D6">
          <w:rPr>
            <w:rStyle w:val="Hyperlnk"/>
          </w:rPr>
          <w:t>Ärendets behandling</w:t>
        </w:r>
        <w:r w:rsidR="00CB3156">
          <w:rPr>
            <w:webHidden/>
          </w:rPr>
          <w:tab/>
        </w:r>
        <w:r w:rsidR="00CB3156">
          <w:rPr>
            <w:webHidden/>
          </w:rPr>
          <w:fldChar w:fldCharType="begin"/>
        </w:r>
        <w:r w:rsidR="00CB3156">
          <w:rPr>
            <w:webHidden/>
          </w:rPr>
          <w:instrText xml:space="preserve"> PAGEREF _Toc98330606 \h </w:instrText>
        </w:r>
        <w:r w:rsidR="00CB3156">
          <w:rPr>
            <w:webHidden/>
          </w:rPr>
        </w:r>
        <w:r w:rsidR="00CB3156">
          <w:rPr>
            <w:webHidden/>
          </w:rPr>
          <w:fldChar w:fldCharType="separate"/>
        </w:r>
        <w:r w:rsidR="00CB3156">
          <w:rPr>
            <w:webHidden/>
          </w:rPr>
          <w:t>2</w:t>
        </w:r>
        <w:r w:rsidR="00CB3156">
          <w:rPr>
            <w:webHidden/>
          </w:rPr>
          <w:fldChar w:fldCharType="end"/>
        </w:r>
      </w:hyperlink>
    </w:p>
    <w:p w14:paraId="7F389539" w14:textId="6D630E41" w:rsidR="00CB3156" w:rsidRDefault="0024291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8330607" w:history="1">
        <w:r w:rsidR="00CB3156" w:rsidRPr="00CD59D6">
          <w:rPr>
            <w:rStyle w:val="Hyperlnk"/>
          </w:rPr>
          <w:t>Utskottets förslag</w:t>
        </w:r>
        <w:r w:rsidR="00CB3156">
          <w:rPr>
            <w:webHidden/>
          </w:rPr>
          <w:tab/>
        </w:r>
        <w:r w:rsidR="00CB3156">
          <w:rPr>
            <w:webHidden/>
          </w:rPr>
          <w:fldChar w:fldCharType="begin"/>
        </w:r>
        <w:r w:rsidR="00CB3156">
          <w:rPr>
            <w:webHidden/>
          </w:rPr>
          <w:instrText xml:space="preserve"> PAGEREF _Toc98330607 \h </w:instrText>
        </w:r>
        <w:r w:rsidR="00CB3156">
          <w:rPr>
            <w:webHidden/>
          </w:rPr>
        </w:r>
        <w:r w:rsidR="00CB3156">
          <w:rPr>
            <w:webHidden/>
          </w:rPr>
          <w:fldChar w:fldCharType="separate"/>
        </w:r>
        <w:r w:rsidR="00CB3156">
          <w:rPr>
            <w:webHidden/>
          </w:rPr>
          <w:t>2</w:t>
        </w:r>
        <w:r w:rsidR="00CB3156">
          <w:rPr>
            <w:webHidden/>
          </w:rPr>
          <w:fldChar w:fldCharType="end"/>
        </w:r>
      </w:hyperlink>
    </w:p>
    <w:p w14:paraId="603771C6" w14:textId="38C19DAC" w:rsidR="002F4853" w:rsidRDefault="002F4853">
      <w:pPr>
        <w:pStyle w:val="ANormal"/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A149E02" w14:textId="77777777" w:rsidR="0057037D" w:rsidRPr="004A0606" w:rsidRDefault="0057037D" w:rsidP="00DC2EF6">
      <w:pPr>
        <w:pStyle w:val="anormal0"/>
      </w:pPr>
    </w:p>
    <w:p w14:paraId="13FE8DD8" w14:textId="1D33F953" w:rsidR="00DC2EF6" w:rsidRPr="004A0606" w:rsidRDefault="007024AA" w:rsidP="00DC2EF6">
      <w:pPr>
        <w:pStyle w:val="anormal0"/>
      </w:pPr>
      <w:r>
        <w:t>Lag- och kulturutskottet</w:t>
      </w:r>
      <w:r w:rsidR="00DC2EF6" w:rsidRPr="004A0606">
        <w:t xml:space="preserve"> har med </w:t>
      </w:r>
      <w:r w:rsidR="004A0606" w:rsidRPr="004A0606">
        <w:t xml:space="preserve">hänvisning till </w:t>
      </w:r>
      <w:r>
        <w:t>56</w:t>
      </w:r>
      <w:r w:rsidR="004A0606" w:rsidRPr="004A0606">
        <w:t xml:space="preserve"> §</w:t>
      </w:r>
      <w:r w:rsidR="00AC77C4" w:rsidRPr="004A0606">
        <w:t xml:space="preserve"> arbetsordningen för Ålands lagting</w:t>
      </w:r>
      <w:r w:rsidR="00DC2EF6" w:rsidRPr="004A0606">
        <w:t xml:space="preserve"> </w:t>
      </w:r>
      <w:proofErr w:type="spellStart"/>
      <w:r w:rsidR="00F47012">
        <w:t>inbegärt</w:t>
      </w:r>
      <w:proofErr w:type="spellEnd"/>
      <w:r w:rsidR="00DC2EF6" w:rsidRPr="004A0606">
        <w:t xml:space="preserve"> finans</w:t>
      </w:r>
      <w:r w:rsidR="002C37C7" w:rsidRPr="004A0606">
        <w:t>- och närings</w:t>
      </w:r>
      <w:r w:rsidR="00DC2EF6" w:rsidRPr="004A0606">
        <w:t>utskot</w:t>
      </w:r>
      <w:r w:rsidR="009A3FAE" w:rsidRPr="004A0606">
        <w:t>tets utlåtande</w:t>
      </w:r>
      <w:r w:rsidR="00BB2088" w:rsidRPr="004A0606">
        <w:t xml:space="preserve"> över </w:t>
      </w:r>
      <w:r>
        <w:t>lagförslaget.</w:t>
      </w:r>
    </w:p>
    <w:p w14:paraId="27944627" w14:textId="521235FD" w:rsidR="00C024E5" w:rsidRPr="004A0606" w:rsidRDefault="00C024E5" w:rsidP="00317244">
      <w:pPr>
        <w:pStyle w:val="anormal0"/>
      </w:pPr>
    </w:p>
    <w:p w14:paraId="7E53FFDC" w14:textId="4225FAA7" w:rsidR="002F4853" w:rsidRDefault="002F4853" w:rsidP="00A36F29">
      <w:pPr>
        <w:pStyle w:val="RubrikA"/>
      </w:pPr>
      <w:bookmarkStart w:id="1" w:name="_Toc529800935"/>
      <w:bookmarkStart w:id="2" w:name="_Toc98330605"/>
      <w:r w:rsidRPr="00A36F29">
        <w:t>Utskottets synpunkter</w:t>
      </w:r>
      <w:bookmarkEnd w:id="1"/>
      <w:bookmarkEnd w:id="2"/>
    </w:p>
    <w:p w14:paraId="460DC28B" w14:textId="18ED1B3A" w:rsidR="00A36F29" w:rsidRDefault="00A36F29" w:rsidP="00A36F29">
      <w:pPr>
        <w:pStyle w:val="Rubrikmellanrum"/>
      </w:pPr>
    </w:p>
    <w:p w14:paraId="5B3A338B" w14:textId="4BC7C810" w:rsidR="00A36F29" w:rsidRDefault="00A36F29" w:rsidP="00A36F29">
      <w:pPr>
        <w:pStyle w:val="ANormal"/>
      </w:pPr>
      <w:r>
        <w:t>Utskottet konstaterar att lagförslaget innebär en nödvändig förnyelse av den rättsliga grund som finns för upprätthållandet av e</w:t>
      </w:r>
      <w:r w:rsidR="00F47012">
        <w:t>tt</w:t>
      </w:r>
      <w:r>
        <w:t xml:space="preserve"> reglera</w:t>
      </w:r>
      <w:r w:rsidR="00F47012">
        <w:t>t</w:t>
      </w:r>
      <w:r>
        <w:t xml:space="preserve"> utöv</w:t>
      </w:r>
      <w:r w:rsidR="00C119BB">
        <w:t>ande</w:t>
      </w:r>
      <w:r>
        <w:t xml:space="preserve"> av näring och</w:t>
      </w:r>
      <w:r w:rsidR="00F47012">
        <w:t xml:space="preserve"> för</w:t>
      </w:r>
      <w:r>
        <w:t xml:space="preserve"> de näringstillstånd som krävs för detta. Lagen normerar till stor del redan etablerad praxis när det gäller de formella kraven i samband med tillståndsprocessen för näringsrätt. </w:t>
      </w:r>
    </w:p>
    <w:p w14:paraId="5D350537" w14:textId="61A01DEE" w:rsidR="00F131A4" w:rsidRDefault="00F131A4" w:rsidP="00A36F29">
      <w:pPr>
        <w:pStyle w:val="ANormal"/>
      </w:pPr>
      <w:r>
        <w:tab/>
        <w:t xml:space="preserve">Utskottet har erfarit att näringslivet </w:t>
      </w:r>
      <w:r w:rsidR="00F47012">
        <w:t>ställer sig positivt till lagförslaget och att man</w:t>
      </w:r>
      <w:r>
        <w:t xml:space="preserve"> inte anser att kravet på </w:t>
      </w:r>
      <w:r w:rsidR="00F47012">
        <w:t xml:space="preserve">att </w:t>
      </w:r>
      <w:r>
        <w:t xml:space="preserve">en styrelsemedlem ska inneha åländsk hembygdsrätt skulle utgöra ett hinder för etablering på Åland. </w:t>
      </w:r>
    </w:p>
    <w:p w14:paraId="4BCA43AB" w14:textId="61646FEE" w:rsidR="0032247C" w:rsidRDefault="0032247C" w:rsidP="00A36F29">
      <w:pPr>
        <w:pStyle w:val="ANormal"/>
      </w:pPr>
      <w:r>
        <w:tab/>
        <w:t xml:space="preserve">Utskottet har erfarit att det utanför Åland kan finnas uppfattningar om att det inte går att etablera näringsverksamhet inom landskapet </w:t>
      </w:r>
      <w:r w:rsidR="00805088">
        <w:t xml:space="preserve">om man är ett </w:t>
      </w:r>
      <w:r w:rsidR="00F47012">
        <w:t>icke-åländskt</w:t>
      </w:r>
      <w:r w:rsidR="00805088">
        <w:t xml:space="preserve"> företag. Utskottet anser det därför vara av största vikt att de faktiska kraven för att idka näringsverksamhet blir allmänt kända</w:t>
      </w:r>
      <w:r w:rsidR="00C119BB">
        <w:t xml:space="preserve"> i vår omvärld</w:t>
      </w:r>
      <w:r w:rsidR="00805088">
        <w:t xml:space="preserve"> för att möjliggöra en </w:t>
      </w:r>
      <w:r w:rsidR="00C119BB">
        <w:t xml:space="preserve">fortsatt positiv </w:t>
      </w:r>
      <w:r w:rsidR="00805088">
        <w:t>utveckling av det åländska näringslivet.</w:t>
      </w:r>
      <w:r w:rsidR="00F70C45">
        <w:t xml:space="preserve"> Det är viktigt att </w:t>
      </w:r>
      <w:proofErr w:type="spellStart"/>
      <w:r w:rsidR="00F70C45">
        <w:t>språkskyddet</w:t>
      </w:r>
      <w:proofErr w:type="spellEnd"/>
      <w:r w:rsidR="00F70C45">
        <w:t xml:space="preserve"> kan värnas utan att det skapar hinder för näringsidkarna och att internationellt verkande bolag kan fungera från Åland.</w:t>
      </w:r>
    </w:p>
    <w:p w14:paraId="6526D619" w14:textId="683594EE" w:rsidR="00157620" w:rsidRDefault="00157620" w:rsidP="00A36F29">
      <w:pPr>
        <w:pStyle w:val="ANormal"/>
      </w:pPr>
      <w:r>
        <w:tab/>
        <w:t xml:space="preserve">Utskottet är av den åsikten att näringstillstånden på sikt </w:t>
      </w:r>
      <w:r w:rsidR="00797B42">
        <w:t xml:space="preserve">ytterligare </w:t>
      </w:r>
      <w:r>
        <w:t xml:space="preserve">bör förenklas och </w:t>
      </w:r>
      <w:r w:rsidR="00797B42">
        <w:t xml:space="preserve">till exempel </w:t>
      </w:r>
      <w:r>
        <w:t>utvecklas mot ett anmälningsförfarande.</w:t>
      </w:r>
    </w:p>
    <w:p w14:paraId="630B0AE7" w14:textId="60058D1C" w:rsidR="00805088" w:rsidRDefault="00795A44" w:rsidP="00A36F29">
      <w:pPr>
        <w:pStyle w:val="ANormal"/>
      </w:pPr>
      <w:r>
        <w:tab/>
        <w:t xml:space="preserve">Utskottet önskar fästa lag- och kulturutskottets uppmärksamhet på användningen av tillfälliga näringstillstånd enligt 17 §. De flesta större nationella och internationella </w:t>
      </w:r>
      <w:r w:rsidR="00C119BB">
        <w:t>affärs</w:t>
      </w:r>
      <w:r>
        <w:t xml:space="preserve">kedjor bedriver sin verksamhet via ett nationellt bolag och kommer därför vid etablerandet av en verksamhetspunkt på Åland inte kunna </w:t>
      </w:r>
      <w:r w:rsidR="00C119BB">
        <w:t>upp</w:t>
      </w:r>
      <w:r>
        <w:t xml:space="preserve">fylla rekvisiten för att erhålla ett permanent näringstillstånd enligt 15 §. </w:t>
      </w:r>
      <w:r w:rsidR="00FC380E">
        <w:t xml:space="preserve">I villkoren för ett tillfälligt näringstillstånd står det att en förlängning av det initialt beviljade tillfälliga näringstillståndet om fem år endast kan </w:t>
      </w:r>
      <w:r w:rsidR="00F47012">
        <w:t>förlängas</w:t>
      </w:r>
      <w:r w:rsidR="00FC380E">
        <w:t xml:space="preserve"> om det finns särskilt vägande skäl. Detta innebär i praktiken att ett företag </w:t>
      </w:r>
      <w:r w:rsidR="00157620">
        <w:t xml:space="preserve">kan </w:t>
      </w:r>
      <w:r w:rsidR="00FC380E">
        <w:t>välj</w:t>
      </w:r>
      <w:r w:rsidR="00157620">
        <w:t>a</w:t>
      </w:r>
      <w:r w:rsidR="00FC380E">
        <w:t xml:space="preserve"> att </w:t>
      </w:r>
      <w:r w:rsidR="00C119BB">
        <w:t xml:space="preserve">inte </w:t>
      </w:r>
      <w:r w:rsidR="00FC380E">
        <w:t xml:space="preserve">etablera sig på Åland eftersom risken för att man tvingas lämna landskapet efter fem år </w:t>
      </w:r>
      <w:r w:rsidR="00C119BB">
        <w:t>inte kan uteslutas</w:t>
      </w:r>
      <w:r w:rsidR="00FC380E">
        <w:t>.</w:t>
      </w:r>
      <w:r>
        <w:t xml:space="preserve">  </w:t>
      </w:r>
    </w:p>
    <w:p w14:paraId="4350C759" w14:textId="500366E1" w:rsidR="00A36F29" w:rsidRDefault="00F131A4" w:rsidP="00A36F29">
      <w:pPr>
        <w:pStyle w:val="ANormal"/>
      </w:pPr>
      <w:r>
        <w:tab/>
      </w:r>
      <w:r w:rsidR="00795A44">
        <w:t xml:space="preserve">Vidare </w:t>
      </w:r>
      <w:r>
        <w:t xml:space="preserve">önskar </w:t>
      </w:r>
      <w:r w:rsidR="0032247C">
        <w:t>utskottet uppmärksam</w:t>
      </w:r>
      <w:r w:rsidR="00795A44">
        <w:t>ma</w:t>
      </w:r>
      <w:r w:rsidR="0032247C">
        <w:t xml:space="preserve"> formuleringen i 15 § 2 mom. 3 pt. gällande kravet på en faktisk </w:t>
      </w:r>
      <w:r w:rsidR="0032247C" w:rsidRPr="00157620">
        <w:t>anknytning</w:t>
      </w:r>
      <w:r w:rsidR="0032247C">
        <w:t xml:space="preserve"> till den juridiska personen. Avsikten är att förhindra att det uppstår bulvanförhållanden och i detaljmotiveringen </w:t>
      </w:r>
      <w:r w:rsidR="00F47012">
        <w:t>anges</w:t>
      </w:r>
      <w:r w:rsidR="0032247C">
        <w:t xml:space="preserve"> branschkännedom </w:t>
      </w:r>
      <w:r w:rsidR="00F47012">
        <w:t>och</w:t>
      </w:r>
      <w:r w:rsidR="0032247C">
        <w:t xml:space="preserve"> sakkunskap</w:t>
      </w:r>
      <w:r w:rsidR="00F47012">
        <w:t xml:space="preserve"> som exempel på en sty</w:t>
      </w:r>
      <w:r w:rsidR="00F47012">
        <w:lastRenderedPageBreak/>
        <w:t>relsemedlems anknytning</w:t>
      </w:r>
      <w:r w:rsidR="0032247C">
        <w:t xml:space="preserve">. Utskottet anser att det finns en risk för att formuleringen blir ett stadgande utan betydelse, eftersom begreppet </w:t>
      </w:r>
      <w:r w:rsidR="0032247C" w:rsidRPr="0032247C">
        <w:t>anknytning</w:t>
      </w:r>
      <w:r w:rsidR="0032247C">
        <w:t xml:space="preserve"> i praktiken blir svårdefinierat.</w:t>
      </w:r>
    </w:p>
    <w:p w14:paraId="778B95E0" w14:textId="4C5E884F" w:rsidR="00A272E4" w:rsidRDefault="006F2742" w:rsidP="002845F9">
      <w:pPr>
        <w:pStyle w:val="ANormal"/>
      </w:pPr>
      <w:r>
        <w:tab/>
      </w:r>
      <w:bookmarkStart w:id="3" w:name="_Toc314755009"/>
      <w:bookmarkStart w:id="4" w:name="_Toc314753406"/>
      <w:bookmarkStart w:id="5" w:name="_Toc314752844"/>
      <w:bookmarkStart w:id="6" w:name="_Toc279748925"/>
      <w:bookmarkStart w:id="7" w:name="_Toc279733747"/>
      <w:bookmarkStart w:id="8" w:name="_Toc279661186"/>
      <w:bookmarkStart w:id="9" w:name="_Toc279655450"/>
      <w:bookmarkEnd w:id="3"/>
      <w:bookmarkEnd w:id="4"/>
      <w:bookmarkEnd w:id="5"/>
      <w:bookmarkEnd w:id="6"/>
      <w:bookmarkEnd w:id="7"/>
      <w:bookmarkEnd w:id="8"/>
    </w:p>
    <w:p w14:paraId="0138D598" w14:textId="77777777" w:rsidR="00A36F29" w:rsidRPr="004A0606" w:rsidRDefault="00A36F29" w:rsidP="002845F9">
      <w:pPr>
        <w:pStyle w:val="ANormal"/>
      </w:pPr>
    </w:p>
    <w:bookmarkEnd w:id="9"/>
    <w:p w14:paraId="6F947748" w14:textId="77777777" w:rsidR="00774515" w:rsidRDefault="00774515" w:rsidP="00A419A3">
      <w:pPr>
        <w:pStyle w:val="ANormal"/>
        <w:rPr>
          <w:color w:val="000000" w:themeColor="text1"/>
        </w:rPr>
      </w:pPr>
    </w:p>
    <w:p w14:paraId="27DCF799" w14:textId="77777777" w:rsidR="002F4853" w:rsidRPr="003D13B8" w:rsidRDefault="002F4853">
      <w:pPr>
        <w:pStyle w:val="RubrikA"/>
      </w:pPr>
      <w:bookmarkStart w:id="10" w:name="_Toc529800936"/>
      <w:bookmarkStart w:id="11" w:name="_Toc98330606"/>
      <w:r w:rsidRPr="003D13B8">
        <w:t>Ärendets behandling</w:t>
      </w:r>
      <w:bookmarkEnd w:id="10"/>
      <w:bookmarkEnd w:id="11"/>
    </w:p>
    <w:p w14:paraId="63136C8A" w14:textId="77777777" w:rsidR="009A3FAE" w:rsidRPr="007B1E6C" w:rsidRDefault="009A3FAE" w:rsidP="009A3FAE">
      <w:pPr>
        <w:pStyle w:val="Rubrikmellanrum"/>
      </w:pPr>
    </w:p>
    <w:p w14:paraId="0E9B5FD0" w14:textId="36EE06A1" w:rsidR="003D13B8" w:rsidRPr="00CD0A64" w:rsidRDefault="002F4853">
      <w:pPr>
        <w:pStyle w:val="ANormal"/>
      </w:pPr>
      <w:r w:rsidRPr="00CD0A64">
        <w:t xml:space="preserve">Utskottet har i ärendet hört </w:t>
      </w:r>
      <w:proofErr w:type="spellStart"/>
      <w:r w:rsidR="00774515">
        <w:t>vicelantrådet</w:t>
      </w:r>
      <w:proofErr w:type="spellEnd"/>
      <w:r w:rsidR="00774515">
        <w:t xml:space="preserve"> Harry Jansson, ministern Fredrik Karlström</w:t>
      </w:r>
      <w:r w:rsidR="003D13B8" w:rsidRPr="00CD0A64">
        <w:t xml:space="preserve">, </w:t>
      </w:r>
      <w:r w:rsidR="00774515">
        <w:t>rättssakkunnige Rasmus Lindqvist</w:t>
      </w:r>
      <w:r w:rsidR="007505E4">
        <w:t xml:space="preserve"> </w:t>
      </w:r>
      <w:r w:rsidR="00774515">
        <w:t xml:space="preserve">samt verkställande direktören Jan-Erik </w:t>
      </w:r>
      <w:r w:rsidR="004C45E1">
        <w:t>R</w:t>
      </w:r>
      <w:r w:rsidR="00774515">
        <w:t>ask vid Ålands Näringsliv.</w:t>
      </w:r>
      <w:r w:rsidR="003D13B8" w:rsidRPr="00CD0A64">
        <w:t xml:space="preserve"> </w:t>
      </w:r>
    </w:p>
    <w:p w14:paraId="44FC5EC0" w14:textId="3C91F2E0" w:rsidR="003D13B8" w:rsidRPr="003D13B8" w:rsidRDefault="002F4853" w:rsidP="0080318B">
      <w:pPr>
        <w:pStyle w:val="ANormal"/>
        <w:rPr>
          <w:szCs w:val="22"/>
          <w:lang w:eastAsia="sv-FI"/>
        </w:rPr>
      </w:pPr>
      <w:r w:rsidRPr="00CD0A64">
        <w:tab/>
      </w:r>
      <w:r w:rsidR="0080318B" w:rsidRPr="00CD0A64">
        <w:rPr>
          <w:szCs w:val="22"/>
          <w:lang w:eastAsia="sv-FI"/>
        </w:rPr>
        <w:t xml:space="preserve">I ärendets avgörande behandling deltog ordföranden </w:t>
      </w:r>
      <w:r w:rsidR="00CD0A64" w:rsidRPr="00CD0A64">
        <w:rPr>
          <w:szCs w:val="22"/>
          <w:lang w:eastAsia="sv-FI"/>
        </w:rPr>
        <w:t>Jörgen Pettersson</w:t>
      </w:r>
      <w:r w:rsidR="003D13B8" w:rsidRPr="00CD0A64">
        <w:rPr>
          <w:szCs w:val="22"/>
          <w:lang w:eastAsia="sv-FI"/>
        </w:rPr>
        <w:t>, vice ordföranden John Holmberg, ledamöterna Ni</w:t>
      </w:r>
      <w:r w:rsidR="00CD0A64" w:rsidRPr="00CD0A64">
        <w:rPr>
          <w:szCs w:val="22"/>
          <w:lang w:eastAsia="sv-FI"/>
        </w:rPr>
        <w:t>n</w:t>
      </w:r>
      <w:r w:rsidR="003D13B8" w:rsidRPr="00CD0A64">
        <w:rPr>
          <w:szCs w:val="22"/>
          <w:lang w:eastAsia="sv-FI"/>
        </w:rPr>
        <w:t>a Fellman</w:t>
      </w:r>
      <w:r w:rsidR="009A3FAE" w:rsidRPr="00CD0A64">
        <w:rPr>
          <w:szCs w:val="22"/>
          <w:lang w:eastAsia="sv-FI"/>
        </w:rPr>
        <w:t xml:space="preserve">, </w:t>
      </w:r>
      <w:r w:rsidR="00774515">
        <w:rPr>
          <w:szCs w:val="22"/>
          <w:lang w:eastAsia="sv-FI"/>
        </w:rPr>
        <w:t xml:space="preserve">Johan Lindström, Robert </w:t>
      </w:r>
      <w:proofErr w:type="spellStart"/>
      <w:r w:rsidR="00774515">
        <w:rPr>
          <w:szCs w:val="22"/>
          <w:lang w:eastAsia="sv-FI"/>
        </w:rPr>
        <w:t>Mansén</w:t>
      </w:r>
      <w:proofErr w:type="spellEnd"/>
      <w:r w:rsidR="00774515">
        <w:rPr>
          <w:szCs w:val="22"/>
          <w:lang w:eastAsia="sv-FI"/>
        </w:rPr>
        <w:t xml:space="preserve"> och</w:t>
      </w:r>
      <w:r w:rsidR="00CD0A64" w:rsidRPr="00CD0A64">
        <w:rPr>
          <w:szCs w:val="22"/>
          <w:lang w:eastAsia="sv-FI"/>
        </w:rPr>
        <w:t xml:space="preserve"> Jörgen Strand</w:t>
      </w:r>
      <w:r w:rsidR="004C45E1">
        <w:rPr>
          <w:szCs w:val="22"/>
          <w:lang w:eastAsia="sv-FI"/>
        </w:rPr>
        <w:t xml:space="preserve"> samt ersättaren Torbjörn Eliasson</w:t>
      </w:r>
      <w:r w:rsidR="00CD0A64" w:rsidRPr="00CD0A64">
        <w:rPr>
          <w:szCs w:val="22"/>
          <w:lang w:eastAsia="sv-FI"/>
        </w:rPr>
        <w:t>.</w:t>
      </w:r>
    </w:p>
    <w:p w14:paraId="70C874FE" w14:textId="77777777" w:rsidR="00317244" w:rsidRPr="003D13B8" w:rsidRDefault="00317244">
      <w:pPr>
        <w:pStyle w:val="ANormal"/>
      </w:pPr>
    </w:p>
    <w:p w14:paraId="553D1C33" w14:textId="77777777" w:rsidR="002F4853" w:rsidRPr="003D13B8" w:rsidRDefault="002F4853">
      <w:pPr>
        <w:pStyle w:val="RubrikA"/>
        <w:rPr>
          <w:lang w:val="sv-FI"/>
        </w:rPr>
      </w:pPr>
      <w:bookmarkStart w:id="12" w:name="_Toc529800937"/>
      <w:bookmarkStart w:id="13" w:name="_Toc98330607"/>
      <w:r w:rsidRPr="003D13B8">
        <w:t>Utskottets förslag</w:t>
      </w:r>
      <w:bookmarkEnd w:id="12"/>
      <w:bookmarkEnd w:id="13"/>
    </w:p>
    <w:p w14:paraId="246FA7F8" w14:textId="77777777" w:rsidR="002F4853" w:rsidRPr="003D13B8" w:rsidRDefault="002F4853">
      <w:pPr>
        <w:pStyle w:val="Rubrikmellanrum"/>
      </w:pPr>
    </w:p>
    <w:p w14:paraId="6A8BADF5" w14:textId="77777777" w:rsidR="002F4853" w:rsidRPr="003D13B8" w:rsidRDefault="002F4853">
      <w:pPr>
        <w:pStyle w:val="ANormal"/>
      </w:pPr>
      <w:r w:rsidRPr="003D13B8">
        <w:t>Med hänvisning till det anförda föreslår utskottet</w:t>
      </w:r>
    </w:p>
    <w:p w14:paraId="0B9D7A2E" w14:textId="77777777" w:rsidR="002F4853" w:rsidRPr="003D13B8" w:rsidRDefault="002F4853">
      <w:pPr>
        <w:pStyle w:val="ANormal"/>
      </w:pPr>
    </w:p>
    <w:p w14:paraId="3364F8F3" w14:textId="2FB2939B" w:rsidR="002F4853" w:rsidRPr="003D13B8" w:rsidRDefault="002F4853">
      <w:pPr>
        <w:pStyle w:val="Klam"/>
      </w:pPr>
      <w:r w:rsidRPr="003D13B8">
        <w:t xml:space="preserve">att </w:t>
      </w:r>
      <w:r w:rsidR="00774515">
        <w:t xml:space="preserve">lag- och kulturutskottet </w:t>
      </w:r>
      <w:r w:rsidRPr="003D13B8">
        <w:t>vid uppgörande av sitt betänkande beaktar vad som anförts i detta utlåtande.</w:t>
      </w:r>
    </w:p>
    <w:p w14:paraId="43AF4BA2" w14:textId="77777777" w:rsidR="00C024E5" w:rsidRPr="003D13B8" w:rsidRDefault="00C024E5" w:rsidP="00C024E5">
      <w:pPr>
        <w:pStyle w:val="ANormal"/>
      </w:pPr>
    </w:p>
    <w:p w14:paraId="36F55906" w14:textId="77777777" w:rsidR="002F4853" w:rsidRPr="003D13B8" w:rsidRDefault="00242917">
      <w:pPr>
        <w:pStyle w:val="ANormal"/>
        <w:jc w:val="center"/>
      </w:pPr>
      <w:hyperlink w:anchor="_top" w:tooltip="Klicka för att gå till toppen av dokumentet" w:history="1">
        <w:r w:rsidR="002F4853" w:rsidRPr="003D13B8">
          <w:rPr>
            <w:rStyle w:val="Hyperlnk"/>
            <w:color w:val="auto"/>
          </w:rPr>
          <w:t>__________________</w:t>
        </w:r>
      </w:hyperlink>
    </w:p>
    <w:p w14:paraId="7D65067B" w14:textId="77777777" w:rsidR="002F4853" w:rsidRPr="003D13B8" w:rsidRDefault="002F4853">
      <w:pPr>
        <w:pStyle w:val="ANormal"/>
      </w:pPr>
    </w:p>
    <w:p w14:paraId="27B68B94" w14:textId="77777777" w:rsidR="002F4853" w:rsidRPr="003D13B8" w:rsidRDefault="002F4853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F4853" w14:paraId="50DCC55C" w14:textId="77777777">
        <w:trPr>
          <w:cantSplit/>
        </w:trPr>
        <w:tc>
          <w:tcPr>
            <w:tcW w:w="7931" w:type="dxa"/>
            <w:gridSpan w:val="2"/>
          </w:tcPr>
          <w:p w14:paraId="21158003" w14:textId="7043B635" w:rsidR="002F4853" w:rsidRDefault="00CC3054">
            <w:pPr>
              <w:pStyle w:val="ANormal"/>
              <w:keepNext/>
            </w:pPr>
            <w:r>
              <w:t>Mariehamn den</w:t>
            </w:r>
            <w:r w:rsidR="00B3634B">
              <w:t xml:space="preserve"> </w:t>
            </w:r>
            <w:r w:rsidR="00F70C45">
              <w:t>17 mars</w:t>
            </w:r>
            <w:r w:rsidR="009A3FAE">
              <w:t xml:space="preserve"> 20</w:t>
            </w:r>
            <w:r w:rsidR="00597B05">
              <w:t>2</w:t>
            </w:r>
            <w:r w:rsidR="00F70C45">
              <w:t>2</w:t>
            </w:r>
          </w:p>
        </w:tc>
      </w:tr>
      <w:tr w:rsidR="002F4853" w14:paraId="07B00FCB" w14:textId="77777777">
        <w:tc>
          <w:tcPr>
            <w:tcW w:w="4454" w:type="dxa"/>
            <w:vAlign w:val="bottom"/>
          </w:tcPr>
          <w:p w14:paraId="408C4532" w14:textId="0C79F00E" w:rsidR="002F4853" w:rsidRDefault="002F4853">
            <w:pPr>
              <w:pStyle w:val="ANormal"/>
              <w:keepNext/>
            </w:pPr>
          </w:p>
          <w:p w14:paraId="3CFAF54B" w14:textId="77777777" w:rsidR="007B1E6C" w:rsidRDefault="007B1E6C">
            <w:pPr>
              <w:pStyle w:val="ANormal"/>
              <w:keepNext/>
            </w:pPr>
          </w:p>
          <w:p w14:paraId="604762C8" w14:textId="77777777" w:rsidR="002F4853" w:rsidRDefault="002F4853">
            <w:pPr>
              <w:pStyle w:val="ANormal"/>
              <w:keepNext/>
            </w:pPr>
          </w:p>
          <w:p w14:paraId="2DA587C5" w14:textId="77777777" w:rsidR="002F4853" w:rsidRDefault="002F4853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425666BC" w14:textId="1254E5D4" w:rsidR="002F4853" w:rsidRDefault="003D13B8">
            <w:pPr>
              <w:pStyle w:val="ANormal"/>
              <w:keepNext/>
              <w:rPr>
                <w:lang w:val="en-GB"/>
              </w:rPr>
            </w:pPr>
            <w:proofErr w:type="spellStart"/>
            <w:r>
              <w:rPr>
                <w:lang w:val="en-GB"/>
              </w:rPr>
              <w:t>Jörgen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Pettersson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2F4853" w14:paraId="73DCE6B4" w14:textId="77777777">
        <w:tc>
          <w:tcPr>
            <w:tcW w:w="4454" w:type="dxa"/>
            <w:vAlign w:val="bottom"/>
          </w:tcPr>
          <w:p w14:paraId="085A9BE4" w14:textId="77777777" w:rsidR="002F4853" w:rsidRDefault="002F4853">
            <w:pPr>
              <w:pStyle w:val="ANormal"/>
              <w:keepNext/>
              <w:rPr>
                <w:lang w:val="en-GB"/>
              </w:rPr>
            </w:pPr>
          </w:p>
          <w:p w14:paraId="171B35B3" w14:textId="77777777" w:rsidR="002F4853" w:rsidRDefault="002F4853">
            <w:pPr>
              <w:pStyle w:val="ANormal"/>
              <w:keepNext/>
              <w:rPr>
                <w:lang w:val="en-GB"/>
              </w:rPr>
            </w:pPr>
          </w:p>
          <w:p w14:paraId="09E7CC87" w14:textId="77777777" w:rsidR="002F4853" w:rsidRDefault="002F4853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1C9E08DF" w14:textId="5E01C06B" w:rsidR="002F4853" w:rsidRDefault="002F4853">
            <w:pPr>
              <w:pStyle w:val="ANormal"/>
              <w:keepNext/>
            </w:pPr>
          </w:p>
          <w:p w14:paraId="043FB0E0" w14:textId="1A713959" w:rsidR="003D13B8" w:rsidRDefault="003D13B8">
            <w:pPr>
              <w:pStyle w:val="ANormal"/>
              <w:keepNext/>
            </w:pPr>
          </w:p>
          <w:p w14:paraId="04B1D91D" w14:textId="77777777" w:rsidR="003D13B8" w:rsidRDefault="003D13B8">
            <w:pPr>
              <w:pStyle w:val="ANormal"/>
              <w:keepNext/>
            </w:pPr>
          </w:p>
          <w:p w14:paraId="75C724D5" w14:textId="3A88B027" w:rsidR="002F4853" w:rsidRDefault="00F70C45">
            <w:pPr>
              <w:pStyle w:val="ANormal"/>
              <w:keepNext/>
            </w:pPr>
            <w:r>
              <w:t>Sten Eriksson</w:t>
            </w:r>
          </w:p>
        </w:tc>
      </w:tr>
    </w:tbl>
    <w:p w14:paraId="7C8B73CF" w14:textId="77777777" w:rsidR="002F4853" w:rsidRDefault="002F4853">
      <w:pPr>
        <w:pStyle w:val="ANormal"/>
      </w:pPr>
    </w:p>
    <w:sectPr w:rsidR="002F4853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44FF" w14:textId="77777777" w:rsidR="00CC5D30" w:rsidRDefault="00CC5D30">
      <w:r>
        <w:separator/>
      </w:r>
    </w:p>
  </w:endnote>
  <w:endnote w:type="continuationSeparator" w:id="0">
    <w:p w14:paraId="1F8AE43D" w14:textId="77777777" w:rsidR="00CC5D30" w:rsidRDefault="00CC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7F1C" w14:textId="77777777" w:rsidR="0080561F" w:rsidRDefault="0080561F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9136" w14:textId="77777777" w:rsidR="007B1E6C" w:rsidRDefault="007B1E6C" w:rsidP="007B1E6C">
    <w:pPr>
      <w:pStyle w:val="Sidfot"/>
      <w:rPr>
        <w:highlight w:val="yellow"/>
      </w:rPr>
    </w:pPr>
  </w:p>
  <w:p w14:paraId="28E190F2" w14:textId="24361BBE" w:rsidR="00D52BF1" w:rsidRPr="007B1E6C" w:rsidRDefault="007B1E6C" w:rsidP="007B1E6C">
    <w:pPr>
      <w:pStyle w:val="Sidfot"/>
      <w:rPr>
        <w:lang w:val="fi-FI"/>
      </w:rPr>
    </w:pPr>
    <w:r w:rsidRPr="00B604DD">
      <w:fldChar w:fldCharType="begin"/>
    </w:r>
    <w:r w:rsidRPr="00B604DD">
      <w:rPr>
        <w:lang w:val="fi-FI"/>
      </w:rPr>
      <w:instrText xml:space="preserve"> FILENAME  \* MERGEFORMAT </w:instrText>
    </w:r>
    <w:r w:rsidRPr="00B604DD">
      <w:fldChar w:fldCharType="separate"/>
    </w:r>
    <w:r w:rsidR="00F47012">
      <w:rPr>
        <w:noProof/>
        <w:lang w:val="fi-FI"/>
      </w:rPr>
      <w:t>Utlåtande om näringsrätten och näringstillstånd.docx</w:t>
    </w:r>
    <w:r w:rsidRPr="00B604D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E09C" w14:textId="77777777" w:rsidR="0080561F" w:rsidRDefault="008056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C61C" w14:textId="77777777" w:rsidR="00CC5D30" w:rsidRDefault="00CC5D30">
      <w:r>
        <w:separator/>
      </w:r>
    </w:p>
  </w:footnote>
  <w:footnote w:type="continuationSeparator" w:id="0">
    <w:p w14:paraId="30B435CD" w14:textId="77777777" w:rsidR="00CC5D30" w:rsidRDefault="00CC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C2A5" w14:textId="2204A584" w:rsidR="0080561F" w:rsidRDefault="0080561F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F10F6">
      <w:rPr>
        <w:rStyle w:val="Sidnummer"/>
        <w:noProof/>
      </w:rPr>
      <w:t>2</w:t>
    </w:r>
    <w:r>
      <w:rPr>
        <w:rStyle w:val="Sidnummer"/>
      </w:rPr>
      <w:fldChar w:fldCharType="end"/>
    </w:r>
  </w:p>
  <w:p w14:paraId="5BE3EB63" w14:textId="77777777" w:rsidR="0080561F" w:rsidRDefault="008056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2B17" w14:textId="607C3BCF" w:rsidR="0080561F" w:rsidRDefault="0080561F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950CE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F0A28"/>
    <w:multiLevelType w:val="hybridMultilevel"/>
    <w:tmpl w:val="74F8EAA0"/>
    <w:lvl w:ilvl="0" w:tplc="872E7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37"/>
    <w:rsid w:val="00014ADF"/>
    <w:rsid w:val="000177FC"/>
    <w:rsid w:val="00026859"/>
    <w:rsid w:val="000321BD"/>
    <w:rsid w:val="00034B29"/>
    <w:rsid w:val="000519A5"/>
    <w:rsid w:val="00052C1E"/>
    <w:rsid w:val="00060F02"/>
    <w:rsid w:val="000702B2"/>
    <w:rsid w:val="00075DDB"/>
    <w:rsid w:val="0009398E"/>
    <w:rsid w:val="000A3F2E"/>
    <w:rsid w:val="000D405C"/>
    <w:rsid w:val="001015E9"/>
    <w:rsid w:val="0010364C"/>
    <w:rsid w:val="0010435C"/>
    <w:rsid w:val="00105A10"/>
    <w:rsid w:val="001069C5"/>
    <w:rsid w:val="0010728F"/>
    <w:rsid w:val="0010764C"/>
    <w:rsid w:val="0012228F"/>
    <w:rsid w:val="00126737"/>
    <w:rsid w:val="00133DC1"/>
    <w:rsid w:val="00134EFE"/>
    <w:rsid w:val="00145049"/>
    <w:rsid w:val="00145567"/>
    <w:rsid w:val="00145822"/>
    <w:rsid w:val="00152995"/>
    <w:rsid w:val="00154A0B"/>
    <w:rsid w:val="00157620"/>
    <w:rsid w:val="00184AD6"/>
    <w:rsid w:val="00185E48"/>
    <w:rsid w:val="00196E41"/>
    <w:rsid w:val="001A2CCE"/>
    <w:rsid w:val="001A5DE9"/>
    <w:rsid w:val="001B209F"/>
    <w:rsid w:val="001E26D4"/>
    <w:rsid w:val="001F097E"/>
    <w:rsid w:val="00201B43"/>
    <w:rsid w:val="00227D7C"/>
    <w:rsid w:val="00242917"/>
    <w:rsid w:val="00246B7A"/>
    <w:rsid w:val="002845F9"/>
    <w:rsid w:val="00285253"/>
    <w:rsid w:val="00295727"/>
    <w:rsid w:val="002C318D"/>
    <w:rsid w:val="002C37C7"/>
    <w:rsid w:val="002D67D5"/>
    <w:rsid w:val="002F4853"/>
    <w:rsid w:val="00302422"/>
    <w:rsid w:val="00314564"/>
    <w:rsid w:val="00317244"/>
    <w:rsid w:val="0032247C"/>
    <w:rsid w:val="00333FCE"/>
    <w:rsid w:val="00342D07"/>
    <w:rsid w:val="0034386F"/>
    <w:rsid w:val="003529F9"/>
    <w:rsid w:val="00355289"/>
    <w:rsid w:val="00384C15"/>
    <w:rsid w:val="003A1EF2"/>
    <w:rsid w:val="003A2238"/>
    <w:rsid w:val="003C00DD"/>
    <w:rsid w:val="003C0894"/>
    <w:rsid w:val="003D13B8"/>
    <w:rsid w:val="004167BE"/>
    <w:rsid w:val="0041765E"/>
    <w:rsid w:val="00432006"/>
    <w:rsid w:val="00446E7F"/>
    <w:rsid w:val="0046329D"/>
    <w:rsid w:val="00477CCB"/>
    <w:rsid w:val="00481C54"/>
    <w:rsid w:val="004A0606"/>
    <w:rsid w:val="004A4603"/>
    <w:rsid w:val="004B6D99"/>
    <w:rsid w:val="004C1191"/>
    <w:rsid w:val="004C350F"/>
    <w:rsid w:val="004C45E1"/>
    <w:rsid w:val="00503597"/>
    <w:rsid w:val="005117EC"/>
    <w:rsid w:val="00513C17"/>
    <w:rsid w:val="00520FDF"/>
    <w:rsid w:val="00531997"/>
    <w:rsid w:val="0057037D"/>
    <w:rsid w:val="005734AA"/>
    <w:rsid w:val="005814B5"/>
    <w:rsid w:val="00597B05"/>
    <w:rsid w:val="005A0562"/>
    <w:rsid w:val="005A415D"/>
    <w:rsid w:val="005B2809"/>
    <w:rsid w:val="005B337E"/>
    <w:rsid w:val="005D0986"/>
    <w:rsid w:val="005D2477"/>
    <w:rsid w:val="005D72C7"/>
    <w:rsid w:val="005F0641"/>
    <w:rsid w:val="00601E12"/>
    <w:rsid w:val="0060388E"/>
    <w:rsid w:val="00630D77"/>
    <w:rsid w:val="00633B52"/>
    <w:rsid w:val="00642896"/>
    <w:rsid w:val="00642A32"/>
    <w:rsid w:val="0065321A"/>
    <w:rsid w:val="006578BD"/>
    <w:rsid w:val="00662B62"/>
    <w:rsid w:val="0069318E"/>
    <w:rsid w:val="006A0128"/>
    <w:rsid w:val="006A2FF0"/>
    <w:rsid w:val="006B1133"/>
    <w:rsid w:val="006C1120"/>
    <w:rsid w:val="006C7073"/>
    <w:rsid w:val="006D3932"/>
    <w:rsid w:val="006F2742"/>
    <w:rsid w:val="006F279F"/>
    <w:rsid w:val="006F2F4B"/>
    <w:rsid w:val="006F7A88"/>
    <w:rsid w:val="007024AA"/>
    <w:rsid w:val="00707874"/>
    <w:rsid w:val="007132DB"/>
    <w:rsid w:val="0071390F"/>
    <w:rsid w:val="00717E49"/>
    <w:rsid w:val="00720531"/>
    <w:rsid w:val="00735116"/>
    <w:rsid w:val="00741AA6"/>
    <w:rsid w:val="007505E4"/>
    <w:rsid w:val="00760634"/>
    <w:rsid w:val="00765212"/>
    <w:rsid w:val="00774282"/>
    <w:rsid w:val="00774515"/>
    <w:rsid w:val="00786B3D"/>
    <w:rsid w:val="00795A44"/>
    <w:rsid w:val="00797B42"/>
    <w:rsid w:val="007B1E6C"/>
    <w:rsid w:val="007B58C2"/>
    <w:rsid w:val="007D19EE"/>
    <w:rsid w:val="007D665C"/>
    <w:rsid w:val="007E3594"/>
    <w:rsid w:val="007F0AB9"/>
    <w:rsid w:val="007F1BC3"/>
    <w:rsid w:val="0080318B"/>
    <w:rsid w:val="00805088"/>
    <w:rsid w:val="0080561F"/>
    <w:rsid w:val="00811402"/>
    <w:rsid w:val="00811A77"/>
    <w:rsid w:val="00812A84"/>
    <w:rsid w:val="00815C13"/>
    <w:rsid w:val="00815DCB"/>
    <w:rsid w:val="008225E7"/>
    <w:rsid w:val="00832B07"/>
    <w:rsid w:val="00840003"/>
    <w:rsid w:val="008418A7"/>
    <w:rsid w:val="0087552A"/>
    <w:rsid w:val="00882939"/>
    <w:rsid w:val="00887E5E"/>
    <w:rsid w:val="008B281B"/>
    <w:rsid w:val="008B301E"/>
    <w:rsid w:val="008B67F6"/>
    <w:rsid w:val="008D3767"/>
    <w:rsid w:val="008E2904"/>
    <w:rsid w:val="00900CDF"/>
    <w:rsid w:val="009438E3"/>
    <w:rsid w:val="00951E71"/>
    <w:rsid w:val="0095743E"/>
    <w:rsid w:val="009708A6"/>
    <w:rsid w:val="00974704"/>
    <w:rsid w:val="00986135"/>
    <w:rsid w:val="00987BB6"/>
    <w:rsid w:val="00994BB4"/>
    <w:rsid w:val="009A3FAE"/>
    <w:rsid w:val="009C39D1"/>
    <w:rsid w:val="009E21B7"/>
    <w:rsid w:val="00A02C3F"/>
    <w:rsid w:val="00A060BE"/>
    <w:rsid w:val="00A07D1C"/>
    <w:rsid w:val="00A1223D"/>
    <w:rsid w:val="00A13C91"/>
    <w:rsid w:val="00A272E4"/>
    <w:rsid w:val="00A31BD2"/>
    <w:rsid w:val="00A3429C"/>
    <w:rsid w:val="00A36778"/>
    <w:rsid w:val="00A36F29"/>
    <w:rsid w:val="00A419A3"/>
    <w:rsid w:val="00A41CBD"/>
    <w:rsid w:val="00A51884"/>
    <w:rsid w:val="00A63D6E"/>
    <w:rsid w:val="00A95CA2"/>
    <w:rsid w:val="00AC0827"/>
    <w:rsid w:val="00AC77C4"/>
    <w:rsid w:val="00AF2D03"/>
    <w:rsid w:val="00B02F69"/>
    <w:rsid w:val="00B030FA"/>
    <w:rsid w:val="00B0453E"/>
    <w:rsid w:val="00B05A7C"/>
    <w:rsid w:val="00B071A2"/>
    <w:rsid w:val="00B146FA"/>
    <w:rsid w:val="00B31652"/>
    <w:rsid w:val="00B3634B"/>
    <w:rsid w:val="00B60852"/>
    <w:rsid w:val="00B6510E"/>
    <w:rsid w:val="00B751A6"/>
    <w:rsid w:val="00B86247"/>
    <w:rsid w:val="00BA1F55"/>
    <w:rsid w:val="00BB2088"/>
    <w:rsid w:val="00BB3041"/>
    <w:rsid w:val="00BF7A76"/>
    <w:rsid w:val="00BF7E86"/>
    <w:rsid w:val="00C024E5"/>
    <w:rsid w:val="00C119BB"/>
    <w:rsid w:val="00C26F77"/>
    <w:rsid w:val="00C516DE"/>
    <w:rsid w:val="00C60F01"/>
    <w:rsid w:val="00C61424"/>
    <w:rsid w:val="00C62507"/>
    <w:rsid w:val="00C869C9"/>
    <w:rsid w:val="00C94EB9"/>
    <w:rsid w:val="00C950CE"/>
    <w:rsid w:val="00C9771A"/>
    <w:rsid w:val="00CA7669"/>
    <w:rsid w:val="00CB3156"/>
    <w:rsid w:val="00CC3054"/>
    <w:rsid w:val="00CC45C2"/>
    <w:rsid w:val="00CC5D30"/>
    <w:rsid w:val="00CD0A64"/>
    <w:rsid w:val="00CD1FFB"/>
    <w:rsid w:val="00CD3357"/>
    <w:rsid w:val="00CE4EFB"/>
    <w:rsid w:val="00CE6CB4"/>
    <w:rsid w:val="00D05D18"/>
    <w:rsid w:val="00D11BD0"/>
    <w:rsid w:val="00D279C6"/>
    <w:rsid w:val="00D410AA"/>
    <w:rsid w:val="00D43C87"/>
    <w:rsid w:val="00D52BF1"/>
    <w:rsid w:val="00D56545"/>
    <w:rsid w:val="00D57140"/>
    <w:rsid w:val="00D72E36"/>
    <w:rsid w:val="00D81DBD"/>
    <w:rsid w:val="00D84D25"/>
    <w:rsid w:val="00D85E89"/>
    <w:rsid w:val="00D9242F"/>
    <w:rsid w:val="00DC2EF6"/>
    <w:rsid w:val="00DC624D"/>
    <w:rsid w:val="00DD3A53"/>
    <w:rsid w:val="00DE6B26"/>
    <w:rsid w:val="00E04FB9"/>
    <w:rsid w:val="00E05FEF"/>
    <w:rsid w:val="00E31B25"/>
    <w:rsid w:val="00E46DCF"/>
    <w:rsid w:val="00E4774A"/>
    <w:rsid w:val="00E66DDA"/>
    <w:rsid w:val="00E87EF9"/>
    <w:rsid w:val="00E9711D"/>
    <w:rsid w:val="00E971C6"/>
    <w:rsid w:val="00E97905"/>
    <w:rsid w:val="00EA1109"/>
    <w:rsid w:val="00EC0CC5"/>
    <w:rsid w:val="00EC1B68"/>
    <w:rsid w:val="00EC242D"/>
    <w:rsid w:val="00EC58EF"/>
    <w:rsid w:val="00EF10F6"/>
    <w:rsid w:val="00EF30EF"/>
    <w:rsid w:val="00F025E6"/>
    <w:rsid w:val="00F02D8E"/>
    <w:rsid w:val="00F06CDF"/>
    <w:rsid w:val="00F131A4"/>
    <w:rsid w:val="00F1464E"/>
    <w:rsid w:val="00F214A6"/>
    <w:rsid w:val="00F215DA"/>
    <w:rsid w:val="00F259FB"/>
    <w:rsid w:val="00F357DF"/>
    <w:rsid w:val="00F36CDB"/>
    <w:rsid w:val="00F378EF"/>
    <w:rsid w:val="00F47012"/>
    <w:rsid w:val="00F70C45"/>
    <w:rsid w:val="00F94F26"/>
    <w:rsid w:val="00FA3CB9"/>
    <w:rsid w:val="00FB5C88"/>
    <w:rsid w:val="00FB622A"/>
    <w:rsid w:val="00FC380E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02A00"/>
  <w15:chartTrackingRefBased/>
  <w15:docId w15:val="{797A29B4-D4DB-40CA-BFBD-E3616BE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0F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20FDF"/>
    <w:rPr>
      <w:rFonts w:ascii="Tahoma" w:hAnsi="Tahoma" w:cs="Tahoma"/>
      <w:sz w:val="16"/>
      <w:szCs w:val="16"/>
    </w:rPr>
  </w:style>
  <w:style w:type="paragraph" w:customStyle="1" w:styleId="anormal0">
    <w:name w:val="anormal"/>
    <w:basedOn w:val="Normal"/>
    <w:rsid w:val="00DC2EF6"/>
    <w:pPr>
      <w:jc w:val="both"/>
    </w:pPr>
    <w:rPr>
      <w:sz w:val="22"/>
      <w:szCs w:val="22"/>
    </w:rPr>
  </w:style>
  <w:style w:type="paragraph" w:customStyle="1" w:styleId="Default">
    <w:name w:val="Default"/>
    <w:rsid w:val="006578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A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8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gtinget.ax/dokument/meddelande-22019-2020-466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FNU utlåtande</vt:lpstr>
      <vt:lpstr>Social- och miljöulturutskottets utlåtande</vt:lpstr>
    </vt:vector>
  </TitlesOfParts>
  <Company>Ålands lagting</Company>
  <LinksUpToDate>false</LinksUpToDate>
  <CharactersWithSpaces>4196</CharactersWithSpaces>
  <SharedDoc>false</SharedDoc>
  <HLinks>
    <vt:vector size="48" baseType="variant"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_Toc447791331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_Toc447791330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_Toc447791329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_Toc447791328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_Toc447791327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_Toc447791326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_Toc447791325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FNU utlåtande</dc:title>
  <dc:subject/>
  <dc:creator>Ålands lagting</dc:creator>
  <cp:keywords/>
  <cp:lastModifiedBy>Jessica Laaksonen</cp:lastModifiedBy>
  <cp:revision>2</cp:revision>
  <cp:lastPrinted>2022-03-16T11:28:00Z</cp:lastPrinted>
  <dcterms:created xsi:type="dcterms:W3CDTF">2022-04-08T10:54:00Z</dcterms:created>
  <dcterms:modified xsi:type="dcterms:W3CDTF">2022-04-08T10:54:00Z</dcterms:modified>
</cp:coreProperties>
</file>