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AE4682C" w14:textId="77777777">
        <w:trPr>
          <w:cantSplit/>
          <w:trHeight w:val="20"/>
        </w:trPr>
        <w:tc>
          <w:tcPr>
            <w:tcW w:w="861" w:type="dxa"/>
            <w:vMerge w:val="restart"/>
          </w:tcPr>
          <w:p w14:paraId="5FD332FF" w14:textId="4694D367" w:rsidR="00AF3004" w:rsidRDefault="001F49BC">
            <w:pPr>
              <w:pStyle w:val="xLedtext"/>
              <w:keepNext/>
              <w:rPr>
                <w:noProof/>
              </w:rPr>
            </w:pPr>
            <w:r>
              <w:rPr>
                <w:noProof/>
                <w:sz w:val="20"/>
              </w:rPr>
              <w:drawing>
                <wp:anchor distT="0" distB="0" distL="114300" distR="114300" simplePos="0" relativeHeight="251657728" behindDoc="0" locked="0" layoutInCell="1" allowOverlap="1" wp14:anchorId="7681A486" wp14:editId="7B45FA00">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4584F3B" w14:textId="6045454D" w:rsidR="00AF3004" w:rsidRDefault="001F49BC">
            <w:pPr>
              <w:pStyle w:val="xMellanrum"/>
            </w:pPr>
            <w:r>
              <w:rPr>
                <w:noProof/>
              </w:rPr>
              <w:drawing>
                <wp:inline distT="0" distB="0" distL="0" distR="0" wp14:anchorId="59185F64" wp14:editId="713D85D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D90F4E7" w14:textId="77777777">
        <w:trPr>
          <w:cantSplit/>
          <w:trHeight w:val="299"/>
        </w:trPr>
        <w:tc>
          <w:tcPr>
            <w:tcW w:w="861" w:type="dxa"/>
            <w:vMerge/>
          </w:tcPr>
          <w:p w14:paraId="777D1C60" w14:textId="77777777" w:rsidR="00AF3004" w:rsidRDefault="00AF3004">
            <w:pPr>
              <w:pStyle w:val="xLedtext"/>
            </w:pPr>
          </w:p>
        </w:tc>
        <w:tc>
          <w:tcPr>
            <w:tcW w:w="4448" w:type="dxa"/>
            <w:vAlign w:val="bottom"/>
          </w:tcPr>
          <w:p w14:paraId="15B67827" w14:textId="77777777" w:rsidR="00AF3004" w:rsidRDefault="00AF3004">
            <w:pPr>
              <w:pStyle w:val="xAvsandare1"/>
            </w:pPr>
          </w:p>
        </w:tc>
        <w:tc>
          <w:tcPr>
            <w:tcW w:w="4288" w:type="dxa"/>
            <w:gridSpan w:val="2"/>
            <w:vAlign w:val="bottom"/>
          </w:tcPr>
          <w:p w14:paraId="142C2B97" w14:textId="1EA79217" w:rsidR="00AF3004" w:rsidRDefault="0073519C">
            <w:pPr>
              <w:pStyle w:val="xDokTypNr"/>
            </w:pPr>
            <w:r>
              <w:t>LAGFÖRSLAG</w:t>
            </w:r>
            <w:r w:rsidR="00AF3004">
              <w:t xml:space="preserve"> nr </w:t>
            </w:r>
            <w:r w:rsidR="006A08C9">
              <w:t>4</w:t>
            </w:r>
            <w:r w:rsidR="00AF3004">
              <w:t>/20</w:t>
            </w:r>
            <w:r w:rsidR="001F49BC">
              <w:t>21–</w:t>
            </w:r>
            <w:r w:rsidR="00AF3004">
              <w:t>20</w:t>
            </w:r>
            <w:r w:rsidR="001F49BC">
              <w:t>22</w:t>
            </w:r>
          </w:p>
        </w:tc>
      </w:tr>
      <w:tr w:rsidR="00AF3004" w14:paraId="7BB573EE" w14:textId="77777777">
        <w:trPr>
          <w:cantSplit/>
          <w:trHeight w:val="238"/>
        </w:trPr>
        <w:tc>
          <w:tcPr>
            <w:tcW w:w="861" w:type="dxa"/>
            <w:vMerge/>
          </w:tcPr>
          <w:p w14:paraId="3D1032D6" w14:textId="77777777" w:rsidR="00AF3004" w:rsidRDefault="00AF3004">
            <w:pPr>
              <w:pStyle w:val="xLedtext"/>
            </w:pPr>
          </w:p>
        </w:tc>
        <w:tc>
          <w:tcPr>
            <w:tcW w:w="4448" w:type="dxa"/>
            <w:vAlign w:val="bottom"/>
          </w:tcPr>
          <w:p w14:paraId="317B0B64" w14:textId="77777777" w:rsidR="00AF3004" w:rsidRDefault="00AF3004">
            <w:pPr>
              <w:pStyle w:val="xLedtext"/>
            </w:pPr>
          </w:p>
        </w:tc>
        <w:tc>
          <w:tcPr>
            <w:tcW w:w="1725" w:type="dxa"/>
            <w:vAlign w:val="bottom"/>
          </w:tcPr>
          <w:p w14:paraId="5870D863" w14:textId="77777777" w:rsidR="00AF3004" w:rsidRDefault="00AF3004">
            <w:pPr>
              <w:pStyle w:val="xLedtext"/>
              <w:rPr>
                <w:lang w:val="de-DE"/>
              </w:rPr>
            </w:pPr>
            <w:r>
              <w:rPr>
                <w:lang w:val="de-DE"/>
              </w:rPr>
              <w:t>Datum</w:t>
            </w:r>
          </w:p>
        </w:tc>
        <w:tc>
          <w:tcPr>
            <w:tcW w:w="2563" w:type="dxa"/>
            <w:vAlign w:val="bottom"/>
          </w:tcPr>
          <w:p w14:paraId="7C2A3EBB" w14:textId="77777777" w:rsidR="00AF3004" w:rsidRDefault="00AF3004">
            <w:pPr>
              <w:pStyle w:val="xLedtext"/>
              <w:rPr>
                <w:lang w:val="de-DE"/>
              </w:rPr>
            </w:pPr>
          </w:p>
        </w:tc>
      </w:tr>
      <w:tr w:rsidR="00AF3004" w14:paraId="72AEB4B8" w14:textId="77777777">
        <w:trPr>
          <w:cantSplit/>
          <w:trHeight w:val="238"/>
        </w:trPr>
        <w:tc>
          <w:tcPr>
            <w:tcW w:w="861" w:type="dxa"/>
            <w:vMerge/>
          </w:tcPr>
          <w:p w14:paraId="7B2D7628" w14:textId="77777777" w:rsidR="00AF3004" w:rsidRDefault="00AF3004">
            <w:pPr>
              <w:pStyle w:val="xAvsandare2"/>
              <w:rPr>
                <w:lang w:val="de-DE"/>
              </w:rPr>
            </w:pPr>
          </w:p>
        </w:tc>
        <w:tc>
          <w:tcPr>
            <w:tcW w:w="4448" w:type="dxa"/>
            <w:vAlign w:val="center"/>
          </w:tcPr>
          <w:p w14:paraId="1A1AD0BF" w14:textId="77777777" w:rsidR="00AF3004" w:rsidRDefault="00AF3004">
            <w:pPr>
              <w:pStyle w:val="xAvsandare2"/>
              <w:rPr>
                <w:lang w:val="de-DE"/>
              </w:rPr>
            </w:pPr>
          </w:p>
        </w:tc>
        <w:tc>
          <w:tcPr>
            <w:tcW w:w="1725" w:type="dxa"/>
            <w:vAlign w:val="center"/>
          </w:tcPr>
          <w:p w14:paraId="11C6FEBD" w14:textId="06A9F903" w:rsidR="00AF3004" w:rsidRDefault="00AF3004">
            <w:pPr>
              <w:pStyle w:val="xDatum1"/>
              <w:rPr>
                <w:lang w:val="de-DE"/>
              </w:rPr>
            </w:pPr>
            <w:r>
              <w:rPr>
                <w:lang w:val="de-DE"/>
              </w:rPr>
              <w:t>20</w:t>
            </w:r>
            <w:r w:rsidR="006A08C9">
              <w:rPr>
                <w:lang w:val="de-DE"/>
              </w:rPr>
              <w:t>21</w:t>
            </w:r>
            <w:r>
              <w:rPr>
                <w:lang w:val="de-DE"/>
              </w:rPr>
              <w:t>-</w:t>
            </w:r>
            <w:r w:rsidR="006A08C9">
              <w:rPr>
                <w:lang w:val="de-DE"/>
              </w:rPr>
              <w:t>12</w:t>
            </w:r>
            <w:r>
              <w:rPr>
                <w:lang w:val="de-DE"/>
              </w:rPr>
              <w:t>-</w:t>
            </w:r>
            <w:r w:rsidR="006A08C9">
              <w:rPr>
                <w:lang w:val="de-DE"/>
              </w:rPr>
              <w:t>09</w:t>
            </w:r>
          </w:p>
        </w:tc>
        <w:tc>
          <w:tcPr>
            <w:tcW w:w="2563" w:type="dxa"/>
            <w:vAlign w:val="center"/>
          </w:tcPr>
          <w:p w14:paraId="1A2759DA" w14:textId="77777777" w:rsidR="00AF3004" w:rsidRDefault="00AF3004">
            <w:pPr>
              <w:pStyle w:val="xBeteckning1"/>
              <w:rPr>
                <w:lang w:val="de-DE"/>
              </w:rPr>
            </w:pPr>
          </w:p>
        </w:tc>
      </w:tr>
      <w:tr w:rsidR="00AF3004" w14:paraId="158A43EF" w14:textId="77777777">
        <w:trPr>
          <w:cantSplit/>
          <w:trHeight w:val="238"/>
        </w:trPr>
        <w:tc>
          <w:tcPr>
            <w:tcW w:w="861" w:type="dxa"/>
            <w:vMerge/>
          </w:tcPr>
          <w:p w14:paraId="3357DD59" w14:textId="77777777" w:rsidR="00AF3004" w:rsidRDefault="00AF3004">
            <w:pPr>
              <w:pStyle w:val="xLedtext"/>
              <w:rPr>
                <w:lang w:val="de-DE"/>
              </w:rPr>
            </w:pPr>
          </w:p>
        </w:tc>
        <w:tc>
          <w:tcPr>
            <w:tcW w:w="4448" w:type="dxa"/>
            <w:vAlign w:val="bottom"/>
          </w:tcPr>
          <w:p w14:paraId="4CD36564" w14:textId="77777777" w:rsidR="00AF3004" w:rsidRDefault="00AF3004">
            <w:pPr>
              <w:pStyle w:val="xLedtext"/>
              <w:rPr>
                <w:lang w:val="de-DE"/>
              </w:rPr>
            </w:pPr>
          </w:p>
        </w:tc>
        <w:tc>
          <w:tcPr>
            <w:tcW w:w="1725" w:type="dxa"/>
            <w:vAlign w:val="bottom"/>
          </w:tcPr>
          <w:p w14:paraId="64E580CC" w14:textId="77777777" w:rsidR="00AF3004" w:rsidRDefault="00AF3004">
            <w:pPr>
              <w:pStyle w:val="xLedtext"/>
              <w:rPr>
                <w:lang w:val="de-DE"/>
              </w:rPr>
            </w:pPr>
          </w:p>
        </w:tc>
        <w:tc>
          <w:tcPr>
            <w:tcW w:w="2563" w:type="dxa"/>
            <w:vAlign w:val="bottom"/>
          </w:tcPr>
          <w:p w14:paraId="538AF949" w14:textId="77777777" w:rsidR="00AF3004" w:rsidRDefault="00AF3004">
            <w:pPr>
              <w:pStyle w:val="xLedtext"/>
              <w:rPr>
                <w:lang w:val="de-DE"/>
              </w:rPr>
            </w:pPr>
          </w:p>
        </w:tc>
      </w:tr>
      <w:tr w:rsidR="00AF3004" w14:paraId="5E52F240" w14:textId="77777777">
        <w:trPr>
          <w:cantSplit/>
          <w:trHeight w:val="238"/>
        </w:trPr>
        <w:tc>
          <w:tcPr>
            <w:tcW w:w="861" w:type="dxa"/>
            <w:vMerge/>
            <w:tcBorders>
              <w:bottom w:val="single" w:sz="4" w:space="0" w:color="auto"/>
            </w:tcBorders>
          </w:tcPr>
          <w:p w14:paraId="745CD634" w14:textId="77777777" w:rsidR="00AF3004" w:rsidRDefault="00AF3004">
            <w:pPr>
              <w:pStyle w:val="xAvsandare3"/>
              <w:rPr>
                <w:lang w:val="de-DE"/>
              </w:rPr>
            </w:pPr>
          </w:p>
        </w:tc>
        <w:tc>
          <w:tcPr>
            <w:tcW w:w="4448" w:type="dxa"/>
            <w:tcBorders>
              <w:bottom w:val="single" w:sz="4" w:space="0" w:color="auto"/>
            </w:tcBorders>
            <w:vAlign w:val="center"/>
          </w:tcPr>
          <w:p w14:paraId="28927371" w14:textId="77777777" w:rsidR="00AF3004" w:rsidRDefault="00AF3004">
            <w:pPr>
              <w:pStyle w:val="xAvsandare3"/>
              <w:rPr>
                <w:lang w:val="de-DE"/>
              </w:rPr>
            </w:pPr>
          </w:p>
        </w:tc>
        <w:tc>
          <w:tcPr>
            <w:tcW w:w="1725" w:type="dxa"/>
            <w:tcBorders>
              <w:bottom w:val="single" w:sz="4" w:space="0" w:color="auto"/>
            </w:tcBorders>
            <w:vAlign w:val="center"/>
          </w:tcPr>
          <w:p w14:paraId="156374EB" w14:textId="77777777" w:rsidR="00AF3004" w:rsidRDefault="00AF3004">
            <w:pPr>
              <w:pStyle w:val="xDatum2"/>
              <w:rPr>
                <w:lang w:val="de-DE"/>
              </w:rPr>
            </w:pPr>
          </w:p>
        </w:tc>
        <w:tc>
          <w:tcPr>
            <w:tcW w:w="2563" w:type="dxa"/>
            <w:tcBorders>
              <w:bottom w:val="single" w:sz="4" w:space="0" w:color="auto"/>
            </w:tcBorders>
            <w:vAlign w:val="center"/>
          </w:tcPr>
          <w:p w14:paraId="23891E0F" w14:textId="77777777" w:rsidR="00AF3004" w:rsidRDefault="00AF3004">
            <w:pPr>
              <w:pStyle w:val="xBeteckning2"/>
              <w:rPr>
                <w:lang w:val="de-DE"/>
              </w:rPr>
            </w:pPr>
          </w:p>
        </w:tc>
      </w:tr>
      <w:tr w:rsidR="00AF3004" w14:paraId="03BB1DE9" w14:textId="77777777">
        <w:trPr>
          <w:cantSplit/>
          <w:trHeight w:val="238"/>
        </w:trPr>
        <w:tc>
          <w:tcPr>
            <w:tcW w:w="861" w:type="dxa"/>
            <w:tcBorders>
              <w:top w:val="single" w:sz="4" w:space="0" w:color="auto"/>
            </w:tcBorders>
            <w:vAlign w:val="bottom"/>
          </w:tcPr>
          <w:p w14:paraId="2F24620F" w14:textId="77777777" w:rsidR="00AF3004" w:rsidRDefault="00AF3004">
            <w:pPr>
              <w:pStyle w:val="xLedtext"/>
              <w:rPr>
                <w:lang w:val="de-DE"/>
              </w:rPr>
            </w:pPr>
          </w:p>
        </w:tc>
        <w:tc>
          <w:tcPr>
            <w:tcW w:w="4448" w:type="dxa"/>
            <w:tcBorders>
              <w:top w:val="single" w:sz="4" w:space="0" w:color="auto"/>
            </w:tcBorders>
            <w:vAlign w:val="bottom"/>
          </w:tcPr>
          <w:p w14:paraId="21D2A701" w14:textId="77777777" w:rsidR="00AF3004" w:rsidRDefault="00AF3004">
            <w:pPr>
              <w:pStyle w:val="xLedtext"/>
              <w:rPr>
                <w:lang w:val="de-DE"/>
              </w:rPr>
            </w:pPr>
          </w:p>
        </w:tc>
        <w:tc>
          <w:tcPr>
            <w:tcW w:w="4288" w:type="dxa"/>
            <w:gridSpan w:val="2"/>
            <w:tcBorders>
              <w:top w:val="single" w:sz="4" w:space="0" w:color="auto"/>
            </w:tcBorders>
            <w:vAlign w:val="bottom"/>
          </w:tcPr>
          <w:p w14:paraId="295D84C4" w14:textId="77777777" w:rsidR="00AF3004" w:rsidRDefault="00AF3004">
            <w:pPr>
              <w:pStyle w:val="xLedtext"/>
              <w:rPr>
                <w:lang w:val="de-DE"/>
              </w:rPr>
            </w:pPr>
          </w:p>
        </w:tc>
      </w:tr>
      <w:tr w:rsidR="00AF3004" w14:paraId="6F399123" w14:textId="77777777">
        <w:trPr>
          <w:cantSplit/>
          <w:trHeight w:val="238"/>
        </w:trPr>
        <w:tc>
          <w:tcPr>
            <w:tcW w:w="861" w:type="dxa"/>
          </w:tcPr>
          <w:p w14:paraId="3C772ACB" w14:textId="77777777" w:rsidR="00AF3004" w:rsidRDefault="00AF3004">
            <w:pPr>
              <w:pStyle w:val="xCelltext"/>
              <w:rPr>
                <w:lang w:val="de-DE"/>
              </w:rPr>
            </w:pPr>
          </w:p>
        </w:tc>
        <w:tc>
          <w:tcPr>
            <w:tcW w:w="4448" w:type="dxa"/>
            <w:vMerge w:val="restart"/>
          </w:tcPr>
          <w:p w14:paraId="42B17B99" w14:textId="77777777" w:rsidR="00AF3004" w:rsidRDefault="00AF3004">
            <w:pPr>
              <w:pStyle w:val="xMottagare1"/>
            </w:pPr>
            <w:bookmarkStart w:id="0" w:name="_top"/>
            <w:bookmarkEnd w:id="0"/>
            <w:r>
              <w:t>Till Ålands lagting</w:t>
            </w:r>
          </w:p>
        </w:tc>
        <w:tc>
          <w:tcPr>
            <w:tcW w:w="4288" w:type="dxa"/>
            <w:gridSpan w:val="2"/>
            <w:vMerge w:val="restart"/>
          </w:tcPr>
          <w:p w14:paraId="610F287C" w14:textId="77777777" w:rsidR="00AF3004" w:rsidRDefault="00AF3004">
            <w:pPr>
              <w:pStyle w:val="xMottagare1"/>
              <w:tabs>
                <w:tab w:val="left" w:pos="2349"/>
              </w:tabs>
            </w:pPr>
          </w:p>
          <w:p w14:paraId="2DDF6BDC" w14:textId="3D6C7EE6" w:rsidR="00F8330B" w:rsidRPr="00F8330B" w:rsidRDefault="00F8330B" w:rsidP="00F8330B">
            <w:pPr>
              <w:pStyle w:val="xMottagare2"/>
              <w:jc w:val="center"/>
              <w:rPr>
                <w:b/>
                <w:bCs w:val="0"/>
              </w:rPr>
            </w:pPr>
          </w:p>
        </w:tc>
      </w:tr>
      <w:tr w:rsidR="00AF3004" w14:paraId="79490D2D" w14:textId="77777777">
        <w:trPr>
          <w:cantSplit/>
          <w:trHeight w:val="238"/>
        </w:trPr>
        <w:tc>
          <w:tcPr>
            <w:tcW w:w="861" w:type="dxa"/>
          </w:tcPr>
          <w:p w14:paraId="0E81F117" w14:textId="77777777" w:rsidR="00AF3004" w:rsidRDefault="00AF3004">
            <w:pPr>
              <w:pStyle w:val="xCelltext"/>
            </w:pPr>
          </w:p>
        </w:tc>
        <w:tc>
          <w:tcPr>
            <w:tcW w:w="4448" w:type="dxa"/>
            <w:vMerge/>
            <w:vAlign w:val="center"/>
          </w:tcPr>
          <w:p w14:paraId="2A0ABF1F" w14:textId="77777777" w:rsidR="00AF3004" w:rsidRDefault="00AF3004">
            <w:pPr>
              <w:pStyle w:val="xCelltext"/>
            </w:pPr>
          </w:p>
        </w:tc>
        <w:tc>
          <w:tcPr>
            <w:tcW w:w="4288" w:type="dxa"/>
            <w:gridSpan w:val="2"/>
            <w:vMerge/>
            <w:vAlign w:val="center"/>
          </w:tcPr>
          <w:p w14:paraId="7952D1D7" w14:textId="77777777" w:rsidR="00AF3004" w:rsidRDefault="00AF3004">
            <w:pPr>
              <w:pStyle w:val="xCelltext"/>
            </w:pPr>
          </w:p>
        </w:tc>
      </w:tr>
      <w:tr w:rsidR="00AF3004" w14:paraId="67B27979" w14:textId="77777777">
        <w:trPr>
          <w:cantSplit/>
          <w:trHeight w:val="238"/>
        </w:trPr>
        <w:tc>
          <w:tcPr>
            <w:tcW w:w="861" w:type="dxa"/>
          </w:tcPr>
          <w:p w14:paraId="028B8318" w14:textId="77777777" w:rsidR="00AF3004" w:rsidRDefault="00AF3004">
            <w:pPr>
              <w:pStyle w:val="xCelltext"/>
            </w:pPr>
          </w:p>
        </w:tc>
        <w:tc>
          <w:tcPr>
            <w:tcW w:w="4448" w:type="dxa"/>
            <w:vMerge/>
            <w:vAlign w:val="center"/>
          </w:tcPr>
          <w:p w14:paraId="3D30DA0E" w14:textId="77777777" w:rsidR="00AF3004" w:rsidRDefault="00AF3004">
            <w:pPr>
              <w:pStyle w:val="xCelltext"/>
            </w:pPr>
          </w:p>
        </w:tc>
        <w:tc>
          <w:tcPr>
            <w:tcW w:w="4288" w:type="dxa"/>
            <w:gridSpan w:val="2"/>
            <w:vMerge/>
            <w:vAlign w:val="center"/>
          </w:tcPr>
          <w:p w14:paraId="162A169E" w14:textId="77777777" w:rsidR="00AF3004" w:rsidRDefault="00AF3004">
            <w:pPr>
              <w:pStyle w:val="xCelltext"/>
            </w:pPr>
          </w:p>
        </w:tc>
      </w:tr>
      <w:tr w:rsidR="00AF3004" w14:paraId="0A2A8B92" w14:textId="77777777">
        <w:trPr>
          <w:cantSplit/>
          <w:trHeight w:val="238"/>
        </w:trPr>
        <w:tc>
          <w:tcPr>
            <w:tcW w:w="861" w:type="dxa"/>
          </w:tcPr>
          <w:p w14:paraId="44EAFB23" w14:textId="77777777" w:rsidR="00AF3004" w:rsidRDefault="00AF3004">
            <w:pPr>
              <w:pStyle w:val="xCelltext"/>
            </w:pPr>
          </w:p>
        </w:tc>
        <w:tc>
          <w:tcPr>
            <w:tcW w:w="4448" w:type="dxa"/>
            <w:vMerge/>
            <w:vAlign w:val="center"/>
          </w:tcPr>
          <w:p w14:paraId="05B141F0" w14:textId="77777777" w:rsidR="00AF3004" w:rsidRDefault="00AF3004">
            <w:pPr>
              <w:pStyle w:val="xCelltext"/>
            </w:pPr>
          </w:p>
        </w:tc>
        <w:tc>
          <w:tcPr>
            <w:tcW w:w="4288" w:type="dxa"/>
            <w:gridSpan w:val="2"/>
            <w:vMerge/>
            <w:vAlign w:val="center"/>
          </w:tcPr>
          <w:p w14:paraId="7C3B4DF4" w14:textId="77777777" w:rsidR="00AF3004" w:rsidRDefault="00AF3004">
            <w:pPr>
              <w:pStyle w:val="xCelltext"/>
            </w:pPr>
          </w:p>
        </w:tc>
      </w:tr>
      <w:tr w:rsidR="00AF3004" w14:paraId="1090B9F0" w14:textId="77777777">
        <w:trPr>
          <w:cantSplit/>
          <w:trHeight w:val="238"/>
        </w:trPr>
        <w:tc>
          <w:tcPr>
            <w:tcW w:w="861" w:type="dxa"/>
          </w:tcPr>
          <w:p w14:paraId="1D391252" w14:textId="77777777" w:rsidR="00AF3004" w:rsidRDefault="00AF3004">
            <w:pPr>
              <w:pStyle w:val="xCelltext"/>
            </w:pPr>
          </w:p>
        </w:tc>
        <w:tc>
          <w:tcPr>
            <w:tcW w:w="4448" w:type="dxa"/>
            <w:vMerge/>
            <w:vAlign w:val="center"/>
          </w:tcPr>
          <w:p w14:paraId="318082B2" w14:textId="77777777" w:rsidR="00AF3004" w:rsidRDefault="00AF3004">
            <w:pPr>
              <w:pStyle w:val="xCelltext"/>
            </w:pPr>
          </w:p>
        </w:tc>
        <w:tc>
          <w:tcPr>
            <w:tcW w:w="4288" w:type="dxa"/>
            <w:gridSpan w:val="2"/>
            <w:vMerge/>
            <w:vAlign w:val="center"/>
          </w:tcPr>
          <w:p w14:paraId="2A22B544" w14:textId="77777777" w:rsidR="00AF3004" w:rsidRDefault="00AF3004">
            <w:pPr>
              <w:pStyle w:val="xCelltext"/>
            </w:pPr>
          </w:p>
        </w:tc>
      </w:tr>
    </w:tbl>
    <w:p w14:paraId="1B39E390"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34574E76" w14:textId="61D21B3C" w:rsidR="001D7D10" w:rsidRDefault="001B7064" w:rsidP="001D7D10">
      <w:pPr>
        <w:pStyle w:val="ArendeRubrik"/>
      </w:pPr>
      <w:r>
        <w:t>Ändringar i samfundsbeskattningen 2022</w:t>
      </w:r>
    </w:p>
    <w:p w14:paraId="08892DAB" w14:textId="77777777" w:rsidR="00AF3004" w:rsidRDefault="00AF3004">
      <w:pPr>
        <w:pStyle w:val="ANormal"/>
      </w:pPr>
    </w:p>
    <w:p w14:paraId="11A9B478" w14:textId="77777777" w:rsidR="00AF3004" w:rsidRDefault="00AF3004">
      <w:pPr>
        <w:pStyle w:val="ANormal"/>
      </w:pPr>
    </w:p>
    <w:p w14:paraId="367D0DAD" w14:textId="77777777" w:rsidR="00AF3004" w:rsidRDefault="00AF3004">
      <w:pPr>
        <w:pStyle w:val="RubrikA"/>
      </w:pPr>
      <w:bookmarkStart w:id="1" w:name="_Toc89957164"/>
      <w:r>
        <w:t>Huvudsakligt innehåll</w:t>
      </w:r>
      <w:bookmarkEnd w:id="1"/>
    </w:p>
    <w:p w14:paraId="76827485" w14:textId="77777777" w:rsidR="00AF3004" w:rsidRDefault="00AF3004">
      <w:pPr>
        <w:pStyle w:val="Rubrikmellanrum"/>
      </w:pPr>
    </w:p>
    <w:p w14:paraId="2BF98977" w14:textId="66F83370" w:rsidR="001D7D10" w:rsidRDefault="001D7D10" w:rsidP="001D7D10">
      <w:pPr>
        <w:pStyle w:val="ANormal"/>
      </w:pPr>
      <w:r w:rsidRPr="00CF2629">
        <w:t xml:space="preserve">Landskapsregeringen föreslår att kommunalskattesatserna för samfund och samfällda förmåner </w:t>
      </w:r>
      <w:r>
        <w:t>sänk</w:t>
      </w:r>
      <w:r w:rsidRPr="00CF2629">
        <w:t xml:space="preserve">s </w:t>
      </w:r>
      <w:r w:rsidR="00F8330B">
        <w:t>för</w:t>
      </w:r>
      <w:r w:rsidRPr="00CF2629">
        <w:t xml:space="preserve"> skatteåret 202</w:t>
      </w:r>
      <w:r>
        <w:t>2</w:t>
      </w:r>
      <w:r w:rsidRPr="00CF2629">
        <w:t xml:space="preserve">. Förslaget motiveras av att fördelningen av samfundsskatten mellan skattetagarna ändras i riket, så att kommunernas andel sänks </w:t>
      </w:r>
      <w:r w:rsidR="001D2699">
        <w:t>med 0,43</w:t>
      </w:r>
      <w:r w:rsidR="006A08C9">
        <w:t xml:space="preserve"> </w:t>
      </w:r>
      <w:r w:rsidR="001D2699">
        <w:t xml:space="preserve">procentenheter </w:t>
      </w:r>
      <w:r w:rsidRPr="00CF2629">
        <w:t>medan statens andel höjs</w:t>
      </w:r>
      <w:r w:rsidR="001D2699">
        <w:t xml:space="preserve"> i motsvarande grad</w:t>
      </w:r>
      <w:r w:rsidRPr="00CF2629">
        <w:t>. Landskapsregeringens förslag innebär att de totala skattesatserna för samfund och samfällda förmåner förblir oförändrade, det vill säga 20 respektive 26,5</w:t>
      </w:r>
      <w:r w:rsidR="006A08C9">
        <w:t xml:space="preserve"> </w:t>
      </w:r>
      <w:r w:rsidR="001B1C06">
        <w:t>procent</w:t>
      </w:r>
      <w:r w:rsidRPr="00CF2629">
        <w:t>.</w:t>
      </w:r>
    </w:p>
    <w:p w14:paraId="0A670754" w14:textId="02047182" w:rsidR="001D2699" w:rsidRDefault="001D7D10" w:rsidP="001D7D10">
      <w:pPr>
        <w:pStyle w:val="ANormal"/>
      </w:pPr>
      <w:r w:rsidRPr="00CF2629">
        <w:tab/>
        <w:t xml:space="preserve">Landskapsregeringen föreslår också att </w:t>
      </w:r>
      <w:r w:rsidR="001D2699">
        <w:t>gilti</w:t>
      </w:r>
      <w:r w:rsidR="00AB4368">
        <w:t xml:space="preserve">ghetstiden för </w:t>
      </w:r>
      <w:r w:rsidR="001D2699">
        <w:t>blankettlagen om tilläggsavdrag för forsknings- och utvecklingsverksamhet under skatteåren 2021–2025 förlängs så att den tillämpas till och med skatteåret 2027.</w:t>
      </w:r>
      <w:r w:rsidR="00AB4368">
        <w:t xml:space="preserve"> Förslaget motiveras av att </w:t>
      </w:r>
      <w:r w:rsidR="001B1C06">
        <w:t xml:space="preserve">rätten till tilläggsavdraget enligt </w:t>
      </w:r>
      <w:r w:rsidR="00AB4368">
        <w:t>den rikslagstiftning som blankettlagen avser utsträcks till att gälla till och med skatteåret 2027. Samtidigt höjs också avdragets belopp från 50</w:t>
      </w:r>
      <w:r w:rsidR="006A08C9">
        <w:t xml:space="preserve"> </w:t>
      </w:r>
      <w:r w:rsidR="00AB4368">
        <w:t>procent till 150</w:t>
      </w:r>
      <w:r w:rsidR="006A08C9">
        <w:t xml:space="preserve"> </w:t>
      </w:r>
      <w:r w:rsidR="00AB4368">
        <w:t>procent av</w:t>
      </w:r>
      <w:r w:rsidR="00BB1336" w:rsidRPr="00BB1336">
        <w:t xml:space="preserve"> </w:t>
      </w:r>
      <w:r w:rsidR="00BB1336" w:rsidRPr="00CF2629">
        <w:t xml:space="preserve">företagets </w:t>
      </w:r>
      <w:r w:rsidR="00BB1336">
        <w:t>godtagbara utgifter för forsknings- och utvecklingsprojekt</w:t>
      </w:r>
      <w:r w:rsidR="00AB4368">
        <w:t>.</w:t>
      </w:r>
    </w:p>
    <w:p w14:paraId="14B8F9A7" w14:textId="508671F3" w:rsidR="001D7D10" w:rsidRDefault="001D7D10" w:rsidP="001D7D10">
      <w:pPr>
        <w:pStyle w:val="ANormal"/>
      </w:pPr>
      <w:r w:rsidRPr="00CF2629">
        <w:tab/>
        <w:t>De föreslagna lagarna är avsedda att tillämpas från och med beskattningen för skatteåret 202</w:t>
      </w:r>
      <w:r w:rsidR="00AB4368">
        <w:t>2</w:t>
      </w:r>
      <w:r w:rsidRPr="00CF2629">
        <w:t xml:space="preserve">, </w:t>
      </w:r>
      <w:r w:rsidR="00AB4368">
        <w:t>d</w:t>
      </w:r>
      <w:r w:rsidRPr="00CF2629">
        <w:t>e bör således träda i kraft så snart som möjligt.</w:t>
      </w:r>
    </w:p>
    <w:p w14:paraId="3FE41C6E" w14:textId="77777777" w:rsidR="00AF3004" w:rsidRDefault="00AF3004">
      <w:pPr>
        <w:pStyle w:val="ANormal"/>
      </w:pPr>
    </w:p>
    <w:p w14:paraId="2D236BB3" w14:textId="77777777" w:rsidR="00AF3004" w:rsidRDefault="00524DE4">
      <w:pPr>
        <w:pStyle w:val="ANormal"/>
        <w:jc w:val="center"/>
      </w:pPr>
      <w:hyperlink w:anchor="_top" w:tooltip="Klicka för att gå till toppen av dokumentet" w:history="1">
        <w:r w:rsidR="00AF3004">
          <w:rPr>
            <w:rStyle w:val="Hyperlnk"/>
          </w:rPr>
          <w:t>__________________</w:t>
        </w:r>
      </w:hyperlink>
    </w:p>
    <w:p w14:paraId="42E76D4C" w14:textId="77777777" w:rsidR="00AF3004" w:rsidRDefault="00AF3004">
      <w:pPr>
        <w:pStyle w:val="ANormal"/>
      </w:pPr>
    </w:p>
    <w:p w14:paraId="4358CA16" w14:textId="77777777" w:rsidR="00AF3004" w:rsidRDefault="00AF3004">
      <w:pPr>
        <w:pStyle w:val="ANormal"/>
      </w:pPr>
      <w:r>
        <w:br w:type="page"/>
      </w:r>
    </w:p>
    <w:p w14:paraId="404D80CA" w14:textId="77777777" w:rsidR="00AF3004" w:rsidRDefault="00AF3004">
      <w:pPr>
        <w:pStyle w:val="Innehll1"/>
      </w:pPr>
      <w:r>
        <w:lastRenderedPageBreak/>
        <w:t>INNEHÅLL</w:t>
      </w:r>
    </w:p>
    <w:p w14:paraId="637ACAEA" w14:textId="255AAAAB" w:rsidR="006A08C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89957164" w:history="1">
        <w:r w:rsidR="006A08C9" w:rsidRPr="00EE70D0">
          <w:rPr>
            <w:rStyle w:val="Hyperlnk"/>
          </w:rPr>
          <w:t>Huvudsakligt innehåll</w:t>
        </w:r>
        <w:r w:rsidR="006A08C9">
          <w:rPr>
            <w:webHidden/>
          </w:rPr>
          <w:tab/>
        </w:r>
        <w:r w:rsidR="006A08C9">
          <w:rPr>
            <w:webHidden/>
          </w:rPr>
          <w:fldChar w:fldCharType="begin"/>
        </w:r>
        <w:r w:rsidR="006A08C9">
          <w:rPr>
            <w:webHidden/>
          </w:rPr>
          <w:instrText xml:space="preserve"> PAGEREF _Toc89957164 \h </w:instrText>
        </w:r>
        <w:r w:rsidR="006A08C9">
          <w:rPr>
            <w:webHidden/>
          </w:rPr>
        </w:r>
        <w:r w:rsidR="006A08C9">
          <w:rPr>
            <w:webHidden/>
          </w:rPr>
          <w:fldChar w:fldCharType="separate"/>
        </w:r>
        <w:r w:rsidR="006A08C9">
          <w:rPr>
            <w:webHidden/>
          </w:rPr>
          <w:t>1</w:t>
        </w:r>
        <w:r w:rsidR="006A08C9">
          <w:rPr>
            <w:webHidden/>
          </w:rPr>
          <w:fldChar w:fldCharType="end"/>
        </w:r>
      </w:hyperlink>
    </w:p>
    <w:p w14:paraId="78C74BB8" w14:textId="34425C47" w:rsidR="006A08C9" w:rsidRDefault="00524DE4">
      <w:pPr>
        <w:pStyle w:val="Innehll1"/>
        <w:rPr>
          <w:rFonts w:asciiTheme="minorHAnsi" w:eastAsiaTheme="minorEastAsia" w:hAnsiTheme="minorHAnsi" w:cstheme="minorBidi"/>
          <w:sz w:val="22"/>
          <w:szCs w:val="22"/>
          <w:lang w:val="sv-FI" w:eastAsia="sv-FI"/>
        </w:rPr>
      </w:pPr>
      <w:hyperlink w:anchor="_Toc89957165" w:history="1">
        <w:r w:rsidR="006A08C9" w:rsidRPr="00EE70D0">
          <w:rPr>
            <w:rStyle w:val="Hyperlnk"/>
          </w:rPr>
          <w:t>Motivering</w:t>
        </w:r>
        <w:r w:rsidR="006A08C9">
          <w:rPr>
            <w:webHidden/>
          </w:rPr>
          <w:tab/>
        </w:r>
        <w:r w:rsidR="006A08C9">
          <w:rPr>
            <w:webHidden/>
          </w:rPr>
          <w:fldChar w:fldCharType="begin"/>
        </w:r>
        <w:r w:rsidR="006A08C9">
          <w:rPr>
            <w:webHidden/>
          </w:rPr>
          <w:instrText xml:space="preserve"> PAGEREF _Toc89957165 \h </w:instrText>
        </w:r>
        <w:r w:rsidR="006A08C9">
          <w:rPr>
            <w:webHidden/>
          </w:rPr>
        </w:r>
        <w:r w:rsidR="006A08C9">
          <w:rPr>
            <w:webHidden/>
          </w:rPr>
          <w:fldChar w:fldCharType="separate"/>
        </w:r>
        <w:r w:rsidR="006A08C9">
          <w:rPr>
            <w:webHidden/>
          </w:rPr>
          <w:t>3</w:t>
        </w:r>
        <w:r w:rsidR="006A08C9">
          <w:rPr>
            <w:webHidden/>
          </w:rPr>
          <w:fldChar w:fldCharType="end"/>
        </w:r>
      </w:hyperlink>
    </w:p>
    <w:p w14:paraId="10B0D472" w14:textId="47600BDB" w:rsidR="006A08C9" w:rsidRDefault="00524DE4">
      <w:pPr>
        <w:pStyle w:val="Innehll2"/>
        <w:rPr>
          <w:rFonts w:asciiTheme="minorHAnsi" w:eastAsiaTheme="minorEastAsia" w:hAnsiTheme="minorHAnsi" w:cstheme="minorBidi"/>
          <w:sz w:val="22"/>
          <w:szCs w:val="22"/>
          <w:lang w:val="sv-FI" w:eastAsia="sv-FI"/>
        </w:rPr>
      </w:pPr>
      <w:hyperlink w:anchor="_Toc89957166" w:history="1">
        <w:r w:rsidR="006A08C9" w:rsidRPr="00EE70D0">
          <w:rPr>
            <w:rStyle w:val="Hyperlnk"/>
          </w:rPr>
          <w:t>1. Bakgrund</w:t>
        </w:r>
        <w:r w:rsidR="006A08C9">
          <w:rPr>
            <w:webHidden/>
          </w:rPr>
          <w:tab/>
        </w:r>
        <w:r w:rsidR="006A08C9">
          <w:rPr>
            <w:webHidden/>
          </w:rPr>
          <w:fldChar w:fldCharType="begin"/>
        </w:r>
        <w:r w:rsidR="006A08C9">
          <w:rPr>
            <w:webHidden/>
          </w:rPr>
          <w:instrText xml:space="preserve"> PAGEREF _Toc89957166 \h </w:instrText>
        </w:r>
        <w:r w:rsidR="006A08C9">
          <w:rPr>
            <w:webHidden/>
          </w:rPr>
        </w:r>
        <w:r w:rsidR="006A08C9">
          <w:rPr>
            <w:webHidden/>
          </w:rPr>
          <w:fldChar w:fldCharType="separate"/>
        </w:r>
        <w:r w:rsidR="006A08C9">
          <w:rPr>
            <w:webHidden/>
          </w:rPr>
          <w:t>3</w:t>
        </w:r>
        <w:r w:rsidR="006A08C9">
          <w:rPr>
            <w:webHidden/>
          </w:rPr>
          <w:fldChar w:fldCharType="end"/>
        </w:r>
      </w:hyperlink>
    </w:p>
    <w:p w14:paraId="6AD2E3F7" w14:textId="73D0A6A7" w:rsidR="006A08C9" w:rsidRDefault="00524DE4">
      <w:pPr>
        <w:pStyle w:val="Innehll3"/>
        <w:rPr>
          <w:rFonts w:asciiTheme="minorHAnsi" w:eastAsiaTheme="minorEastAsia" w:hAnsiTheme="minorHAnsi" w:cstheme="minorBidi"/>
          <w:sz w:val="22"/>
          <w:szCs w:val="22"/>
          <w:lang w:val="sv-FI" w:eastAsia="sv-FI"/>
        </w:rPr>
      </w:pPr>
      <w:hyperlink w:anchor="_Toc89957167" w:history="1">
        <w:r w:rsidR="006A08C9" w:rsidRPr="00EE70D0">
          <w:rPr>
            <w:rStyle w:val="Hyperlnk"/>
          </w:rPr>
          <w:t>1.1. Gällande lagstiftning</w:t>
        </w:r>
        <w:r w:rsidR="006A08C9">
          <w:rPr>
            <w:webHidden/>
          </w:rPr>
          <w:tab/>
        </w:r>
        <w:r w:rsidR="006A08C9">
          <w:rPr>
            <w:webHidden/>
          </w:rPr>
          <w:fldChar w:fldCharType="begin"/>
        </w:r>
        <w:r w:rsidR="006A08C9">
          <w:rPr>
            <w:webHidden/>
          </w:rPr>
          <w:instrText xml:space="preserve"> PAGEREF _Toc89957167 \h </w:instrText>
        </w:r>
        <w:r w:rsidR="006A08C9">
          <w:rPr>
            <w:webHidden/>
          </w:rPr>
        </w:r>
        <w:r w:rsidR="006A08C9">
          <w:rPr>
            <w:webHidden/>
          </w:rPr>
          <w:fldChar w:fldCharType="separate"/>
        </w:r>
        <w:r w:rsidR="006A08C9">
          <w:rPr>
            <w:webHidden/>
          </w:rPr>
          <w:t>3</w:t>
        </w:r>
        <w:r w:rsidR="006A08C9">
          <w:rPr>
            <w:webHidden/>
          </w:rPr>
          <w:fldChar w:fldCharType="end"/>
        </w:r>
      </w:hyperlink>
    </w:p>
    <w:p w14:paraId="378070AB" w14:textId="7BD6F495" w:rsidR="006A08C9" w:rsidRDefault="00524DE4">
      <w:pPr>
        <w:pStyle w:val="Innehll3"/>
        <w:rPr>
          <w:rFonts w:asciiTheme="minorHAnsi" w:eastAsiaTheme="minorEastAsia" w:hAnsiTheme="minorHAnsi" w:cstheme="minorBidi"/>
          <w:sz w:val="22"/>
          <w:szCs w:val="22"/>
          <w:lang w:val="sv-FI" w:eastAsia="sv-FI"/>
        </w:rPr>
      </w:pPr>
      <w:hyperlink w:anchor="_Toc89957168" w:history="1">
        <w:r w:rsidR="006A08C9" w:rsidRPr="00EE70D0">
          <w:rPr>
            <w:rStyle w:val="Hyperlnk"/>
          </w:rPr>
          <w:t>1.2. Åtgärder som vidtagits i riket för skatteåret 2022</w:t>
        </w:r>
        <w:r w:rsidR="006A08C9">
          <w:rPr>
            <w:webHidden/>
          </w:rPr>
          <w:tab/>
        </w:r>
        <w:r w:rsidR="006A08C9">
          <w:rPr>
            <w:webHidden/>
          </w:rPr>
          <w:fldChar w:fldCharType="begin"/>
        </w:r>
        <w:r w:rsidR="006A08C9">
          <w:rPr>
            <w:webHidden/>
          </w:rPr>
          <w:instrText xml:space="preserve"> PAGEREF _Toc89957168 \h </w:instrText>
        </w:r>
        <w:r w:rsidR="006A08C9">
          <w:rPr>
            <w:webHidden/>
          </w:rPr>
        </w:r>
        <w:r w:rsidR="006A08C9">
          <w:rPr>
            <w:webHidden/>
          </w:rPr>
          <w:fldChar w:fldCharType="separate"/>
        </w:r>
        <w:r w:rsidR="006A08C9">
          <w:rPr>
            <w:webHidden/>
          </w:rPr>
          <w:t>4</w:t>
        </w:r>
        <w:r w:rsidR="006A08C9">
          <w:rPr>
            <w:webHidden/>
          </w:rPr>
          <w:fldChar w:fldCharType="end"/>
        </w:r>
      </w:hyperlink>
    </w:p>
    <w:p w14:paraId="556F265D" w14:textId="0BC22DB1" w:rsidR="006A08C9" w:rsidRDefault="00524DE4">
      <w:pPr>
        <w:pStyle w:val="Innehll2"/>
        <w:rPr>
          <w:rFonts w:asciiTheme="minorHAnsi" w:eastAsiaTheme="minorEastAsia" w:hAnsiTheme="minorHAnsi" w:cstheme="minorBidi"/>
          <w:sz w:val="22"/>
          <w:szCs w:val="22"/>
          <w:lang w:val="sv-FI" w:eastAsia="sv-FI"/>
        </w:rPr>
      </w:pPr>
      <w:hyperlink w:anchor="_Toc89957169" w:history="1">
        <w:r w:rsidR="006A08C9" w:rsidRPr="00EE70D0">
          <w:rPr>
            <w:rStyle w:val="Hyperlnk"/>
          </w:rPr>
          <w:t>2. Överväganden och landskapsregeringens förslag</w:t>
        </w:r>
        <w:r w:rsidR="006A08C9">
          <w:rPr>
            <w:webHidden/>
          </w:rPr>
          <w:tab/>
        </w:r>
        <w:r w:rsidR="006A08C9">
          <w:rPr>
            <w:webHidden/>
          </w:rPr>
          <w:fldChar w:fldCharType="begin"/>
        </w:r>
        <w:r w:rsidR="006A08C9">
          <w:rPr>
            <w:webHidden/>
          </w:rPr>
          <w:instrText xml:space="preserve"> PAGEREF _Toc89957169 \h </w:instrText>
        </w:r>
        <w:r w:rsidR="006A08C9">
          <w:rPr>
            <w:webHidden/>
          </w:rPr>
        </w:r>
        <w:r w:rsidR="006A08C9">
          <w:rPr>
            <w:webHidden/>
          </w:rPr>
          <w:fldChar w:fldCharType="separate"/>
        </w:r>
        <w:r w:rsidR="006A08C9">
          <w:rPr>
            <w:webHidden/>
          </w:rPr>
          <w:t>4</w:t>
        </w:r>
        <w:r w:rsidR="006A08C9">
          <w:rPr>
            <w:webHidden/>
          </w:rPr>
          <w:fldChar w:fldCharType="end"/>
        </w:r>
      </w:hyperlink>
    </w:p>
    <w:p w14:paraId="241F9A40" w14:textId="528727BB" w:rsidR="006A08C9" w:rsidRDefault="00524DE4">
      <w:pPr>
        <w:pStyle w:val="Innehll2"/>
        <w:rPr>
          <w:rFonts w:asciiTheme="minorHAnsi" w:eastAsiaTheme="minorEastAsia" w:hAnsiTheme="minorHAnsi" w:cstheme="minorBidi"/>
          <w:sz w:val="22"/>
          <w:szCs w:val="22"/>
          <w:lang w:val="sv-FI" w:eastAsia="sv-FI"/>
        </w:rPr>
      </w:pPr>
      <w:hyperlink w:anchor="_Toc89957170" w:history="1">
        <w:r w:rsidR="006A08C9" w:rsidRPr="00EE70D0">
          <w:rPr>
            <w:rStyle w:val="Hyperlnk"/>
          </w:rPr>
          <w:t>3. Ändrad fördelning av samfundsskatten mellan staten och kommunerna från och med 2023</w:t>
        </w:r>
        <w:r w:rsidR="006A08C9">
          <w:rPr>
            <w:webHidden/>
          </w:rPr>
          <w:tab/>
        </w:r>
        <w:r w:rsidR="006A08C9">
          <w:rPr>
            <w:webHidden/>
          </w:rPr>
          <w:fldChar w:fldCharType="begin"/>
        </w:r>
        <w:r w:rsidR="006A08C9">
          <w:rPr>
            <w:webHidden/>
          </w:rPr>
          <w:instrText xml:space="preserve"> PAGEREF _Toc89957170 \h </w:instrText>
        </w:r>
        <w:r w:rsidR="006A08C9">
          <w:rPr>
            <w:webHidden/>
          </w:rPr>
        </w:r>
        <w:r w:rsidR="006A08C9">
          <w:rPr>
            <w:webHidden/>
          </w:rPr>
          <w:fldChar w:fldCharType="separate"/>
        </w:r>
        <w:r w:rsidR="006A08C9">
          <w:rPr>
            <w:webHidden/>
          </w:rPr>
          <w:t>5</w:t>
        </w:r>
        <w:r w:rsidR="006A08C9">
          <w:rPr>
            <w:webHidden/>
          </w:rPr>
          <w:fldChar w:fldCharType="end"/>
        </w:r>
      </w:hyperlink>
    </w:p>
    <w:p w14:paraId="6B6D4245" w14:textId="0F28B4E3" w:rsidR="006A08C9" w:rsidRDefault="00524DE4">
      <w:pPr>
        <w:pStyle w:val="Innehll2"/>
        <w:rPr>
          <w:rFonts w:asciiTheme="minorHAnsi" w:eastAsiaTheme="minorEastAsia" w:hAnsiTheme="minorHAnsi" w:cstheme="minorBidi"/>
          <w:sz w:val="22"/>
          <w:szCs w:val="22"/>
          <w:lang w:val="sv-FI" w:eastAsia="sv-FI"/>
        </w:rPr>
      </w:pPr>
      <w:hyperlink w:anchor="_Toc89957171" w:history="1">
        <w:r w:rsidR="006A08C9" w:rsidRPr="00EE70D0">
          <w:rPr>
            <w:rStyle w:val="Hyperlnk"/>
          </w:rPr>
          <w:t>4. Förslagets konsekvenser</w:t>
        </w:r>
        <w:r w:rsidR="006A08C9">
          <w:rPr>
            <w:webHidden/>
          </w:rPr>
          <w:tab/>
        </w:r>
        <w:r w:rsidR="006A08C9">
          <w:rPr>
            <w:webHidden/>
          </w:rPr>
          <w:fldChar w:fldCharType="begin"/>
        </w:r>
        <w:r w:rsidR="006A08C9">
          <w:rPr>
            <w:webHidden/>
          </w:rPr>
          <w:instrText xml:space="preserve"> PAGEREF _Toc89957171 \h </w:instrText>
        </w:r>
        <w:r w:rsidR="006A08C9">
          <w:rPr>
            <w:webHidden/>
          </w:rPr>
        </w:r>
        <w:r w:rsidR="006A08C9">
          <w:rPr>
            <w:webHidden/>
          </w:rPr>
          <w:fldChar w:fldCharType="separate"/>
        </w:r>
        <w:r w:rsidR="006A08C9">
          <w:rPr>
            <w:webHidden/>
          </w:rPr>
          <w:t>6</w:t>
        </w:r>
        <w:r w:rsidR="006A08C9">
          <w:rPr>
            <w:webHidden/>
          </w:rPr>
          <w:fldChar w:fldCharType="end"/>
        </w:r>
      </w:hyperlink>
    </w:p>
    <w:p w14:paraId="599433AC" w14:textId="54D67F63" w:rsidR="006A08C9" w:rsidRDefault="00524DE4">
      <w:pPr>
        <w:pStyle w:val="Innehll2"/>
        <w:rPr>
          <w:rFonts w:asciiTheme="minorHAnsi" w:eastAsiaTheme="minorEastAsia" w:hAnsiTheme="minorHAnsi" w:cstheme="minorBidi"/>
          <w:sz w:val="22"/>
          <w:szCs w:val="22"/>
          <w:lang w:val="sv-FI" w:eastAsia="sv-FI"/>
        </w:rPr>
      </w:pPr>
      <w:hyperlink w:anchor="_Toc89957172" w:history="1">
        <w:r w:rsidR="006A08C9" w:rsidRPr="00EE70D0">
          <w:rPr>
            <w:rStyle w:val="Hyperlnk"/>
          </w:rPr>
          <w:t>5. Beredning och ikraftträdande</w:t>
        </w:r>
        <w:r w:rsidR="006A08C9">
          <w:rPr>
            <w:webHidden/>
          </w:rPr>
          <w:tab/>
        </w:r>
        <w:r w:rsidR="006A08C9">
          <w:rPr>
            <w:webHidden/>
          </w:rPr>
          <w:fldChar w:fldCharType="begin"/>
        </w:r>
        <w:r w:rsidR="006A08C9">
          <w:rPr>
            <w:webHidden/>
          </w:rPr>
          <w:instrText xml:space="preserve"> PAGEREF _Toc89957172 \h </w:instrText>
        </w:r>
        <w:r w:rsidR="006A08C9">
          <w:rPr>
            <w:webHidden/>
          </w:rPr>
        </w:r>
        <w:r w:rsidR="006A08C9">
          <w:rPr>
            <w:webHidden/>
          </w:rPr>
          <w:fldChar w:fldCharType="separate"/>
        </w:r>
        <w:r w:rsidR="006A08C9">
          <w:rPr>
            <w:webHidden/>
          </w:rPr>
          <w:t>7</w:t>
        </w:r>
        <w:r w:rsidR="006A08C9">
          <w:rPr>
            <w:webHidden/>
          </w:rPr>
          <w:fldChar w:fldCharType="end"/>
        </w:r>
      </w:hyperlink>
    </w:p>
    <w:p w14:paraId="258F28D3" w14:textId="2A7B600F" w:rsidR="006A08C9" w:rsidRDefault="00524DE4">
      <w:pPr>
        <w:pStyle w:val="Innehll1"/>
        <w:rPr>
          <w:rFonts w:asciiTheme="minorHAnsi" w:eastAsiaTheme="minorEastAsia" w:hAnsiTheme="minorHAnsi" w:cstheme="minorBidi"/>
          <w:sz w:val="22"/>
          <w:szCs w:val="22"/>
          <w:lang w:val="sv-FI" w:eastAsia="sv-FI"/>
        </w:rPr>
      </w:pPr>
      <w:hyperlink w:anchor="_Toc89957173" w:history="1">
        <w:r w:rsidR="006A08C9" w:rsidRPr="00EE70D0">
          <w:rPr>
            <w:rStyle w:val="Hyperlnk"/>
          </w:rPr>
          <w:t>Detaljmotivering</w:t>
        </w:r>
        <w:r w:rsidR="006A08C9">
          <w:rPr>
            <w:webHidden/>
          </w:rPr>
          <w:tab/>
        </w:r>
        <w:r w:rsidR="006A08C9">
          <w:rPr>
            <w:webHidden/>
          </w:rPr>
          <w:fldChar w:fldCharType="begin"/>
        </w:r>
        <w:r w:rsidR="006A08C9">
          <w:rPr>
            <w:webHidden/>
          </w:rPr>
          <w:instrText xml:space="preserve"> PAGEREF _Toc89957173 \h </w:instrText>
        </w:r>
        <w:r w:rsidR="006A08C9">
          <w:rPr>
            <w:webHidden/>
          </w:rPr>
        </w:r>
        <w:r w:rsidR="006A08C9">
          <w:rPr>
            <w:webHidden/>
          </w:rPr>
          <w:fldChar w:fldCharType="separate"/>
        </w:r>
        <w:r w:rsidR="006A08C9">
          <w:rPr>
            <w:webHidden/>
          </w:rPr>
          <w:t>7</w:t>
        </w:r>
        <w:r w:rsidR="006A08C9">
          <w:rPr>
            <w:webHidden/>
          </w:rPr>
          <w:fldChar w:fldCharType="end"/>
        </w:r>
      </w:hyperlink>
    </w:p>
    <w:p w14:paraId="001DEA3E" w14:textId="40CA4BDB" w:rsidR="006A08C9" w:rsidRDefault="00524DE4">
      <w:pPr>
        <w:pStyle w:val="Innehll2"/>
        <w:rPr>
          <w:rFonts w:asciiTheme="minorHAnsi" w:eastAsiaTheme="minorEastAsia" w:hAnsiTheme="minorHAnsi" w:cstheme="minorBidi"/>
          <w:sz w:val="22"/>
          <w:szCs w:val="22"/>
          <w:lang w:val="sv-FI" w:eastAsia="sv-FI"/>
        </w:rPr>
      </w:pPr>
      <w:hyperlink w:anchor="_Toc89957174" w:history="1">
        <w:r w:rsidR="006A08C9" w:rsidRPr="00EE70D0">
          <w:rPr>
            <w:rStyle w:val="Hyperlnk"/>
          </w:rPr>
          <w:t>1. Ändring av 29f § kommunalskattelagen för landskapet Åland</w:t>
        </w:r>
        <w:r w:rsidR="006A08C9">
          <w:rPr>
            <w:webHidden/>
          </w:rPr>
          <w:tab/>
        </w:r>
        <w:r w:rsidR="006A08C9">
          <w:rPr>
            <w:webHidden/>
          </w:rPr>
          <w:fldChar w:fldCharType="begin"/>
        </w:r>
        <w:r w:rsidR="006A08C9">
          <w:rPr>
            <w:webHidden/>
          </w:rPr>
          <w:instrText xml:space="preserve"> PAGEREF _Toc89957174 \h </w:instrText>
        </w:r>
        <w:r w:rsidR="006A08C9">
          <w:rPr>
            <w:webHidden/>
          </w:rPr>
        </w:r>
        <w:r w:rsidR="006A08C9">
          <w:rPr>
            <w:webHidden/>
          </w:rPr>
          <w:fldChar w:fldCharType="separate"/>
        </w:r>
        <w:r w:rsidR="006A08C9">
          <w:rPr>
            <w:webHidden/>
          </w:rPr>
          <w:t>7</w:t>
        </w:r>
        <w:r w:rsidR="006A08C9">
          <w:rPr>
            <w:webHidden/>
          </w:rPr>
          <w:fldChar w:fldCharType="end"/>
        </w:r>
      </w:hyperlink>
    </w:p>
    <w:p w14:paraId="16AFF9DC" w14:textId="30DC27F3" w:rsidR="006A08C9" w:rsidRDefault="00524DE4">
      <w:pPr>
        <w:pStyle w:val="Innehll2"/>
        <w:rPr>
          <w:rFonts w:asciiTheme="minorHAnsi" w:eastAsiaTheme="minorEastAsia" w:hAnsiTheme="minorHAnsi" w:cstheme="minorBidi"/>
          <w:sz w:val="22"/>
          <w:szCs w:val="22"/>
          <w:lang w:val="sv-FI" w:eastAsia="sv-FI"/>
        </w:rPr>
      </w:pPr>
      <w:hyperlink w:anchor="_Toc89957175" w:history="1">
        <w:r w:rsidR="006A08C9" w:rsidRPr="00EE70D0">
          <w:rPr>
            <w:rStyle w:val="Hyperlnk"/>
          </w:rPr>
          <w:t>2. Ändring av landskapslagen om tilläggsavdrag för forsknings- och utvecklingsverksamhet under skatteåren 2021–2025</w:t>
        </w:r>
        <w:r w:rsidR="006A08C9">
          <w:rPr>
            <w:webHidden/>
          </w:rPr>
          <w:tab/>
        </w:r>
        <w:r w:rsidR="006A08C9">
          <w:rPr>
            <w:webHidden/>
          </w:rPr>
          <w:fldChar w:fldCharType="begin"/>
        </w:r>
        <w:r w:rsidR="006A08C9">
          <w:rPr>
            <w:webHidden/>
          </w:rPr>
          <w:instrText xml:space="preserve"> PAGEREF _Toc89957175 \h </w:instrText>
        </w:r>
        <w:r w:rsidR="006A08C9">
          <w:rPr>
            <w:webHidden/>
          </w:rPr>
        </w:r>
        <w:r w:rsidR="006A08C9">
          <w:rPr>
            <w:webHidden/>
          </w:rPr>
          <w:fldChar w:fldCharType="separate"/>
        </w:r>
        <w:r w:rsidR="006A08C9">
          <w:rPr>
            <w:webHidden/>
          </w:rPr>
          <w:t>7</w:t>
        </w:r>
        <w:r w:rsidR="006A08C9">
          <w:rPr>
            <w:webHidden/>
          </w:rPr>
          <w:fldChar w:fldCharType="end"/>
        </w:r>
      </w:hyperlink>
    </w:p>
    <w:p w14:paraId="78111C46" w14:textId="3F9DA0CE" w:rsidR="006A08C9" w:rsidRDefault="00524DE4">
      <w:pPr>
        <w:pStyle w:val="Innehll1"/>
        <w:rPr>
          <w:rFonts w:asciiTheme="minorHAnsi" w:eastAsiaTheme="minorEastAsia" w:hAnsiTheme="minorHAnsi" w:cstheme="minorBidi"/>
          <w:sz w:val="22"/>
          <w:szCs w:val="22"/>
          <w:lang w:val="sv-FI" w:eastAsia="sv-FI"/>
        </w:rPr>
      </w:pPr>
      <w:hyperlink w:anchor="_Toc89957176" w:history="1">
        <w:r w:rsidR="006A08C9" w:rsidRPr="00EE70D0">
          <w:rPr>
            <w:rStyle w:val="Hyperlnk"/>
          </w:rPr>
          <w:t>Lagtext</w:t>
        </w:r>
        <w:r w:rsidR="006A08C9">
          <w:rPr>
            <w:webHidden/>
          </w:rPr>
          <w:tab/>
        </w:r>
        <w:r w:rsidR="006A08C9">
          <w:rPr>
            <w:webHidden/>
          </w:rPr>
          <w:fldChar w:fldCharType="begin"/>
        </w:r>
        <w:r w:rsidR="006A08C9">
          <w:rPr>
            <w:webHidden/>
          </w:rPr>
          <w:instrText xml:space="preserve"> PAGEREF _Toc89957176 \h </w:instrText>
        </w:r>
        <w:r w:rsidR="006A08C9">
          <w:rPr>
            <w:webHidden/>
          </w:rPr>
        </w:r>
        <w:r w:rsidR="006A08C9">
          <w:rPr>
            <w:webHidden/>
          </w:rPr>
          <w:fldChar w:fldCharType="separate"/>
        </w:r>
        <w:r w:rsidR="006A08C9">
          <w:rPr>
            <w:webHidden/>
          </w:rPr>
          <w:t>8</w:t>
        </w:r>
        <w:r w:rsidR="006A08C9">
          <w:rPr>
            <w:webHidden/>
          </w:rPr>
          <w:fldChar w:fldCharType="end"/>
        </w:r>
      </w:hyperlink>
    </w:p>
    <w:p w14:paraId="4376B035" w14:textId="6270B303" w:rsidR="006A08C9" w:rsidRDefault="00524DE4">
      <w:pPr>
        <w:pStyle w:val="Innehll2"/>
        <w:rPr>
          <w:rFonts w:asciiTheme="minorHAnsi" w:eastAsiaTheme="minorEastAsia" w:hAnsiTheme="minorHAnsi" w:cstheme="minorBidi"/>
          <w:sz w:val="22"/>
          <w:szCs w:val="22"/>
          <w:lang w:val="sv-FI" w:eastAsia="sv-FI"/>
        </w:rPr>
      </w:pPr>
      <w:hyperlink w:anchor="_Toc89957177" w:history="1">
        <w:r w:rsidR="006A08C9" w:rsidRPr="00EE70D0">
          <w:rPr>
            <w:rStyle w:val="Hyperlnk"/>
            <w:lang w:val="en-GB"/>
          </w:rPr>
          <w:t xml:space="preserve">L A N D S K A P S L A G </w:t>
        </w:r>
        <w:r w:rsidR="006A08C9" w:rsidRPr="00EE70D0">
          <w:rPr>
            <w:rStyle w:val="Hyperlnk"/>
          </w:rPr>
          <w:t>om ändring av 29f § kommunalskattelagen för landskapet Åland</w:t>
        </w:r>
        <w:r w:rsidR="006A08C9">
          <w:rPr>
            <w:webHidden/>
          </w:rPr>
          <w:tab/>
        </w:r>
        <w:r w:rsidR="006A08C9">
          <w:rPr>
            <w:webHidden/>
          </w:rPr>
          <w:fldChar w:fldCharType="begin"/>
        </w:r>
        <w:r w:rsidR="006A08C9">
          <w:rPr>
            <w:webHidden/>
          </w:rPr>
          <w:instrText xml:space="preserve"> PAGEREF _Toc89957177 \h </w:instrText>
        </w:r>
        <w:r w:rsidR="006A08C9">
          <w:rPr>
            <w:webHidden/>
          </w:rPr>
        </w:r>
        <w:r w:rsidR="006A08C9">
          <w:rPr>
            <w:webHidden/>
          </w:rPr>
          <w:fldChar w:fldCharType="separate"/>
        </w:r>
        <w:r w:rsidR="006A08C9">
          <w:rPr>
            <w:webHidden/>
          </w:rPr>
          <w:t>8</w:t>
        </w:r>
        <w:r w:rsidR="006A08C9">
          <w:rPr>
            <w:webHidden/>
          </w:rPr>
          <w:fldChar w:fldCharType="end"/>
        </w:r>
      </w:hyperlink>
    </w:p>
    <w:p w14:paraId="3B52BA32" w14:textId="3607F440" w:rsidR="006A08C9" w:rsidRDefault="00524DE4">
      <w:pPr>
        <w:pStyle w:val="Innehll2"/>
        <w:rPr>
          <w:rFonts w:asciiTheme="minorHAnsi" w:eastAsiaTheme="minorEastAsia" w:hAnsiTheme="minorHAnsi" w:cstheme="minorBidi"/>
          <w:sz w:val="22"/>
          <w:szCs w:val="22"/>
          <w:lang w:val="sv-FI" w:eastAsia="sv-FI"/>
        </w:rPr>
      </w:pPr>
      <w:hyperlink w:anchor="_Toc89957178" w:history="1">
        <w:r w:rsidR="006A08C9" w:rsidRPr="00EE70D0">
          <w:rPr>
            <w:rStyle w:val="Hyperlnk"/>
            <w:lang w:val="en-GB"/>
          </w:rPr>
          <w:t>L A N D S K A P S L A G om ändring av landskapslagen om tilläggsavdrag för forsknings- och utvecklingsverksamhet under skatteåren 2021–2025</w:t>
        </w:r>
        <w:r w:rsidR="006A08C9">
          <w:rPr>
            <w:webHidden/>
          </w:rPr>
          <w:tab/>
        </w:r>
        <w:r w:rsidR="006A08C9">
          <w:rPr>
            <w:webHidden/>
          </w:rPr>
          <w:fldChar w:fldCharType="begin"/>
        </w:r>
        <w:r w:rsidR="006A08C9">
          <w:rPr>
            <w:webHidden/>
          </w:rPr>
          <w:instrText xml:space="preserve"> PAGEREF _Toc89957178 \h </w:instrText>
        </w:r>
        <w:r w:rsidR="006A08C9">
          <w:rPr>
            <w:webHidden/>
          </w:rPr>
        </w:r>
        <w:r w:rsidR="006A08C9">
          <w:rPr>
            <w:webHidden/>
          </w:rPr>
          <w:fldChar w:fldCharType="separate"/>
        </w:r>
        <w:r w:rsidR="006A08C9">
          <w:rPr>
            <w:webHidden/>
          </w:rPr>
          <w:t>8</w:t>
        </w:r>
        <w:r w:rsidR="006A08C9">
          <w:rPr>
            <w:webHidden/>
          </w:rPr>
          <w:fldChar w:fldCharType="end"/>
        </w:r>
      </w:hyperlink>
    </w:p>
    <w:p w14:paraId="6FBDDAF1" w14:textId="7686717C" w:rsidR="006A08C9" w:rsidRDefault="00524DE4">
      <w:pPr>
        <w:pStyle w:val="Innehll1"/>
        <w:rPr>
          <w:rFonts w:asciiTheme="minorHAnsi" w:eastAsiaTheme="minorEastAsia" w:hAnsiTheme="minorHAnsi" w:cstheme="minorBidi"/>
          <w:sz w:val="22"/>
          <w:szCs w:val="22"/>
          <w:lang w:val="sv-FI" w:eastAsia="sv-FI"/>
        </w:rPr>
      </w:pPr>
      <w:hyperlink w:anchor="_Toc89957179" w:history="1">
        <w:r w:rsidR="006A08C9" w:rsidRPr="00EE70D0">
          <w:rPr>
            <w:rStyle w:val="Hyperlnk"/>
          </w:rPr>
          <w:t>Parallelltexter</w:t>
        </w:r>
        <w:r w:rsidR="006A08C9">
          <w:rPr>
            <w:webHidden/>
          </w:rPr>
          <w:tab/>
        </w:r>
        <w:r w:rsidR="006A08C9">
          <w:rPr>
            <w:webHidden/>
          </w:rPr>
          <w:fldChar w:fldCharType="begin"/>
        </w:r>
        <w:r w:rsidR="006A08C9">
          <w:rPr>
            <w:webHidden/>
          </w:rPr>
          <w:instrText xml:space="preserve"> PAGEREF _Toc89957179 \h </w:instrText>
        </w:r>
        <w:r w:rsidR="006A08C9">
          <w:rPr>
            <w:webHidden/>
          </w:rPr>
        </w:r>
        <w:r w:rsidR="006A08C9">
          <w:rPr>
            <w:webHidden/>
          </w:rPr>
          <w:fldChar w:fldCharType="separate"/>
        </w:r>
        <w:r w:rsidR="006A08C9">
          <w:rPr>
            <w:webHidden/>
          </w:rPr>
          <w:t>10</w:t>
        </w:r>
        <w:r w:rsidR="006A08C9">
          <w:rPr>
            <w:webHidden/>
          </w:rPr>
          <w:fldChar w:fldCharType="end"/>
        </w:r>
      </w:hyperlink>
    </w:p>
    <w:p w14:paraId="0FE6CB26" w14:textId="61853407" w:rsidR="00AF3004" w:rsidRDefault="00AF3004">
      <w:pPr>
        <w:pStyle w:val="ANormal"/>
        <w:rPr>
          <w:noProof/>
        </w:rPr>
      </w:pPr>
      <w:r>
        <w:rPr>
          <w:rFonts w:ascii="Verdana" w:hAnsi="Verdana"/>
          <w:noProof/>
          <w:sz w:val="16"/>
          <w:szCs w:val="36"/>
        </w:rPr>
        <w:fldChar w:fldCharType="end"/>
      </w:r>
    </w:p>
    <w:p w14:paraId="240C2E8C" w14:textId="77777777" w:rsidR="00AF3004" w:rsidRDefault="00AF3004">
      <w:pPr>
        <w:pStyle w:val="ANormal"/>
      </w:pPr>
      <w:r>
        <w:br w:type="page"/>
      </w:r>
    </w:p>
    <w:p w14:paraId="02627E1D" w14:textId="74ED128D" w:rsidR="00AF3004" w:rsidRDefault="00671532">
      <w:pPr>
        <w:pStyle w:val="RubrikA"/>
      </w:pPr>
      <w:bookmarkStart w:id="2" w:name="_Toc89957165"/>
      <w:r>
        <w:lastRenderedPageBreak/>
        <w:t>M</w:t>
      </w:r>
      <w:r w:rsidR="00AF3004">
        <w:t>otivering</w:t>
      </w:r>
      <w:bookmarkEnd w:id="2"/>
    </w:p>
    <w:p w14:paraId="178CDC6E" w14:textId="77777777" w:rsidR="00AF3004" w:rsidRDefault="00AF3004">
      <w:pPr>
        <w:pStyle w:val="Rubrikmellanrum"/>
      </w:pPr>
    </w:p>
    <w:p w14:paraId="11F11CCA" w14:textId="77777777" w:rsidR="00AF3004" w:rsidRDefault="00AF3004">
      <w:pPr>
        <w:pStyle w:val="RubrikB"/>
      </w:pPr>
      <w:bookmarkStart w:id="3" w:name="_Toc89957166"/>
      <w:r>
        <w:t>1. Bakgrund</w:t>
      </w:r>
      <w:bookmarkEnd w:id="3"/>
    </w:p>
    <w:p w14:paraId="69EA3E08" w14:textId="77777777" w:rsidR="00AF3004" w:rsidRDefault="00AF3004">
      <w:pPr>
        <w:pStyle w:val="Rubrikmellanrum"/>
      </w:pPr>
    </w:p>
    <w:p w14:paraId="27E23CCD" w14:textId="77777777" w:rsidR="001D7D10" w:rsidRDefault="001D7D10" w:rsidP="001D7D10">
      <w:pPr>
        <w:pStyle w:val="RubrikC"/>
      </w:pPr>
      <w:bookmarkStart w:id="4" w:name="_Toc65658191"/>
      <w:bookmarkStart w:id="5" w:name="_Toc89957167"/>
      <w:r>
        <w:t xml:space="preserve">1.1. </w:t>
      </w:r>
      <w:bookmarkEnd w:id="4"/>
      <w:r w:rsidRPr="001B5433">
        <w:t>Gällande lagstiftning</w:t>
      </w:r>
      <w:bookmarkEnd w:id="5"/>
    </w:p>
    <w:p w14:paraId="2D4359D1" w14:textId="77777777" w:rsidR="001D7D10" w:rsidRPr="002D1CC1" w:rsidRDefault="001D7D10" w:rsidP="001D7D10">
      <w:pPr>
        <w:pStyle w:val="Rubrikmellanrum"/>
      </w:pPr>
    </w:p>
    <w:p w14:paraId="0BD97C7F" w14:textId="47A22A1F" w:rsidR="001D7D10" w:rsidRDefault="001D7D10" w:rsidP="001D7D10">
      <w:pPr>
        <w:pStyle w:val="ANormal"/>
      </w:pPr>
      <w:r>
        <w:t>Behörigheten att lagstifta om beskattning</w:t>
      </w:r>
      <w:r w:rsidR="00EB5F47">
        <w:t>en</w:t>
      </w:r>
      <w:r>
        <w:t xml:space="preserve"> av företag och samfälligheter (samfundsbeskattning</w:t>
      </w:r>
      <w:r w:rsidR="00EB5F47">
        <w:t>en</w:t>
      </w:r>
      <w:r>
        <w:t>) är delad mellan landskapet och riket.</w:t>
      </w:r>
      <w:r w:rsidRPr="003C7CAA">
        <w:t xml:space="preserve"> </w:t>
      </w:r>
      <w:r>
        <w:t>Skatt till kommunerna hör till området för landskapets lagstiftningsbehörighet enligt 18</w:t>
      </w:r>
      <w:r w:rsidR="006A08C9">
        <w:t> §</w:t>
      </w:r>
      <w:r>
        <w:t xml:space="preserve"> 5 p. självstyrelselagen,</w:t>
      </w:r>
      <w:r w:rsidRPr="00226DA0">
        <w:t xml:space="preserve"> </w:t>
      </w:r>
      <w:r>
        <w:t>medan skatt till staten hör till rikets behörighet enligt 27</w:t>
      </w:r>
      <w:r w:rsidR="006A08C9">
        <w:t> §</w:t>
      </w:r>
      <w:r>
        <w:t xml:space="preserve"> 36 p. Trots detta betraktas</w:t>
      </w:r>
      <w:r w:rsidRPr="001A7641">
        <w:t xml:space="preserve"> </w:t>
      </w:r>
      <w:r>
        <w:t>samfundsskatten</w:t>
      </w:r>
      <w:r w:rsidRPr="001A7641">
        <w:t xml:space="preserve"> </w:t>
      </w:r>
      <w:r>
        <w:t>i riket som en enhetlig skatt som fördelas mellan de båda skattetagarna staten och kommunerna. De enhetliga skattesatserna anges i 124</w:t>
      </w:r>
      <w:r w:rsidR="006A08C9">
        <w:t> §</w:t>
      </w:r>
      <w:r>
        <w:t xml:space="preserve"> i inkomstskattelagen (FFS 1535/1992) och för närvarande är de 20 </w:t>
      </w:r>
      <w:r w:rsidR="00ED7BA2">
        <w:t>procent</w:t>
      </w:r>
      <w:r>
        <w:t xml:space="preserve"> för samfund</w:t>
      </w:r>
      <w:r w:rsidR="00EB5F47">
        <w:t xml:space="preserve"> (företag)</w:t>
      </w:r>
      <w:r>
        <w:t xml:space="preserve"> och 26,5 </w:t>
      </w:r>
      <w:r w:rsidR="00ED7BA2">
        <w:t>procent</w:t>
      </w:r>
      <w:r>
        <w:t xml:space="preserve"> för samfällda förmåner</w:t>
      </w:r>
      <w:r w:rsidR="00EB5F47">
        <w:t xml:space="preserve"> (samfälligheter)</w:t>
      </w:r>
      <w:r>
        <w:t xml:space="preserve">. Bestämmelserna om hur </w:t>
      </w:r>
      <w:r w:rsidR="00ED7BA2">
        <w:t>intäkterna från samfundsskatten</w:t>
      </w:r>
      <w:r>
        <w:t xml:space="preserve"> fördelas mellan </w:t>
      </w:r>
      <w:proofErr w:type="spellStart"/>
      <w:r>
        <w:t>skattetagarna</w:t>
      </w:r>
      <w:proofErr w:type="spellEnd"/>
      <w:r>
        <w:t xml:space="preserve"> finns i 12</w:t>
      </w:r>
      <w:r w:rsidR="006A08C9">
        <w:t> §</w:t>
      </w:r>
      <w:r>
        <w:t xml:space="preserve"> i lagen om skatteredovisning (FFS 532/1998). Till den del samfundsskatten uppbärs till staten gäller bestämmelserna i rikslagstiftningen även för företag och samfälligheter på Åland.</w:t>
      </w:r>
      <w:r w:rsidRPr="00A35A24">
        <w:t xml:space="preserve"> </w:t>
      </w:r>
      <w:r>
        <w:t>När det gäller den kommunala andelen regleras den i kommunalskattelagen (2011:119) för landskapet Åland.</w:t>
      </w:r>
      <w:r w:rsidR="001E5300">
        <w:t xml:space="preserve"> Enligt lagens gällande lydelse är kommunalskattesatsen för samfund </w:t>
      </w:r>
      <w:r w:rsidR="00EB5F47">
        <w:t>6</w:t>
      </w:r>
      <w:r w:rsidR="001E5300">
        <w:t>,868</w:t>
      </w:r>
      <w:r w:rsidR="006A08C9">
        <w:t xml:space="preserve"> </w:t>
      </w:r>
      <w:r w:rsidR="001E5300">
        <w:t xml:space="preserve">procent och för samfällda förmåner </w:t>
      </w:r>
      <w:r w:rsidR="00EB5F47">
        <w:t>9</w:t>
      </w:r>
      <w:r w:rsidR="001E5300">
        <w:t>,0</w:t>
      </w:r>
      <w:r w:rsidR="00EB5F47">
        <w:t>6035</w:t>
      </w:r>
      <w:r w:rsidR="006A08C9">
        <w:t xml:space="preserve"> </w:t>
      </w:r>
      <w:r w:rsidR="001E5300">
        <w:t xml:space="preserve">procent </w:t>
      </w:r>
      <w:r w:rsidR="00EB5F47">
        <w:t>för</w:t>
      </w:r>
      <w:r w:rsidR="001E5300">
        <w:t xml:space="preserve"> skatteåret 202</w:t>
      </w:r>
      <w:r w:rsidR="00EB5F47">
        <w:t>2</w:t>
      </w:r>
      <w:r w:rsidR="001E5300">
        <w:t>.</w:t>
      </w:r>
      <w:r>
        <w:t xml:space="preserve"> </w:t>
      </w:r>
      <w:bookmarkStart w:id="6" w:name="_Hlk57715359"/>
      <w:r>
        <w:t>Formellt sett är kommunalskattesatserna inte beroende av bestämmelserna i rikslagstiftningen, men lagtinget har hittills valt att sätta procentsatserna så att de totala skattesatserna är desamma på Åland som i riket.</w:t>
      </w:r>
    </w:p>
    <w:bookmarkEnd w:id="6"/>
    <w:p w14:paraId="76A734C6" w14:textId="20A250DE" w:rsidR="00913078" w:rsidRDefault="001D7D10" w:rsidP="001D7D10">
      <w:pPr>
        <w:pStyle w:val="ANormal"/>
      </w:pPr>
      <w:r>
        <w:tab/>
        <w:t>Kommunalskattelagen är en</w:t>
      </w:r>
      <w:r w:rsidR="00EB5F47">
        <w:t xml:space="preserve"> så kallad</w:t>
      </w:r>
      <w:r>
        <w:t xml:space="preserve"> blankettlag som anger att inkomstskattelagen och lagen om skatteredovisning med vissa undantag ska tillämpas i landskapet. Sådana undantag är till exempel kommunalskattesatsen för samfund och fördelningen av samfundsskatten mellan de enskilda kommunerna.</w:t>
      </w:r>
      <w:r w:rsidR="006B13D0">
        <w:t xml:space="preserve"> </w:t>
      </w:r>
      <w:r>
        <w:t>Kommunalbeskattningen av näringsverksamhet och jordbruk regleras</w:t>
      </w:r>
      <w:r w:rsidR="006B13D0">
        <w:t xml:space="preserve"> dessutom</w:t>
      </w:r>
      <w:r>
        <w:t xml:space="preserve"> i </w:t>
      </w:r>
      <w:bookmarkStart w:id="7" w:name="_Hlk61007018"/>
      <w:r>
        <w:t xml:space="preserve">landskapslagen (1993:42) om kommunalskatt för näringsverksamhet </w:t>
      </w:r>
      <w:bookmarkEnd w:id="7"/>
      <w:r>
        <w:t>respektive landskapslagen (1993:41) om kommunalskatt för gårdsbruk.</w:t>
      </w:r>
      <w:r w:rsidRPr="00023D9B">
        <w:t xml:space="preserve"> </w:t>
      </w:r>
      <w:r>
        <w:t>Även dessa lagar är blankettlagar. Den förstnämnda anger att resultatet av näringsverksamhet beräknas i enlighet med lagen om beskattning av inkomst av näringsverksamhet (FFS 360/1968), medan den sistnämnda anger att resultatet av jordbruk beräknas i enlighet med inkomstskattelagen för gårdsbruk (FFS 543/1967).</w:t>
      </w:r>
      <w:r w:rsidRPr="00830F2D">
        <w:t xml:space="preserve"> </w:t>
      </w:r>
      <w:r w:rsidR="00EB5F47">
        <w:t>Dessutom</w:t>
      </w:r>
      <w:r w:rsidR="00EB5F47" w:rsidRPr="00EB5F47">
        <w:t xml:space="preserve"> </w:t>
      </w:r>
      <w:r w:rsidR="00EB5F47">
        <w:t>tillämpas lagen om beskattningsförfarande (FFS 1558/1995) vid kommunalbeskattningen på Åland med stöd av landskapslagen (1997:38) om tillämpning i landskapet Åland av rikslagstiftningen om beskattningsförfarande.</w:t>
      </w:r>
    </w:p>
    <w:p w14:paraId="31B14556" w14:textId="0FEC5253" w:rsidR="00913078" w:rsidRDefault="00913078" w:rsidP="001D7D10">
      <w:pPr>
        <w:pStyle w:val="ANormal"/>
      </w:pPr>
      <w:r>
        <w:tab/>
      </w:r>
      <w:r w:rsidR="00EB5F47">
        <w:t xml:space="preserve">Slutligen </w:t>
      </w:r>
      <w:r w:rsidR="006B13D0">
        <w:t>finns</w:t>
      </w:r>
      <w:r w:rsidR="00ED7BA2">
        <w:t xml:space="preserve"> också</w:t>
      </w:r>
      <w:r w:rsidR="00F8330B">
        <w:t xml:space="preserve"> </w:t>
      </w:r>
      <w:r w:rsidR="00EB5F47">
        <w:t xml:space="preserve">ett par </w:t>
      </w:r>
      <w:r w:rsidR="00AB5269">
        <w:t>tidsbegränsade</w:t>
      </w:r>
      <w:r w:rsidR="00EB5F47">
        <w:t xml:space="preserve"> blankettlagar om skatte</w:t>
      </w:r>
      <w:bookmarkStart w:id="8" w:name="_Hlk88035647"/>
      <w:r w:rsidR="00EB5F47">
        <w:t xml:space="preserve">lättnader. </w:t>
      </w:r>
      <w:r w:rsidR="00754FB8">
        <w:t>En av dem är l</w:t>
      </w:r>
      <w:r w:rsidR="00F8330B">
        <w:t>andskapslag</w:t>
      </w:r>
      <w:r w:rsidR="00EB5F47">
        <w:t>en</w:t>
      </w:r>
      <w:r w:rsidR="00F8330B">
        <w:t xml:space="preserve"> </w:t>
      </w:r>
      <w:r w:rsidR="006B13D0">
        <w:t>(2021:74) om tilläggsavdrag för forsknings- och utvecklingsverksamhet under skatteåren 2021–2025</w:t>
      </w:r>
      <w:bookmarkEnd w:id="8"/>
      <w:r w:rsidR="00E05C1B">
        <w:t xml:space="preserve"> som</w:t>
      </w:r>
      <w:r w:rsidR="006B13D0">
        <w:t xml:space="preserve"> anger att lagen om ett tilläggsavdrag för forsknings- och utvecklingsverksamhet under skatteåren 2021–2025 (FFS 1078/2020) ska tillämpas vid kommunalbeskattningen på Åland. </w:t>
      </w:r>
      <w:r>
        <w:t>Enligt lagen har alla skattskyldiga som bedriver näringsverksamhet eller jordbruk</w:t>
      </w:r>
      <w:r w:rsidR="00ED7BA2">
        <w:t>,</w:t>
      </w:r>
      <w:r>
        <w:t xml:space="preserve"> och som har forskningssamarbete med en forskningsorganisation som uppfyller kriterierna</w:t>
      </w:r>
      <w:r w:rsidR="00ED7BA2">
        <w:t>,</w:t>
      </w:r>
      <w:r w:rsidRPr="00913078">
        <w:t xml:space="preserve"> </w:t>
      </w:r>
      <w:r>
        <w:t>rätt att göra tilläggsavdraget. Avdraget ska göras från inkomsten av näringsverksamheten eller jordbruket. Avdragsbeloppet är 50 procent av företagets fakturor för underentreprenad för forskningsprojekt. Maxbeloppet för avdraget är 500 000 euro per skatteår och det minsta beloppet är 5 000 euro.</w:t>
      </w:r>
    </w:p>
    <w:p w14:paraId="3189D83F" w14:textId="7F4EF836" w:rsidR="001D7D10" w:rsidRDefault="00E154C7" w:rsidP="001D7D10">
      <w:pPr>
        <w:pStyle w:val="ANormal"/>
      </w:pPr>
      <w:r>
        <w:tab/>
      </w:r>
      <w:r w:rsidR="001D7D10">
        <w:t>För</w:t>
      </w:r>
      <w:r w:rsidR="006B13D0">
        <w:t xml:space="preserve"> samtliga</w:t>
      </w:r>
      <w:r w:rsidR="001D7D10">
        <w:t xml:space="preserve"> </w:t>
      </w:r>
      <w:r w:rsidR="00913078">
        <w:t>ovannämnda</w:t>
      </w:r>
      <w:r w:rsidR="001D7D10">
        <w:t xml:space="preserve"> landskapslagar gäller att ändringar i riksförfattningarna träder i kraft automatiskt </w:t>
      </w:r>
      <w:r w:rsidR="00ED7BA2">
        <w:t>på Åland</w:t>
      </w:r>
      <w:r w:rsidR="001D7D10">
        <w:t xml:space="preserve"> samtidigt som i riket, förutom när det gäller bestämmelser som utgör undantag från rikslagstiftningen.</w:t>
      </w:r>
    </w:p>
    <w:p w14:paraId="1039C700" w14:textId="183D7481" w:rsidR="001D7D10" w:rsidRDefault="001D7D10" w:rsidP="001D7D10">
      <w:pPr>
        <w:pStyle w:val="ANormal"/>
      </w:pPr>
    </w:p>
    <w:p w14:paraId="6BABA587" w14:textId="68C61C58" w:rsidR="001D7D10" w:rsidRDefault="001D7D10" w:rsidP="001D7D10">
      <w:pPr>
        <w:pStyle w:val="RubrikC"/>
      </w:pPr>
      <w:bookmarkStart w:id="9" w:name="_Toc65658192"/>
      <w:bookmarkStart w:id="10" w:name="_Toc89957168"/>
      <w:bookmarkStart w:id="11" w:name="_Hlk61528537"/>
      <w:r>
        <w:lastRenderedPageBreak/>
        <w:t>1.2. Åtgärder som vidtagits i riket för skatteåret 202</w:t>
      </w:r>
      <w:bookmarkEnd w:id="9"/>
      <w:r w:rsidR="001E5300">
        <w:t>2</w:t>
      </w:r>
      <w:bookmarkEnd w:id="10"/>
    </w:p>
    <w:p w14:paraId="32FA10BF" w14:textId="77777777" w:rsidR="001D7D10" w:rsidRDefault="001D7D10" w:rsidP="001D7D10">
      <w:pPr>
        <w:pStyle w:val="Rubrikmellanrum"/>
      </w:pPr>
    </w:p>
    <w:bookmarkEnd w:id="11"/>
    <w:p w14:paraId="3E614E06" w14:textId="0C401BAE" w:rsidR="001D7D10" w:rsidRDefault="001E5300" w:rsidP="001D7D10">
      <w:pPr>
        <w:pStyle w:val="ANormal"/>
      </w:pPr>
      <w:r>
        <w:t xml:space="preserve">I samband med att förslaget till statsbudget </w:t>
      </w:r>
      <w:r w:rsidR="00036407">
        <w:t xml:space="preserve">för 2022 </w:t>
      </w:r>
      <w:r>
        <w:t>lämnades till riksdagen överlämnades ett antal propositioner med förslag till lagändringar som rör beskattningen av samfund och samfällda förmåner.</w:t>
      </w:r>
    </w:p>
    <w:p w14:paraId="24E88332" w14:textId="1FF2624D" w:rsidR="00841B81" w:rsidRDefault="00841B81" w:rsidP="001D7D10">
      <w:pPr>
        <w:pStyle w:val="ANormal"/>
      </w:pPr>
      <w:r>
        <w:tab/>
        <w:t xml:space="preserve">I en proposition </w:t>
      </w:r>
      <w:bookmarkStart w:id="12" w:name="_Hlk88473966"/>
      <w:r>
        <w:t xml:space="preserve">(RP 186/2021) </w:t>
      </w:r>
      <w:bookmarkEnd w:id="12"/>
      <w:r>
        <w:t>föreslås att lagen om ett tilläggsavdrag för forsknings- och utvecklingsverksamhet under skatteåren 2021–2025 ändras</w:t>
      </w:r>
      <w:r w:rsidR="00036407">
        <w:t>.</w:t>
      </w:r>
      <w:r>
        <w:t xml:space="preserve"> </w:t>
      </w:r>
      <w:r w:rsidR="00036407">
        <w:t>Ändringen innebär</w:t>
      </w:r>
      <w:r>
        <w:t xml:space="preserve"> att det för </w:t>
      </w:r>
      <w:bookmarkStart w:id="13" w:name="_Hlk88209529"/>
      <w:r>
        <w:t xml:space="preserve">godtagbara utgifter för forsknings- och utvecklingsverksamhet </w:t>
      </w:r>
      <w:bookmarkEnd w:id="13"/>
      <w:r>
        <w:t xml:space="preserve">som uppfyller lagens definitioner beviljas ett högre tilläggsavdrag på 150 procent </w:t>
      </w:r>
      <w:r w:rsidR="00097765">
        <w:t>från ingången av 2022</w:t>
      </w:r>
      <w:r w:rsidR="00036407">
        <w:t>,</w:t>
      </w:r>
      <w:r w:rsidR="00097765">
        <w:t xml:space="preserve"> </w:t>
      </w:r>
      <w:r>
        <w:t>i stället för det nuvarande tilläggsavdraget på 50 procent. Dessutom föreslås att lagens giltighetstid förlängs till utgången av 2027. På grund av förlängningen föreslås också att lagens rubrik ändras så att den motsvarar den nya giltighetstiden.</w:t>
      </w:r>
    </w:p>
    <w:p w14:paraId="4DEAAFD5" w14:textId="351B607D" w:rsidR="00097765" w:rsidRDefault="00841B81" w:rsidP="00841B81">
      <w:pPr>
        <w:pStyle w:val="ANormal"/>
        <w:rPr>
          <w:lang w:val="sv-FI"/>
        </w:rPr>
      </w:pPr>
      <w:r>
        <w:rPr>
          <w:lang w:val="sv-FI"/>
        </w:rPr>
        <w:tab/>
      </w:r>
      <w:r w:rsidR="00097765">
        <w:rPr>
          <w:lang w:val="sv-FI"/>
        </w:rPr>
        <w:t>Genom två andra propositione</w:t>
      </w:r>
      <w:r w:rsidR="00036407">
        <w:rPr>
          <w:lang w:val="sv-FI"/>
        </w:rPr>
        <w:t>r</w:t>
      </w:r>
      <w:r w:rsidR="00097765">
        <w:rPr>
          <w:lang w:val="sv-FI"/>
        </w:rPr>
        <w:t xml:space="preserve"> föreslås vissa ändringar i beskattningen av </w:t>
      </w:r>
      <w:r w:rsidR="00716A6C">
        <w:rPr>
          <w:lang w:val="sv-FI"/>
        </w:rPr>
        <w:t>samfund</w:t>
      </w:r>
      <w:r w:rsidR="00097765">
        <w:rPr>
          <w:lang w:val="sv-FI"/>
        </w:rPr>
        <w:t xml:space="preserve">. Den ena gäller en precisering av en </w:t>
      </w:r>
      <w:r w:rsidR="00097765">
        <w:t xml:space="preserve">bestämmelse om rättelse av internprissättning i </w:t>
      </w:r>
      <w:bookmarkStart w:id="14" w:name="_Hlk88228403"/>
      <w:r w:rsidR="00097765">
        <w:t xml:space="preserve">lagen om beskattningsförfarande </w:t>
      </w:r>
      <w:bookmarkEnd w:id="14"/>
      <w:r w:rsidR="00097765">
        <w:t xml:space="preserve">(se vidare </w:t>
      </w:r>
      <w:r w:rsidR="00097765">
        <w:rPr>
          <w:lang w:val="sv-FI"/>
        </w:rPr>
        <w:t>RP 188/2021). Genom den andra propositionen föreslås</w:t>
      </w:r>
      <w:r w:rsidR="00097765" w:rsidRPr="00097765">
        <w:t xml:space="preserve"> </w:t>
      </w:r>
      <w:r w:rsidR="00097765">
        <w:t xml:space="preserve">bland annat att en bestämmelse om ränteavdragsbegränsning i </w:t>
      </w:r>
      <w:bookmarkStart w:id="15" w:name="_Hlk88228296"/>
      <w:r w:rsidR="00097765">
        <w:t xml:space="preserve">lagen om beskattning av inkomst av näringsverksamhet </w:t>
      </w:r>
      <w:bookmarkEnd w:id="15"/>
      <w:r w:rsidR="00ED7BA2">
        <w:t>förtydligas</w:t>
      </w:r>
      <w:r w:rsidR="00097765">
        <w:t xml:space="preserve"> (se vidare </w:t>
      </w:r>
      <w:r w:rsidR="00097765">
        <w:rPr>
          <w:lang w:val="sv-FI"/>
        </w:rPr>
        <w:t>RP 211/2021).</w:t>
      </w:r>
    </w:p>
    <w:p w14:paraId="172C78DA" w14:textId="41DB3EEE" w:rsidR="008C2FA3" w:rsidRDefault="000F1E11" w:rsidP="001D7D10">
      <w:pPr>
        <w:pStyle w:val="ANormal"/>
      </w:pPr>
      <w:r>
        <w:tab/>
        <w:t>Effekterna på samfundsskatteintäkterna som de ovanstående åtgärderna för med sig neutraliseras genom att fördelningen av samfundsskatten mellan staten och kommunerna ändras. Enligt en proposition (RP 213/2021) föreslås att kommunernas andel av intäkterna från samfundsskatten 2022 sänks med 0,43 procentenheter från 34,19</w:t>
      </w:r>
      <w:r w:rsidR="00ED7BA2">
        <w:t xml:space="preserve"> </w:t>
      </w:r>
      <w:r>
        <w:t>till 33,76 procent och att statens utdelning höjs från 65,81</w:t>
      </w:r>
      <w:r w:rsidR="00ED7BA2">
        <w:t xml:space="preserve"> </w:t>
      </w:r>
      <w:r>
        <w:t>till 66,24 procent.</w:t>
      </w:r>
    </w:p>
    <w:p w14:paraId="2F037E06" w14:textId="77777777" w:rsidR="00F02170" w:rsidRDefault="00F02170" w:rsidP="00F02170">
      <w:pPr>
        <w:pStyle w:val="ANormal"/>
      </w:pPr>
    </w:p>
    <w:p w14:paraId="34067935" w14:textId="4CB09DCC" w:rsidR="00F02170" w:rsidRDefault="00F02170" w:rsidP="00F02170">
      <w:pPr>
        <w:pStyle w:val="RubrikB"/>
      </w:pPr>
      <w:bookmarkStart w:id="16" w:name="_Toc65658194"/>
      <w:bookmarkStart w:id="17" w:name="_Toc89957169"/>
      <w:r>
        <w:t>2. Överväganden och landskapsregeringens förslag</w:t>
      </w:r>
      <w:bookmarkEnd w:id="16"/>
      <w:bookmarkEnd w:id="17"/>
    </w:p>
    <w:p w14:paraId="7764B59A" w14:textId="77777777" w:rsidR="00F02170" w:rsidRDefault="00F02170" w:rsidP="00F02170">
      <w:pPr>
        <w:pStyle w:val="Rubrikmellanrum"/>
      </w:pPr>
    </w:p>
    <w:p w14:paraId="6D97BC7E" w14:textId="3336CC1E" w:rsidR="00F02170" w:rsidRDefault="00F02170" w:rsidP="00F02170">
      <w:pPr>
        <w:pStyle w:val="ANormal"/>
      </w:pPr>
      <w:r>
        <w:t xml:space="preserve">En del av de ändringar i beskattningen av samfund och samfällda förmåner som föreslås i riket för skatteåret 2022 är sådana att de automatiskt träder i kraft även på Åland. Det gäller ändringarna av lagen om beskattningsförfarande och lagen om beskattning av inkomst av näringsverksamhet. Den föreslagna ändringen av lagen om ett tilläggsavdrag för forsknings- och utvecklingsverksamhet under skatteåren 2021–2025 skulle också ha trätt i kraft med stöd av automatiken i blankettlagen, om det inte vore för att man samtidigt ändrar lagens namn. Det </w:t>
      </w:r>
      <w:r w:rsidR="00036407">
        <w:t>innebär</w:t>
      </w:r>
      <w:r>
        <w:t xml:space="preserve"> att hänvisningarna i landskapslagen om tilläggsavdrag för forsknings- och utvecklingsverksamhet under skatte</w:t>
      </w:r>
      <w:r w:rsidR="006A08C9">
        <w:t>-</w:t>
      </w:r>
      <w:r>
        <w:t xml:space="preserve">åren 2021–2025 </w:t>
      </w:r>
      <w:r w:rsidR="00036407">
        <w:t>endast kommer att avse rikslagen i dess ursprungliga lydelse</w:t>
      </w:r>
      <w:r>
        <w:t>.</w:t>
      </w:r>
      <w:r w:rsidR="00036407">
        <w:t xml:space="preserve"> Samtidigt kommer den att tillämpas i sin ändrade lydelse vid statsbeskattningen även på Åland.</w:t>
      </w:r>
    </w:p>
    <w:p w14:paraId="71272F2C" w14:textId="607D5A7D" w:rsidR="00F02170" w:rsidRPr="008839CE" w:rsidRDefault="00F02170" w:rsidP="00F02170">
      <w:pPr>
        <w:pStyle w:val="ANormal"/>
      </w:pPr>
      <w:r>
        <w:tab/>
        <w:t>Den ändrade fördelningen av samfundsskatten mellan staten och kommunerna innebär att statens andel höjs med 0,43 procentenheter jämfört med vad som föreskrivs för 2022 enligt nu gällande lagstiftning. I praktiken leder det till en höjning av den totala skattesatsen för samfund och samfällda förmåner på Åland. Det innebär att den totala skattesatsen för åländska företag under skatteåret 2022 skulle bli 20,086</w:t>
      </w:r>
      <w:r w:rsidR="006A08C9">
        <w:t xml:space="preserve"> </w:t>
      </w:r>
      <w:r>
        <w:t>procent i stället för 20 procent som hittills. För samfällda förmåner skulle den totala skattesatsen bli 26,614</w:t>
      </w:r>
      <w:r w:rsidR="006A08C9">
        <w:t xml:space="preserve"> </w:t>
      </w:r>
      <w:r>
        <w:t>procent i stället för nuvarande 26,5</w:t>
      </w:r>
      <w:r w:rsidR="006A08C9">
        <w:t xml:space="preserve"> </w:t>
      </w:r>
      <w:r>
        <w:t>procent.</w:t>
      </w:r>
    </w:p>
    <w:p w14:paraId="07499F80" w14:textId="73514992" w:rsidR="00F02170" w:rsidRDefault="00F02170" w:rsidP="00F02170">
      <w:pPr>
        <w:pStyle w:val="ANormal"/>
      </w:pPr>
      <w:bookmarkStart w:id="18" w:name="_Hlk88232917"/>
      <w:r>
        <w:tab/>
        <w:t xml:space="preserve">Landskapsregeringen föreslår att blankettlagen om ett tilläggsavdrag för forsknings- och utvecklingsverksamhet anpassas till ändringarna i rikslagstiftningen, så att de åländska företagen även under skatteåren 2022–2027 har samma möjlighet att </w:t>
      </w:r>
      <w:r w:rsidR="00036407">
        <w:t>dra nytta av</w:t>
      </w:r>
      <w:r>
        <w:t xml:space="preserve"> avdraget som företagen i riket.</w:t>
      </w:r>
    </w:p>
    <w:bookmarkEnd w:id="18"/>
    <w:p w14:paraId="2E78B65C" w14:textId="4405563C" w:rsidR="00F02170" w:rsidRDefault="00F02170" w:rsidP="00F02170">
      <w:pPr>
        <w:pStyle w:val="ANormal"/>
      </w:pPr>
      <w:r>
        <w:tab/>
        <w:t>Landskapsregeringen föreslår att kommunalskattesatserna för samfund och samfällda förmåner för skatteåret 2022 sänks så att de totala skattesatserna kvarstår oförändrade.</w:t>
      </w:r>
    </w:p>
    <w:p w14:paraId="29EB964B" w14:textId="762C8309" w:rsidR="00AF3004" w:rsidRDefault="00AF3004">
      <w:pPr>
        <w:pStyle w:val="ANormal"/>
      </w:pPr>
    </w:p>
    <w:p w14:paraId="1C4460C2" w14:textId="2936C268" w:rsidR="0091527C" w:rsidRDefault="00F02170" w:rsidP="00D5235A">
      <w:pPr>
        <w:pStyle w:val="RubrikB"/>
      </w:pPr>
      <w:bookmarkStart w:id="19" w:name="_Toc31186287"/>
      <w:bookmarkStart w:id="20" w:name="_Toc89957170"/>
      <w:r>
        <w:lastRenderedPageBreak/>
        <w:t>3</w:t>
      </w:r>
      <w:r w:rsidR="0091527C">
        <w:t xml:space="preserve">. Ändrad fördelning av samfundsskatten mellan staten och kommunerna </w:t>
      </w:r>
      <w:bookmarkEnd w:id="19"/>
      <w:r w:rsidR="003B7FC7">
        <w:t>från och med 2023</w:t>
      </w:r>
      <w:bookmarkEnd w:id="20"/>
    </w:p>
    <w:p w14:paraId="0640A668" w14:textId="5CBBF758" w:rsidR="0091527C" w:rsidRDefault="0091527C" w:rsidP="0091527C">
      <w:pPr>
        <w:pStyle w:val="Rubrikmellanrum"/>
      </w:pPr>
    </w:p>
    <w:p w14:paraId="320CC243" w14:textId="2EFF6E47" w:rsidR="0037748F" w:rsidRPr="0037748F" w:rsidRDefault="0037748F" w:rsidP="0037748F">
      <w:pPr>
        <w:pStyle w:val="ANormal"/>
      </w:pPr>
      <w:r>
        <w:t>Den ovannämnda RP 213/2021 innehåller också ändringar av fördelningen av samfundsskatten för skatteåren 2023 och framåt</w:t>
      </w:r>
      <w:r w:rsidR="000B3BF0">
        <w:t xml:space="preserve">. Det är frågan om dels ändring av de temporära bestämmelserna om fördelningen skatteåren 2023–2027, dels </w:t>
      </w:r>
      <w:r w:rsidR="00211EC7">
        <w:t xml:space="preserve">en </w:t>
      </w:r>
      <w:r w:rsidR="000B3BF0">
        <w:t>ändring av den permanenta fördelningen som gäller från och med skatteåret 2028.</w:t>
      </w:r>
    </w:p>
    <w:p w14:paraId="1CC116CA" w14:textId="1BCA1A0F" w:rsidR="00C64858" w:rsidRDefault="000B3BF0" w:rsidP="0091527C">
      <w:pPr>
        <w:pStyle w:val="ANormal"/>
      </w:pPr>
      <w:r>
        <w:tab/>
      </w:r>
      <w:r w:rsidR="00C64858">
        <w:t>Sedan skatteåret 2020 har ett par lagar om skattelättnader för företag införts, dels den tidigare nämnda lagen om ett tilläggsavdrag för forsknings- och utvecklingsverksamhet, dels en lag om höjda avskrivningar på maskiner, inventarier och andra därmed jämförbara lösa anläggningstillgångar skatte</w:t>
      </w:r>
      <w:r w:rsidR="006A08C9">
        <w:t>-</w:t>
      </w:r>
      <w:r w:rsidR="00C64858">
        <w:t>åren 2020–2023 (FFS 1572/2019</w:t>
      </w:r>
      <w:r w:rsidR="0067398A">
        <w:t>)</w:t>
      </w:r>
      <w:r w:rsidR="00333BFB">
        <w:t>, som också tillämpas på Åland med stöd av landskapslagen (2020:76)</w:t>
      </w:r>
      <w:r w:rsidR="00333BFB" w:rsidRPr="00333BFB">
        <w:t xml:space="preserve"> </w:t>
      </w:r>
      <w:r w:rsidR="00333BFB">
        <w:t>om skattelättnader vid kommunalbeskattningen för skatteåren 2020–2023</w:t>
      </w:r>
      <w:r w:rsidR="00C64858">
        <w:t xml:space="preserve">. </w:t>
      </w:r>
      <w:r w:rsidR="00333BFB">
        <w:t>L</w:t>
      </w:r>
      <w:r w:rsidR="00C64858">
        <w:t>agstiftning</w:t>
      </w:r>
      <w:r w:rsidR="00333BFB">
        <w:t>en om skattelättnader</w:t>
      </w:r>
      <w:r w:rsidR="00C64858">
        <w:t xml:space="preserve"> beräknas påverka intäkterna från samfundsbeskattningen i olika grad fram till och med skatteåret 2027. För att neutralisera den effekten har fördelningen av samfundsskatten mellan staten och kommunerna anpassats till den beräknade effekten</w:t>
      </w:r>
      <w:r w:rsidR="004C2733">
        <w:t xml:space="preserve"> för varje enskilt skatteår. </w:t>
      </w:r>
      <w:r w:rsidR="00980C60">
        <w:t>Det här regleras i en temporär 12f</w:t>
      </w:r>
      <w:r w:rsidR="006A08C9">
        <w:t> §</w:t>
      </w:r>
      <w:r w:rsidR="00980C60">
        <w:t xml:space="preserve"> i lagen om skatteredovisning. </w:t>
      </w:r>
      <w:r w:rsidR="009421EB">
        <w:t>Den permanenta fördelningen anges i lagens 12</w:t>
      </w:r>
      <w:r w:rsidR="006A08C9">
        <w:t> §</w:t>
      </w:r>
      <w:r w:rsidR="009421EB">
        <w:t xml:space="preserve">, och kommer att tillämpas från och med skatteåret 2028. </w:t>
      </w:r>
      <w:r w:rsidR="00980C60">
        <w:t>På motsvarande sätt regleras kommunalskattesatsen för samfund och samfällda förmåner på Åland under dessa år i en temporär 29f</w:t>
      </w:r>
      <w:r w:rsidR="006A08C9">
        <w:t> §</w:t>
      </w:r>
      <w:r w:rsidR="00980C60">
        <w:t xml:space="preserve"> i kommunalskattelagen</w:t>
      </w:r>
      <w:r w:rsidR="009421EB">
        <w:t>, medan den permanenta skattesatsen anges i lagens 29</w:t>
      </w:r>
      <w:r w:rsidR="006A08C9">
        <w:t> §</w:t>
      </w:r>
      <w:r w:rsidR="00980C60">
        <w:t>.</w:t>
      </w:r>
    </w:p>
    <w:p w14:paraId="655B28A0" w14:textId="17504868" w:rsidR="00C64858" w:rsidRDefault="002F335B" w:rsidP="0091527C">
      <w:pPr>
        <w:pStyle w:val="ANormal"/>
      </w:pPr>
      <w:r>
        <w:tab/>
        <w:t>De åtgärder som beskrivs i avsnitt</w:t>
      </w:r>
      <w:r w:rsidR="0067398A">
        <w:t xml:space="preserve"> 1.2 ovan</w:t>
      </w:r>
      <w:r>
        <w:t xml:space="preserve"> påverkar intäkterna från samfundsskatten inte bara </w:t>
      </w:r>
      <w:r w:rsidR="00333BFB">
        <w:t xml:space="preserve">under </w:t>
      </w:r>
      <w:r>
        <w:t xml:space="preserve">2022, utan också </w:t>
      </w:r>
      <w:r w:rsidR="00333BFB">
        <w:t xml:space="preserve">under </w:t>
      </w:r>
      <w:r>
        <w:t>åren 2023</w:t>
      </w:r>
      <w:r w:rsidR="005966D1">
        <w:t xml:space="preserve"> och framåt</w:t>
      </w:r>
      <w:r>
        <w:t>.</w:t>
      </w:r>
      <w:r w:rsidR="00333BFB">
        <w:t xml:space="preserve"> Från och med ingången av 2023 träder också den så kallade social- och hälsovårdsreformen (SOTE</w:t>
      </w:r>
      <w:r w:rsidR="0067398A">
        <w:t>-reformen</w:t>
      </w:r>
      <w:r w:rsidR="00333BFB">
        <w:t>) i kraft i riket. Genom reformen överförs ansvaret för social- och hälsovård från kommunerna till de nya välfärdsområdena. Kostnadsansvaret överförs samtidigt från kommunerna till staten.</w:t>
      </w:r>
      <w:r w:rsidR="0008359A">
        <w:t xml:space="preserve"> Av den anledningen </w:t>
      </w:r>
      <w:r w:rsidR="00967DC2">
        <w:t xml:space="preserve">kommer statens andel av samfundsskatteintäkterna </w:t>
      </w:r>
      <w:r w:rsidR="0067398A">
        <w:t xml:space="preserve">från och med skatteåret 2023 </w:t>
      </w:r>
      <w:r w:rsidR="00967DC2">
        <w:t>att höjas med runt 10</w:t>
      </w:r>
      <w:r w:rsidR="006A08C9">
        <w:t xml:space="preserve"> </w:t>
      </w:r>
      <w:r w:rsidR="00967DC2">
        <w:t>procentenheter, och kommunernas andel sänks i motsvarande grad. Även denna ändring ingår i den ovannämnda propositionen.</w:t>
      </w:r>
      <w:r w:rsidR="00A002C2">
        <w:t xml:space="preserve"> I tabellen nedan visas den föreslagna fördelningen av samfundsskatten mellan skattetagarna:</w:t>
      </w:r>
    </w:p>
    <w:p w14:paraId="3D8BAD0E" w14:textId="77777777" w:rsidR="009421EB" w:rsidRDefault="009421EB" w:rsidP="0091527C">
      <w:pPr>
        <w:pStyle w:val="ANormal"/>
      </w:pPr>
    </w:p>
    <w:tbl>
      <w:tblPr>
        <w:tblStyle w:val="Tabellrutnt"/>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84"/>
        <w:gridCol w:w="684"/>
        <w:gridCol w:w="685"/>
        <w:gridCol w:w="684"/>
        <w:gridCol w:w="684"/>
        <w:gridCol w:w="685"/>
        <w:gridCol w:w="1276"/>
      </w:tblGrid>
      <w:tr w:rsidR="009421EB" w:rsidRPr="000854C3" w14:paraId="3842963A" w14:textId="77777777" w:rsidTr="000B40BD">
        <w:trPr>
          <w:trHeight w:val="304"/>
        </w:trPr>
        <w:tc>
          <w:tcPr>
            <w:tcW w:w="1276" w:type="dxa"/>
            <w:tcBorders>
              <w:left w:val="single" w:sz="4" w:space="0" w:color="auto"/>
              <w:bottom w:val="single" w:sz="4" w:space="0" w:color="auto"/>
              <w:right w:val="single" w:sz="4" w:space="0" w:color="auto"/>
            </w:tcBorders>
            <w:vAlign w:val="bottom"/>
          </w:tcPr>
          <w:p w14:paraId="56F07033" w14:textId="77777777" w:rsidR="009421EB" w:rsidRPr="000854C3" w:rsidRDefault="009421EB" w:rsidP="000B40BD">
            <w:pPr>
              <w:pStyle w:val="Tabelltext"/>
              <w:keepNext/>
              <w:rPr>
                <w:b/>
              </w:rPr>
            </w:pPr>
          </w:p>
        </w:tc>
        <w:tc>
          <w:tcPr>
            <w:tcW w:w="684" w:type="dxa"/>
            <w:tcBorders>
              <w:left w:val="single" w:sz="4" w:space="0" w:color="auto"/>
              <w:bottom w:val="single" w:sz="4" w:space="0" w:color="auto"/>
              <w:right w:val="single" w:sz="4" w:space="0" w:color="auto"/>
            </w:tcBorders>
            <w:vAlign w:val="bottom"/>
          </w:tcPr>
          <w:p w14:paraId="610D4584" w14:textId="77777777" w:rsidR="009421EB" w:rsidRPr="000854C3" w:rsidRDefault="009421EB" w:rsidP="000B40BD">
            <w:pPr>
              <w:pStyle w:val="Tabelltext"/>
              <w:keepNext/>
              <w:jc w:val="center"/>
              <w:rPr>
                <w:b/>
              </w:rPr>
            </w:pPr>
            <w:r w:rsidRPr="000854C3">
              <w:rPr>
                <w:b/>
              </w:rPr>
              <w:t>20</w:t>
            </w:r>
            <w:r>
              <w:rPr>
                <w:b/>
              </w:rPr>
              <w:t>22</w:t>
            </w:r>
          </w:p>
        </w:tc>
        <w:tc>
          <w:tcPr>
            <w:tcW w:w="684" w:type="dxa"/>
            <w:tcBorders>
              <w:left w:val="single" w:sz="4" w:space="0" w:color="auto"/>
              <w:bottom w:val="single" w:sz="4" w:space="0" w:color="auto"/>
              <w:right w:val="single" w:sz="4" w:space="0" w:color="auto"/>
            </w:tcBorders>
            <w:vAlign w:val="bottom"/>
          </w:tcPr>
          <w:p w14:paraId="5530D5DC" w14:textId="77777777" w:rsidR="009421EB" w:rsidRPr="000854C3" w:rsidRDefault="009421EB" w:rsidP="000B40BD">
            <w:pPr>
              <w:pStyle w:val="Tabelltext"/>
              <w:keepNext/>
              <w:jc w:val="center"/>
              <w:rPr>
                <w:b/>
              </w:rPr>
            </w:pPr>
            <w:r w:rsidRPr="000854C3">
              <w:rPr>
                <w:b/>
              </w:rPr>
              <w:t>20</w:t>
            </w:r>
            <w:r>
              <w:rPr>
                <w:b/>
              </w:rPr>
              <w:t>23</w:t>
            </w:r>
          </w:p>
        </w:tc>
        <w:tc>
          <w:tcPr>
            <w:tcW w:w="685" w:type="dxa"/>
            <w:tcBorders>
              <w:left w:val="single" w:sz="4" w:space="0" w:color="auto"/>
              <w:bottom w:val="single" w:sz="4" w:space="0" w:color="auto"/>
              <w:right w:val="single" w:sz="4" w:space="0" w:color="auto"/>
            </w:tcBorders>
            <w:vAlign w:val="bottom"/>
          </w:tcPr>
          <w:p w14:paraId="4D892AE5" w14:textId="77777777" w:rsidR="009421EB" w:rsidRPr="000854C3" w:rsidRDefault="009421EB" w:rsidP="000B40BD">
            <w:pPr>
              <w:pStyle w:val="Tabelltext"/>
              <w:keepNext/>
              <w:jc w:val="center"/>
              <w:rPr>
                <w:b/>
              </w:rPr>
            </w:pPr>
            <w:r w:rsidRPr="000854C3">
              <w:rPr>
                <w:b/>
              </w:rPr>
              <w:t>20</w:t>
            </w:r>
            <w:r>
              <w:rPr>
                <w:b/>
              </w:rPr>
              <w:t>24</w:t>
            </w:r>
          </w:p>
        </w:tc>
        <w:tc>
          <w:tcPr>
            <w:tcW w:w="684" w:type="dxa"/>
            <w:tcBorders>
              <w:left w:val="single" w:sz="4" w:space="0" w:color="auto"/>
              <w:bottom w:val="single" w:sz="4" w:space="0" w:color="auto"/>
              <w:right w:val="single" w:sz="4" w:space="0" w:color="auto"/>
            </w:tcBorders>
            <w:vAlign w:val="bottom"/>
          </w:tcPr>
          <w:p w14:paraId="223F6218" w14:textId="77777777" w:rsidR="009421EB" w:rsidRPr="000854C3" w:rsidRDefault="009421EB" w:rsidP="000B40BD">
            <w:pPr>
              <w:pStyle w:val="Tabelltext"/>
              <w:keepNext/>
              <w:jc w:val="center"/>
              <w:rPr>
                <w:b/>
              </w:rPr>
            </w:pPr>
            <w:r w:rsidRPr="000854C3">
              <w:rPr>
                <w:b/>
              </w:rPr>
              <w:t>20</w:t>
            </w:r>
            <w:r>
              <w:rPr>
                <w:b/>
              </w:rPr>
              <w:t>25</w:t>
            </w:r>
          </w:p>
        </w:tc>
        <w:tc>
          <w:tcPr>
            <w:tcW w:w="684" w:type="dxa"/>
            <w:tcBorders>
              <w:left w:val="single" w:sz="4" w:space="0" w:color="auto"/>
              <w:bottom w:val="single" w:sz="4" w:space="0" w:color="auto"/>
              <w:right w:val="single" w:sz="4" w:space="0" w:color="auto"/>
            </w:tcBorders>
            <w:vAlign w:val="bottom"/>
          </w:tcPr>
          <w:p w14:paraId="74A2F075" w14:textId="77777777" w:rsidR="009421EB" w:rsidRPr="000854C3" w:rsidRDefault="009421EB" w:rsidP="000B40BD">
            <w:pPr>
              <w:pStyle w:val="Tabelltext"/>
              <w:keepNext/>
              <w:jc w:val="center"/>
              <w:rPr>
                <w:b/>
              </w:rPr>
            </w:pPr>
            <w:r>
              <w:rPr>
                <w:b/>
              </w:rPr>
              <w:t>2026</w:t>
            </w:r>
          </w:p>
        </w:tc>
        <w:tc>
          <w:tcPr>
            <w:tcW w:w="685" w:type="dxa"/>
            <w:tcBorders>
              <w:left w:val="single" w:sz="4" w:space="0" w:color="auto"/>
              <w:bottom w:val="single" w:sz="4" w:space="0" w:color="auto"/>
              <w:right w:val="single" w:sz="4" w:space="0" w:color="auto"/>
            </w:tcBorders>
            <w:vAlign w:val="bottom"/>
          </w:tcPr>
          <w:p w14:paraId="29EFAC1F" w14:textId="77777777" w:rsidR="009421EB" w:rsidRPr="000854C3" w:rsidRDefault="009421EB" w:rsidP="000B40BD">
            <w:pPr>
              <w:pStyle w:val="Tabelltext"/>
              <w:keepNext/>
              <w:jc w:val="right"/>
              <w:rPr>
                <w:b/>
              </w:rPr>
            </w:pPr>
            <w:r>
              <w:rPr>
                <w:b/>
              </w:rPr>
              <w:t>2027</w:t>
            </w:r>
          </w:p>
        </w:tc>
        <w:tc>
          <w:tcPr>
            <w:tcW w:w="1276" w:type="dxa"/>
            <w:tcBorders>
              <w:left w:val="single" w:sz="4" w:space="0" w:color="auto"/>
              <w:bottom w:val="single" w:sz="4" w:space="0" w:color="auto"/>
              <w:right w:val="single" w:sz="4" w:space="0" w:color="auto"/>
            </w:tcBorders>
            <w:vAlign w:val="bottom"/>
          </w:tcPr>
          <w:p w14:paraId="6AAADF3A" w14:textId="77777777" w:rsidR="009421EB" w:rsidRPr="000854C3" w:rsidRDefault="009421EB" w:rsidP="000B40BD">
            <w:pPr>
              <w:pStyle w:val="Tabelltext"/>
              <w:keepNext/>
              <w:jc w:val="right"/>
              <w:rPr>
                <w:b/>
              </w:rPr>
            </w:pPr>
            <w:r>
              <w:rPr>
                <w:b/>
              </w:rPr>
              <w:t>Fr.o.m. 2028</w:t>
            </w:r>
          </w:p>
        </w:tc>
      </w:tr>
      <w:tr w:rsidR="009421EB" w14:paraId="1FF0B739" w14:textId="77777777" w:rsidTr="000B40BD">
        <w:trPr>
          <w:trHeight w:val="304"/>
        </w:trPr>
        <w:tc>
          <w:tcPr>
            <w:tcW w:w="1276" w:type="dxa"/>
            <w:tcBorders>
              <w:top w:val="single" w:sz="4" w:space="0" w:color="auto"/>
              <w:left w:val="single" w:sz="4" w:space="0" w:color="auto"/>
              <w:right w:val="single" w:sz="4" w:space="0" w:color="auto"/>
            </w:tcBorders>
            <w:vAlign w:val="bottom"/>
          </w:tcPr>
          <w:p w14:paraId="6D8A06F5" w14:textId="77777777" w:rsidR="009421EB" w:rsidRDefault="009421EB" w:rsidP="000B40BD">
            <w:pPr>
              <w:pStyle w:val="Tabelltext"/>
              <w:keepNext/>
            </w:pPr>
            <w:r>
              <w:t>Staten</w:t>
            </w:r>
          </w:p>
        </w:tc>
        <w:tc>
          <w:tcPr>
            <w:tcW w:w="684" w:type="dxa"/>
            <w:tcBorders>
              <w:top w:val="single" w:sz="4" w:space="0" w:color="auto"/>
              <w:left w:val="single" w:sz="4" w:space="0" w:color="auto"/>
              <w:right w:val="single" w:sz="4" w:space="0" w:color="auto"/>
            </w:tcBorders>
            <w:vAlign w:val="bottom"/>
          </w:tcPr>
          <w:p w14:paraId="6339E7AD" w14:textId="77777777" w:rsidR="009421EB" w:rsidRDefault="009421EB" w:rsidP="000B40BD">
            <w:pPr>
              <w:pStyle w:val="Tabelltext"/>
              <w:keepNext/>
              <w:jc w:val="right"/>
            </w:pPr>
            <w:r>
              <w:t>66,24</w:t>
            </w:r>
          </w:p>
        </w:tc>
        <w:tc>
          <w:tcPr>
            <w:tcW w:w="684" w:type="dxa"/>
            <w:tcBorders>
              <w:top w:val="single" w:sz="4" w:space="0" w:color="auto"/>
              <w:left w:val="single" w:sz="4" w:space="0" w:color="auto"/>
              <w:right w:val="single" w:sz="4" w:space="0" w:color="auto"/>
            </w:tcBorders>
            <w:vAlign w:val="bottom"/>
          </w:tcPr>
          <w:p w14:paraId="3F79CFA9" w14:textId="77777777" w:rsidR="009421EB" w:rsidRDefault="009421EB" w:rsidP="000B40BD">
            <w:pPr>
              <w:pStyle w:val="Tabelltext"/>
              <w:keepNext/>
              <w:jc w:val="right"/>
            </w:pPr>
            <w:r>
              <w:t>77,55</w:t>
            </w:r>
          </w:p>
        </w:tc>
        <w:tc>
          <w:tcPr>
            <w:tcW w:w="685" w:type="dxa"/>
            <w:tcBorders>
              <w:top w:val="single" w:sz="4" w:space="0" w:color="auto"/>
              <w:left w:val="single" w:sz="4" w:space="0" w:color="auto"/>
              <w:right w:val="single" w:sz="4" w:space="0" w:color="auto"/>
            </w:tcBorders>
            <w:vAlign w:val="bottom"/>
          </w:tcPr>
          <w:p w14:paraId="3F204AE1" w14:textId="77777777" w:rsidR="009421EB" w:rsidRDefault="009421EB" w:rsidP="000B40BD">
            <w:pPr>
              <w:pStyle w:val="Tabelltext"/>
              <w:keepNext/>
              <w:jc w:val="right"/>
            </w:pPr>
            <w:r>
              <w:t>78,53</w:t>
            </w:r>
          </w:p>
        </w:tc>
        <w:tc>
          <w:tcPr>
            <w:tcW w:w="684" w:type="dxa"/>
            <w:tcBorders>
              <w:top w:val="single" w:sz="4" w:space="0" w:color="auto"/>
              <w:left w:val="single" w:sz="4" w:space="0" w:color="auto"/>
              <w:right w:val="single" w:sz="4" w:space="0" w:color="auto"/>
            </w:tcBorders>
            <w:vAlign w:val="bottom"/>
          </w:tcPr>
          <w:p w14:paraId="54E57453" w14:textId="77777777" w:rsidR="009421EB" w:rsidRDefault="009421EB" w:rsidP="000B40BD">
            <w:pPr>
              <w:pStyle w:val="Tabelltext"/>
              <w:keepNext/>
              <w:jc w:val="right"/>
            </w:pPr>
            <w:r>
              <w:t>78,39</w:t>
            </w:r>
          </w:p>
        </w:tc>
        <w:tc>
          <w:tcPr>
            <w:tcW w:w="684" w:type="dxa"/>
            <w:tcBorders>
              <w:top w:val="single" w:sz="4" w:space="0" w:color="auto"/>
              <w:left w:val="single" w:sz="4" w:space="0" w:color="auto"/>
              <w:right w:val="single" w:sz="4" w:space="0" w:color="auto"/>
            </w:tcBorders>
            <w:vAlign w:val="bottom"/>
          </w:tcPr>
          <w:p w14:paraId="01AC8526" w14:textId="77777777" w:rsidR="009421EB" w:rsidRDefault="009421EB" w:rsidP="000B40BD">
            <w:pPr>
              <w:pStyle w:val="Tabelltext"/>
              <w:keepNext/>
              <w:jc w:val="right"/>
            </w:pPr>
            <w:r>
              <w:t>78,30</w:t>
            </w:r>
          </w:p>
        </w:tc>
        <w:tc>
          <w:tcPr>
            <w:tcW w:w="685" w:type="dxa"/>
            <w:tcBorders>
              <w:top w:val="single" w:sz="4" w:space="0" w:color="auto"/>
              <w:left w:val="single" w:sz="4" w:space="0" w:color="auto"/>
              <w:right w:val="single" w:sz="4" w:space="0" w:color="auto"/>
            </w:tcBorders>
            <w:vAlign w:val="bottom"/>
          </w:tcPr>
          <w:p w14:paraId="527CB2FC" w14:textId="77777777" w:rsidR="009421EB" w:rsidRDefault="009421EB" w:rsidP="000B40BD">
            <w:pPr>
              <w:pStyle w:val="Tabelltext"/>
              <w:keepNext/>
              <w:jc w:val="right"/>
            </w:pPr>
            <w:r>
              <w:t>78,23</w:t>
            </w:r>
          </w:p>
        </w:tc>
        <w:tc>
          <w:tcPr>
            <w:tcW w:w="1276" w:type="dxa"/>
            <w:tcBorders>
              <w:top w:val="single" w:sz="4" w:space="0" w:color="auto"/>
              <w:left w:val="single" w:sz="4" w:space="0" w:color="auto"/>
              <w:right w:val="single" w:sz="4" w:space="0" w:color="auto"/>
            </w:tcBorders>
            <w:vAlign w:val="bottom"/>
          </w:tcPr>
          <w:p w14:paraId="14EB3F86" w14:textId="77777777" w:rsidR="009421EB" w:rsidRDefault="009421EB" w:rsidP="000B40BD">
            <w:pPr>
              <w:pStyle w:val="Tabelltext"/>
              <w:keepNext/>
              <w:jc w:val="right"/>
            </w:pPr>
            <w:r>
              <w:t>78,12</w:t>
            </w:r>
          </w:p>
        </w:tc>
      </w:tr>
      <w:tr w:rsidR="009421EB" w14:paraId="14B301EF" w14:textId="77777777" w:rsidTr="000B40BD">
        <w:trPr>
          <w:trHeight w:val="304"/>
        </w:trPr>
        <w:tc>
          <w:tcPr>
            <w:tcW w:w="1276" w:type="dxa"/>
            <w:tcBorders>
              <w:left w:val="single" w:sz="4" w:space="0" w:color="auto"/>
              <w:right w:val="single" w:sz="4" w:space="0" w:color="auto"/>
            </w:tcBorders>
            <w:vAlign w:val="bottom"/>
          </w:tcPr>
          <w:p w14:paraId="70B1BA61" w14:textId="77777777" w:rsidR="009421EB" w:rsidRDefault="009421EB" w:rsidP="000B40BD">
            <w:pPr>
              <w:pStyle w:val="Tabelltext"/>
              <w:keepNext/>
            </w:pPr>
            <w:r>
              <w:t>Kommuner</w:t>
            </w:r>
          </w:p>
        </w:tc>
        <w:tc>
          <w:tcPr>
            <w:tcW w:w="684" w:type="dxa"/>
            <w:tcBorders>
              <w:left w:val="single" w:sz="4" w:space="0" w:color="auto"/>
              <w:right w:val="single" w:sz="4" w:space="0" w:color="auto"/>
            </w:tcBorders>
            <w:vAlign w:val="bottom"/>
          </w:tcPr>
          <w:p w14:paraId="6D480FAD" w14:textId="77777777" w:rsidR="009421EB" w:rsidRDefault="009421EB" w:rsidP="000B40BD">
            <w:pPr>
              <w:pStyle w:val="Tabelltext"/>
              <w:keepNext/>
              <w:jc w:val="right"/>
            </w:pPr>
            <w:r>
              <w:t>33,76</w:t>
            </w:r>
          </w:p>
        </w:tc>
        <w:tc>
          <w:tcPr>
            <w:tcW w:w="684" w:type="dxa"/>
            <w:tcBorders>
              <w:left w:val="single" w:sz="4" w:space="0" w:color="auto"/>
              <w:right w:val="single" w:sz="4" w:space="0" w:color="auto"/>
            </w:tcBorders>
            <w:vAlign w:val="bottom"/>
          </w:tcPr>
          <w:p w14:paraId="008E442E" w14:textId="77777777" w:rsidR="009421EB" w:rsidRDefault="009421EB" w:rsidP="000B40BD">
            <w:pPr>
              <w:pStyle w:val="Tabelltext"/>
              <w:keepNext/>
              <w:jc w:val="right"/>
            </w:pPr>
            <w:r>
              <w:t>22,45</w:t>
            </w:r>
          </w:p>
        </w:tc>
        <w:tc>
          <w:tcPr>
            <w:tcW w:w="685" w:type="dxa"/>
            <w:tcBorders>
              <w:left w:val="single" w:sz="4" w:space="0" w:color="auto"/>
              <w:right w:val="single" w:sz="4" w:space="0" w:color="auto"/>
            </w:tcBorders>
            <w:vAlign w:val="bottom"/>
          </w:tcPr>
          <w:p w14:paraId="6CDA5494" w14:textId="77777777" w:rsidR="009421EB" w:rsidRDefault="009421EB" w:rsidP="000B40BD">
            <w:pPr>
              <w:pStyle w:val="Tabelltext"/>
              <w:keepNext/>
              <w:jc w:val="right"/>
            </w:pPr>
            <w:r>
              <w:t>21,47</w:t>
            </w:r>
          </w:p>
        </w:tc>
        <w:tc>
          <w:tcPr>
            <w:tcW w:w="684" w:type="dxa"/>
            <w:tcBorders>
              <w:left w:val="single" w:sz="4" w:space="0" w:color="auto"/>
              <w:right w:val="single" w:sz="4" w:space="0" w:color="auto"/>
            </w:tcBorders>
            <w:vAlign w:val="bottom"/>
          </w:tcPr>
          <w:p w14:paraId="0EEB90A1" w14:textId="77777777" w:rsidR="009421EB" w:rsidRDefault="009421EB" w:rsidP="000B40BD">
            <w:pPr>
              <w:pStyle w:val="Tabelltext"/>
              <w:keepNext/>
              <w:jc w:val="right"/>
            </w:pPr>
            <w:r>
              <w:t>21,61</w:t>
            </w:r>
          </w:p>
        </w:tc>
        <w:tc>
          <w:tcPr>
            <w:tcW w:w="684" w:type="dxa"/>
            <w:tcBorders>
              <w:left w:val="single" w:sz="4" w:space="0" w:color="auto"/>
              <w:right w:val="single" w:sz="4" w:space="0" w:color="auto"/>
            </w:tcBorders>
            <w:vAlign w:val="bottom"/>
          </w:tcPr>
          <w:p w14:paraId="7E182DDA" w14:textId="77777777" w:rsidR="009421EB" w:rsidRDefault="009421EB" w:rsidP="000B40BD">
            <w:pPr>
              <w:pStyle w:val="Tabelltext"/>
              <w:keepNext/>
              <w:jc w:val="right"/>
            </w:pPr>
            <w:r>
              <w:t>21,70</w:t>
            </w:r>
          </w:p>
        </w:tc>
        <w:tc>
          <w:tcPr>
            <w:tcW w:w="685" w:type="dxa"/>
            <w:tcBorders>
              <w:left w:val="single" w:sz="4" w:space="0" w:color="auto"/>
              <w:right w:val="single" w:sz="4" w:space="0" w:color="auto"/>
            </w:tcBorders>
            <w:vAlign w:val="bottom"/>
          </w:tcPr>
          <w:p w14:paraId="00A3FB56" w14:textId="77777777" w:rsidR="009421EB" w:rsidRDefault="009421EB" w:rsidP="000B40BD">
            <w:pPr>
              <w:pStyle w:val="Tabelltext"/>
              <w:keepNext/>
              <w:jc w:val="right"/>
            </w:pPr>
            <w:r>
              <w:t>21,77</w:t>
            </w:r>
          </w:p>
        </w:tc>
        <w:tc>
          <w:tcPr>
            <w:tcW w:w="1276" w:type="dxa"/>
            <w:tcBorders>
              <w:left w:val="single" w:sz="4" w:space="0" w:color="auto"/>
              <w:right w:val="single" w:sz="4" w:space="0" w:color="auto"/>
            </w:tcBorders>
            <w:vAlign w:val="bottom"/>
          </w:tcPr>
          <w:p w14:paraId="2DEDBE87" w14:textId="77777777" w:rsidR="009421EB" w:rsidRDefault="009421EB" w:rsidP="000B40BD">
            <w:pPr>
              <w:pStyle w:val="Tabelltext"/>
              <w:keepNext/>
              <w:jc w:val="right"/>
            </w:pPr>
            <w:r>
              <w:t>21,88</w:t>
            </w:r>
          </w:p>
        </w:tc>
      </w:tr>
      <w:tr w:rsidR="009421EB" w14:paraId="632F0E6E" w14:textId="77777777" w:rsidTr="000B40BD">
        <w:trPr>
          <w:trHeight w:val="304"/>
        </w:trPr>
        <w:tc>
          <w:tcPr>
            <w:tcW w:w="1276" w:type="dxa"/>
            <w:tcBorders>
              <w:top w:val="single" w:sz="4" w:space="0" w:color="auto"/>
              <w:left w:val="single" w:sz="4" w:space="0" w:color="auto"/>
              <w:right w:val="single" w:sz="4" w:space="0" w:color="auto"/>
            </w:tcBorders>
            <w:vAlign w:val="bottom"/>
          </w:tcPr>
          <w:p w14:paraId="325DF857" w14:textId="77777777" w:rsidR="009421EB" w:rsidRDefault="009421EB" w:rsidP="000B40BD">
            <w:pPr>
              <w:pStyle w:val="Tabelltext"/>
              <w:keepNext/>
            </w:pPr>
            <w:r>
              <w:t>Totalt</w:t>
            </w:r>
          </w:p>
        </w:tc>
        <w:tc>
          <w:tcPr>
            <w:tcW w:w="684" w:type="dxa"/>
            <w:tcBorders>
              <w:top w:val="single" w:sz="4" w:space="0" w:color="auto"/>
              <w:left w:val="single" w:sz="4" w:space="0" w:color="auto"/>
              <w:right w:val="single" w:sz="4" w:space="0" w:color="auto"/>
            </w:tcBorders>
            <w:vAlign w:val="bottom"/>
          </w:tcPr>
          <w:p w14:paraId="5A0D00E0" w14:textId="77777777" w:rsidR="009421EB" w:rsidRDefault="009421EB" w:rsidP="000B40BD">
            <w:pPr>
              <w:pStyle w:val="Tabelltext"/>
              <w:keepNext/>
              <w:jc w:val="right"/>
            </w:pPr>
            <w:r>
              <w:t>100</w:t>
            </w:r>
          </w:p>
        </w:tc>
        <w:tc>
          <w:tcPr>
            <w:tcW w:w="684" w:type="dxa"/>
            <w:tcBorders>
              <w:top w:val="single" w:sz="4" w:space="0" w:color="auto"/>
              <w:left w:val="single" w:sz="4" w:space="0" w:color="auto"/>
              <w:right w:val="single" w:sz="4" w:space="0" w:color="auto"/>
            </w:tcBorders>
            <w:vAlign w:val="bottom"/>
          </w:tcPr>
          <w:p w14:paraId="3FE77CB6" w14:textId="77777777" w:rsidR="009421EB" w:rsidRDefault="009421EB" w:rsidP="000B40BD">
            <w:pPr>
              <w:pStyle w:val="Tabelltext"/>
              <w:keepNext/>
              <w:jc w:val="right"/>
            </w:pPr>
            <w:r>
              <w:t>100</w:t>
            </w:r>
          </w:p>
        </w:tc>
        <w:tc>
          <w:tcPr>
            <w:tcW w:w="685" w:type="dxa"/>
            <w:tcBorders>
              <w:top w:val="single" w:sz="4" w:space="0" w:color="auto"/>
              <w:left w:val="single" w:sz="4" w:space="0" w:color="auto"/>
              <w:right w:val="single" w:sz="4" w:space="0" w:color="auto"/>
            </w:tcBorders>
            <w:vAlign w:val="bottom"/>
          </w:tcPr>
          <w:p w14:paraId="2EA8207E" w14:textId="77777777" w:rsidR="009421EB" w:rsidRDefault="009421EB" w:rsidP="000B40BD">
            <w:pPr>
              <w:pStyle w:val="Tabelltext"/>
              <w:keepNext/>
              <w:jc w:val="right"/>
            </w:pPr>
            <w:r>
              <w:t>100</w:t>
            </w:r>
          </w:p>
        </w:tc>
        <w:tc>
          <w:tcPr>
            <w:tcW w:w="684" w:type="dxa"/>
            <w:tcBorders>
              <w:top w:val="single" w:sz="4" w:space="0" w:color="auto"/>
              <w:left w:val="single" w:sz="4" w:space="0" w:color="auto"/>
              <w:right w:val="single" w:sz="4" w:space="0" w:color="auto"/>
            </w:tcBorders>
            <w:vAlign w:val="bottom"/>
          </w:tcPr>
          <w:p w14:paraId="02F35B77" w14:textId="77777777" w:rsidR="009421EB" w:rsidRDefault="009421EB" w:rsidP="000B40BD">
            <w:pPr>
              <w:pStyle w:val="Tabelltext"/>
              <w:keepNext/>
              <w:jc w:val="right"/>
            </w:pPr>
            <w:r>
              <w:t>100</w:t>
            </w:r>
          </w:p>
        </w:tc>
        <w:tc>
          <w:tcPr>
            <w:tcW w:w="684" w:type="dxa"/>
            <w:tcBorders>
              <w:top w:val="single" w:sz="4" w:space="0" w:color="auto"/>
              <w:left w:val="single" w:sz="4" w:space="0" w:color="auto"/>
              <w:right w:val="single" w:sz="4" w:space="0" w:color="auto"/>
            </w:tcBorders>
            <w:vAlign w:val="bottom"/>
          </w:tcPr>
          <w:p w14:paraId="4D08A7F7" w14:textId="77777777" w:rsidR="009421EB" w:rsidRDefault="009421EB" w:rsidP="000B40BD">
            <w:pPr>
              <w:pStyle w:val="Tabelltext"/>
              <w:keepNext/>
              <w:jc w:val="right"/>
            </w:pPr>
            <w:r>
              <w:t>100</w:t>
            </w:r>
          </w:p>
        </w:tc>
        <w:tc>
          <w:tcPr>
            <w:tcW w:w="685" w:type="dxa"/>
            <w:tcBorders>
              <w:top w:val="single" w:sz="4" w:space="0" w:color="auto"/>
              <w:left w:val="single" w:sz="4" w:space="0" w:color="auto"/>
              <w:right w:val="single" w:sz="4" w:space="0" w:color="auto"/>
            </w:tcBorders>
            <w:vAlign w:val="bottom"/>
          </w:tcPr>
          <w:p w14:paraId="6020905D" w14:textId="77777777" w:rsidR="009421EB" w:rsidRDefault="009421EB" w:rsidP="000B40BD">
            <w:pPr>
              <w:pStyle w:val="Tabelltext"/>
              <w:keepNext/>
              <w:jc w:val="right"/>
            </w:pPr>
            <w:r>
              <w:t>100</w:t>
            </w:r>
          </w:p>
        </w:tc>
        <w:tc>
          <w:tcPr>
            <w:tcW w:w="1276" w:type="dxa"/>
            <w:tcBorders>
              <w:top w:val="single" w:sz="4" w:space="0" w:color="auto"/>
              <w:left w:val="single" w:sz="4" w:space="0" w:color="auto"/>
              <w:right w:val="single" w:sz="4" w:space="0" w:color="auto"/>
            </w:tcBorders>
            <w:vAlign w:val="bottom"/>
          </w:tcPr>
          <w:p w14:paraId="5C4F2443" w14:textId="77777777" w:rsidR="009421EB" w:rsidRDefault="009421EB" w:rsidP="000B40BD">
            <w:pPr>
              <w:pStyle w:val="Tabelltext"/>
              <w:keepNext/>
              <w:jc w:val="right"/>
            </w:pPr>
            <w:r>
              <w:t>100</w:t>
            </w:r>
          </w:p>
        </w:tc>
      </w:tr>
    </w:tbl>
    <w:p w14:paraId="1F4987FA" w14:textId="77777777" w:rsidR="009421EB" w:rsidRDefault="009421EB" w:rsidP="009421EB">
      <w:pPr>
        <w:pStyle w:val="ANormal"/>
      </w:pPr>
    </w:p>
    <w:p w14:paraId="5D8FEAEE" w14:textId="09E4E943" w:rsidR="003B7FC7" w:rsidRDefault="005966D1" w:rsidP="0091527C">
      <w:pPr>
        <w:pStyle w:val="ANormal"/>
      </w:pPr>
      <w:r>
        <w:tab/>
        <w:t xml:space="preserve">Av propositionen framgår dock också att den slutliga sänkningen av den kommunala andelen av samfundsskatten som beror på </w:t>
      </w:r>
      <w:r w:rsidR="00211EC7">
        <w:t>SOTE-</w:t>
      </w:r>
      <w:r>
        <w:t xml:space="preserve">reformen kommer att fastställas </w:t>
      </w:r>
      <w:r w:rsidR="00D63109">
        <w:t xml:space="preserve">under </w:t>
      </w:r>
      <w:r>
        <w:t xml:space="preserve">2022. Det innebär alltså att </w:t>
      </w:r>
      <w:r w:rsidR="009421EB">
        <w:t xml:space="preserve">både </w:t>
      </w:r>
      <w:r>
        <w:t xml:space="preserve">den </w:t>
      </w:r>
      <w:r w:rsidR="009421EB">
        <w:t>temporära</w:t>
      </w:r>
      <w:r>
        <w:t xml:space="preserve"> fördelningen för skatteåren 2023–2027</w:t>
      </w:r>
      <w:r w:rsidR="009421EB">
        <w:t xml:space="preserve"> och den permanenta fördelningen från och med skatteåret 2028</w:t>
      </w:r>
      <w:r>
        <w:t xml:space="preserve"> kommer att ändras igen nästa år. Samtidigt kommer de </w:t>
      </w:r>
      <w:r w:rsidR="009421EB">
        <w:t xml:space="preserve">sannolikt </w:t>
      </w:r>
      <w:r>
        <w:t xml:space="preserve">också, liksom alla år, att ändras som en följd av andra skatteåtgärder som vidtas </w:t>
      </w:r>
      <w:r w:rsidR="009421EB">
        <w:t>från och med</w:t>
      </w:r>
      <w:r>
        <w:t xml:space="preserve"> skatteåret 2023.</w:t>
      </w:r>
    </w:p>
    <w:p w14:paraId="331E19FF" w14:textId="3F56E84E" w:rsidR="005B6F0A" w:rsidRDefault="005B6F0A" w:rsidP="005B6F0A">
      <w:pPr>
        <w:pStyle w:val="ANormal"/>
      </w:pPr>
      <w:r>
        <w:tab/>
        <w:t xml:space="preserve">Höjningen av statens andel av samfundsskatten från och med skatteåret 2023 kommer att innebära att den totala skatten för åländska företag höjs, om inte lagtinget beslutar att anpassa kommunalskattesatsen för samfund till den nya fördelningen. Enligt förslaget ovan skulle det </w:t>
      </w:r>
      <w:r w:rsidR="00822D37">
        <w:t xml:space="preserve">till exempel </w:t>
      </w:r>
      <w:r>
        <w:t>betyda en sänkning från 6,752</w:t>
      </w:r>
      <w:r w:rsidR="006A08C9">
        <w:t xml:space="preserve"> </w:t>
      </w:r>
      <w:r>
        <w:t>procent skatteåret 2022 till 4,49</w:t>
      </w:r>
      <w:r w:rsidR="006A08C9">
        <w:t xml:space="preserve"> </w:t>
      </w:r>
      <w:r>
        <w:t>procent skatteåret 2023</w:t>
      </w:r>
      <w:r w:rsidR="00822D37">
        <w:t>, och en permanent sänkning till 4,376</w:t>
      </w:r>
      <w:r w:rsidR="006A08C9">
        <w:t xml:space="preserve"> </w:t>
      </w:r>
      <w:r w:rsidR="00822D37">
        <w:t>procent från och med skatteåret 2028</w:t>
      </w:r>
      <w:r>
        <w:t>.</w:t>
      </w:r>
      <w:r w:rsidR="003363D5">
        <w:t xml:space="preserve"> </w:t>
      </w:r>
      <w:r w:rsidR="00A42E16">
        <w:t xml:space="preserve">För de åländska kommunerna </w:t>
      </w:r>
      <w:r w:rsidR="00822D37">
        <w:t>innebär</w:t>
      </w:r>
      <w:r w:rsidR="00A42E16">
        <w:t xml:space="preserve"> det grovt räknat att en tredjedel av </w:t>
      </w:r>
      <w:r w:rsidR="00A42E16">
        <w:lastRenderedPageBreak/>
        <w:t>intäkterna från samfundsskatten försvinner</w:t>
      </w:r>
      <w:r w:rsidR="008839CE">
        <w:t xml:space="preserve">, utan att kostnadsansvaret för </w:t>
      </w:r>
      <w:r w:rsidR="00D63109">
        <w:t>verksamheten</w:t>
      </w:r>
      <w:r w:rsidR="008839CE">
        <w:t xml:space="preserve"> förändras.</w:t>
      </w:r>
    </w:p>
    <w:p w14:paraId="28775B54" w14:textId="041ACC42" w:rsidR="00EA2436" w:rsidRDefault="0067398A" w:rsidP="00EA2436">
      <w:pPr>
        <w:pStyle w:val="ANormal"/>
      </w:pPr>
      <w:r>
        <w:tab/>
        <w:t>Landskapsregeringen föreslår</w:t>
      </w:r>
      <w:r w:rsidR="00F92782">
        <w:t xml:space="preserve"> i det här skedet ingen ändring av de kommunalskattesatser som gäller från och med skatteåret 2023. </w:t>
      </w:r>
      <w:r w:rsidR="00A454BC">
        <w:t>En orsak till det är att fördelningen av samfundsskatten mellan staten och kommunerna kommer att ändras igen under 2022. Eftersom avsikten är att de totala skattesatserna för samfund och samfällda förmåner även i fortsättningen ska kvarstå oförändrade, kommer det att krävas en ny ändring av dem inför skatteåret 2023.</w:t>
      </w:r>
    </w:p>
    <w:p w14:paraId="5DE31970" w14:textId="131AC43D" w:rsidR="00F751CC" w:rsidRDefault="00F751CC" w:rsidP="00EA2436">
      <w:pPr>
        <w:pStyle w:val="ANormal"/>
      </w:pPr>
      <w:r>
        <w:tab/>
        <w:t xml:space="preserve">En annan orsak till att ingen ändring föreslås är den effekt SOTE-reformen har på fördelningen av samfundsskatten mellan staten och kommunen. Den kommer att påverka de åländska kommunernas samfundsskatteintäkter </w:t>
      </w:r>
      <w:r w:rsidR="00C42B75">
        <w:t xml:space="preserve">negativt </w:t>
      </w:r>
      <w:r>
        <w:t xml:space="preserve">på ett oskäligt sätt. </w:t>
      </w:r>
      <w:r w:rsidR="00C42B75">
        <w:t>Landskapsregeringen avser att under 2022 återkomma med ett lagförslag om hur kommunerna ska kompenseras för detta intäktsbortfall.</w:t>
      </w:r>
    </w:p>
    <w:p w14:paraId="144180F7" w14:textId="77777777" w:rsidR="00EA2436" w:rsidRDefault="00EA2436" w:rsidP="00EA2436">
      <w:pPr>
        <w:pStyle w:val="ANormal"/>
      </w:pPr>
    </w:p>
    <w:p w14:paraId="2FFD533B" w14:textId="77777777" w:rsidR="00EA2436" w:rsidRDefault="00EA2436" w:rsidP="00EA2436">
      <w:pPr>
        <w:pStyle w:val="RubrikB"/>
      </w:pPr>
      <w:bookmarkStart w:id="21" w:name="_Toc40269202"/>
      <w:bookmarkStart w:id="22" w:name="_Toc65658195"/>
      <w:bookmarkStart w:id="23" w:name="_Toc89957171"/>
      <w:r>
        <w:t>4. Förslagets konsekvenser</w:t>
      </w:r>
      <w:bookmarkEnd w:id="21"/>
      <w:bookmarkEnd w:id="22"/>
      <w:bookmarkEnd w:id="23"/>
    </w:p>
    <w:p w14:paraId="246ECD8F" w14:textId="77777777" w:rsidR="00EA2436" w:rsidRDefault="00EA2436" w:rsidP="00EA2436">
      <w:pPr>
        <w:pStyle w:val="Rubrikmellanrum"/>
      </w:pPr>
    </w:p>
    <w:p w14:paraId="09E85ADF" w14:textId="04E71DD9" w:rsidR="00AB5269" w:rsidRDefault="004F55FC" w:rsidP="00EA2436">
      <w:pPr>
        <w:pStyle w:val="ANormal"/>
      </w:pPr>
      <w:r>
        <w:t>L</w:t>
      </w:r>
      <w:r w:rsidR="007019C8">
        <w:t>andskapsregeringens l</w:t>
      </w:r>
      <w:r w:rsidR="00EA2436">
        <w:t>agförslag</w:t>
      </w:r>
      <w:r w:rsidR="00AB5269">
        <w:t xml:space="preserve"> </w:t>
      </w:r>
      <w:r>
        <w:t xml:space="preserve">har </w:t>
      </w:r>
      <w:r w:rsidR="00507881">
        <w:t xml:space="preserve">ekonomiska </w:t>
      </w:r>
      <w:r>
        <w:t xml:space="preserve">konsekvenser för kommunerna och för de skattskyldiga. Effekterna är </w:t>
      </w:r>
      <w:r w:rsidR="00507881">
        <w:t>negativa för kommunerna och positiva för de skattskyldiga.</w:t>
      </w:r>
    </w:p>
    <w:p w14:paraId="0E00BB76" w14:textId="6F2FD26F" w:rsidR="00E10691" w:rsidRDefault="00AB5269" w:rsidP="00EA2436">
      <w:pPr>
        <w:pStyle w:val="ANormal"/>
      </w:pPr>
      <w:r>
        <w:tab/>
        <w:t xml:space="preserve">Ändringen av fördelningen av samfundsskatten mellan staten och kommunerna i riket är </w:t>
      </w:r>
      <w:r w:rsidR="00E10691">
        <w:t xml:space="preserve">kalkylerad så att den ska </w:t>
      </w:r>
      <w:r w:rsidR="008E27B3">
        <w:t>kompensera</w:t>
      </w:r>
      <w:r w:rsidR="00E10691">
        <w:t xml:space="preserve"> de beräknade förändringarna som orsakas av övriga skatteåtgärder</w:t>
      </w:r>
      <w:r w:rsidR="008E27B3">
        <w:t xml:space="preserve">. </w:t>
      </w:r>
      <w:r w:rsidR="004F55FC">
        <w:t>Enligt vad som anges i propositionen beräknas</w:t>
      </w:r>
      <w:r w:rsidR="008E27B3">
        <w:t xml:space="preserve"> ändringar</w:t>
      </w:r>
      <w:r w:rsidR="004F55FC">
        <w:t>na</w:t>
      </w:r>
      <w:r w:rsidR="008E27B3">
        <w:t xml:space="preserve"> i lagen om beskattning av inkomst av näringsverksamhet som innebär ränteminskningar öka </w:t>
      </w:r>
      <w:r w:rsidR="004F55FC">
        <w:t xml:space="preserve">de totala </w:t>
      </w:r>
      <w:r w:rsidR="008E27B3">
        <w:t>samfundsskatteintäkterna med 11 miljoner euro. De ändringar som berör bestämmelsen om internprissättning i lagen om beskattningsförfarande ökar intäkterna från samfundsskatten med 75</w:t>
      </w:r>
      <w:r w:rsidR="006A08C9">
        <w:t> </w:t>
      </w:r>
      <w:r w:rsidR="008E27B3">
        <w:t xml:space="preserve">miljoner euro på årsbasis. Höjningen av tilläggsavdraget för forsknings- och utvecklingsverksamhet beräknas minska intäkterna av samfundsskatten med 11 miljoner euro. </w:t>
      </w:r>
      <w:r w:rsidR="004F55FC">
        <w:t xml:space="preserve">Beräkningarna har gjorts utgående från de prognoser som fanns tillgängliga när propositionen </w:t>
      </w:r>
      <w:r w:rsidR="007019C8">
        <w:t>lämnades till riksdagen</w:t>
      </w:r>
      <w:r w:rsidR="004F55FC">
        <w:t>.</w:t>
      </w:r>
    </w:p>
    <w:p w14:paraId="49164379" w14:textId="39DF72F6" w:rsidR="00DD2DAB" w:rsidRDefault="00DD2DAB" w:rsidP="00EA2436">
      <w:pPr>
        <w:pStyle w:val="ANormal"/>
      </w:pPr>
      <w:r>
        <w:tab/>
        <w:t>Omfördelningen av samfundsskatten mellan staten och kommunerna med 0,43</w:t>
      </w:r>
      <w:r w:rsidR="006A08C9">
        <w:t xml:space="preserve"> </w:t>
      </w:r>
      <w:r>
        <w:t xml:space="preserve">procentenheter är beräknad så att </w:t>
      </w:r>
      <w:r w:rsidR="00507881">
        <w:t xml:space="preserve">den ska </w:t>
      </w:r>
      <w:r>
        <w:t xml:space="preserve">neutralisera den effekt de övriga skatteåtgärderna har på kommunernas intäkter från samfundsskatten. </w:t>
      </w:r>
      <w:r w:rsidR="00AB5269">
        <w:t>För skatteåret 2022 gäller att samtliga åtgärder</w:t>
      </w:r>
      <w:r w:rsidR="00BA0BC2">
        <w:t xml:space="preserve"> som ingår i beräkningen</w:t>
      </w:r>
      <w:r w:rsidR="00AB5269">
        <w:t xml:space="preserve"> hänför sig till beskattningen</w:t>
      </w:r>
      <w:r>
        <w:t xml:space="preserve"> av samfund och samfällda förmåner. Det innebär således att </w:t>
      </w:r>
      <w:r w:rsidR="00507881">
        <w:t>de skatte</w:t>
      </w:r>
      <w:r>
        <w:t>åtgärder</w:t>
      </w:r>
      <w:r w:rsidR="00507881">
        <w:t xml:space="preserve"> som vidtas i riket</w:t>
      </w:r>
      <w:r>
        <w:t xml:space="preserve"> påverkar de åländska kommunernas samfundsskatteintäkter på samma sätt som kommunerna i riket. </w:t>
      </w:r>
      <w:r w:rsidR="00507881">
        <w:t>Det betyder att även om effekten av detta lagförslag i sig är att kommunernas samfundsskatteintäkter minskar, uppvägs denna minskning av de övriga skatteåtgärderna som vidtas.</w:t>
      </w:r>
    </w:p>
    <w:p w14:paraId="57837DB4" w14:textId="17B2EE30" w:rsidR="00BA0BC2" w:rsidRDefault="00BA0BC2" w:rsidP="00BA0BC2">
      <w:pPr>
        <w:pStyle w:val="ANormal"/>
      </w:pPr>
      <w:r>
        <w:tab/>
        <w:t>Förslaget om att förlänga giltighetstiden för blankettlagen om ett tilläggsavdrag för forsknings- och utvecklingsverksamhet är positivt för de skattskyldiga som har möjlighet att göra sådana avdrag. Eftersom rätten till avdrag bara har tillämpats under 2021 finns ännu inga uppgifter om i vilken utsträckning det har utnyttjats av åländska näringsidkare.</w:t>
      </w:r>
      <w:r w:rsidR="0070220D">
        <w:t xml:space="preserve"> Till den här delen har lagförslaget också konsekvenser för skatteåren 2023–2027, vilket i förhållande till kommunerna kommer att beaktas vid framtida ändringar av kommunalskattesatserna för samfund och samfällda förmåner.</w:t>
      </w:r>
    </w:p>
    <w:p w14:paraId="49D0B998" w14:textId="21C813F4" w:rsidR="00EA2436" w:rsidRDefault="0070220D" w:rsidP="00EA2436">
      <w:pPr>
        <w:pStyle w:val="ANormal"/>
      </w:pPr>
      <w:r>
        <w:tab/>
      </w:r>
      <w:r w:rsidR="00EA2436">
        <w:t>Förslaget har</w:t>
      </w:r>
      <w:r>
        <w:t xml:space="preserve"> för övrigt</w:t>
      </w:r>
      <w:r w:rsidR="00EA2436">
        <w:t xml:space="preserve"> inga organisatoriska effekter och bedöms inte heller ha några direkta konsekvenser för miljön, för jämställdheten mellan kvinnor och män</w:t>
      </w:r>
      <w:r w:rsidR="00EA2436" w:rsidRPr="00FA2EE9">
        <w:t xml:space="preserve"> </w:t>
      </w:r>
      <w:r w:rsidR="00EA2436">
        <w:t>eller för barn.</w:t>
      </w:r>
    </w:p>
    <w:p w14:paraId="673798C6" w14:textId="77777777" w:rsidR="00EA2436" w:rsidRDefault="00EA2436" w:rsidP="00EA2436">
      <w:pPr>
        <w:pStyle w:val="ANormal"/>
      </w:pPr>
    </w:p>
    <w:p w14:paraId="5AECD30C" w14:textId="77777777" w:rsidR="00EA2436" w:rsidRDefault="00EA2436" w:rsidP="00EA2436">
      <w:pPr>
        <w:pStyle w:val="RubrikB"/>
      </w:pPr>
      <w:bookmarkStart w:id="24" w:name="_Toc40269203"/>
      <w:bookmarkStart w:id="25" w:name="_Toc65658196"/>
      <w:bookmarkStart w:id="26" w:name="_Toc89957172"/>
      <w:r>
        <w:lastRenderedPageBreak/>
        <w:t>5. Beredning och ikraftträdande</w:t>
      </w:r>
      <w:bookmarkEnd w:id="24"/>
      <w:bookmarkEnd w:id="25"/>
      <w:bookmarkEnd w:id="26"/>
    </w:p>
    <w:p w14:paraId="4A695B82" w14:textId="77777777" w:rsidR="00EA2436" w:rsidRDefault="00EA2436" w:rsidP="00EA2436">
      <w:pPr>
        <w:pStyle w:val="Rubrikmellanrum"/>
      </w:pPr>
    </w:p>
    <w:p w14:paraId="46E8767F" w14:textId="2C1C93FC" w:rsidR="00EA2436" w:rsidRDefault="00EA2436" w:rsidP="00EA2436">
      <w:pPr>
        <w:pStyle w:val="ANormal"/>
      </w:pPr>
      <w:r>
        <w:t xml:space="preserve">Förslaget har beretts vid lagberedningen. Med hänvisning till ärendets brådskande art har förslaget </w:t>
      </w:r>
      <w:r w:rsidR="00114B68">
        <w:t xml:space="preserve">inte </w:t>
      </w:r>
      <w:r>
        <w:t xml:space="preserve">skickats på </w:t>
      </w:r>
      <w:r w:rsidR="00114B68">
        <w:t>någon</w:t>
      </w:r>
      <w:r>
        <w:t xml:space="preserve"> remiss</w:t>
      </w:r>
      <w:r w:rsidR="00114B68">
        <w:t>.</w:t>
      </w:r>
    </w:p>
    <w:p w14:paraId="6FEA75BF" w14:textId="66826B89" w:rsidR="00114B68" w:rsidRDefault="00EA2436" w:rsidP="00EA2436">
      <w:pPr>
        <w:pStyle w:val="ANormal"/>
      </w:pPr>
      <w:r>
        <w:tab/>
        <w:t>De föreslagna lagändringarna är avsedda att tillämpas från och med kommunalbeskattningen för skatteåret 202</w:t>
      </w:r>
      <w:r w:rsidR="00114B68">
        <w:t>2, enligt förslaget ska de således tillämpas retroaktivt. Eftersom ändringar i det här fallet är till de skattskyldigas fördel är retroaktiviteten inte så problematisk, även om skattelagstiftning i regel inte bör vara retroaktiv.</w:t>
      </w:r>
      <w:r w:rsidR="007019C8">
        <w:t xml:space="preserve"> Det är dock viktigt att de föreslagna ändringarna kan träda i kraft så snart som möjligt. I det sammanhanget är det värt att notera att landskapsregeringens förslag är formulerat utgående från två propositioner som ännu inte är slutbehandlade av riksdagen (RP 186/2021 och RP 213/2021). Eventuella ändringar som kan ske under riksdagsbehandlingen </w:t>
      </w:r>
      <w:r w:rsidR="00686C53">
        <w:t>kan också komma att behöva beaktas under lagtingsbehandlingen.</w:t>
      </w:r>
    </w:p>
    <w:p w14:paraId="20E84E72" w14:textId="77777777" w:rsidR="001D7D10" w:rsidRDefault="001D7D10">
      <w:pPr>
        <w:pStyle w:val="ANormal"/>
      </w:pPr>
    </w:p>
    <w:p w14:paraId="4DF1753D" w14:textId="77777777" w:rsidR="00AF3004" w:rsidRDefault="00AF3004">
      <w:pPr>
        <w:pStyle w:val="RubrikA"/>
      </w:pPr>
      <w:bookmarkStart w:id="27" w:name="_Toc89957173"/>
      <w:r>
        <w:t>Detaljmotivering</w:t>
      </w:r>
      <w:bookmarkEnd w:id="27"/>
    </w:p>
    <w:p w14:paraId="432B95A1" w14:textId="77777777" w:rsidR="00AF3004" w:rsidRDefault="00AF3004">
      <w:pPr>
        <w:pStyle w:val="Rubrikmellanrum"/>
      </w:pPr>
    </w:p>
    <w:p w14:paraId="7A180D9D" w14:textId="72D5A740" w:rsidR="00AF3004" w:rsidRDefault="00AF3004">
      <w:pPr>
        <w:pStyle w:val="RubrikB"/>
      </w:pPr>
      <w:bookmarkStart w:id="28" w:name="_Toc89957174"/>
      <w:r>
        <w:t xml:space="preserve">1. Ändring av </w:t>
      </w:r>
      <w:r w:rsidR="0090492F">
        <w:t>29f</w:t>
      </w:r>
      <w:r w:rsidR="006A08C9">
        <w:t> §</w:t>
      </w:r>
      <w:r w:rsidR="0090492F">
        <w:t xml:space="preserve"> kommunalskattelagen för landskapet Åland</w:t>
      </w:r>
      <w:bookmarkEnd w:id="28"/>
    </w:p>
    <w:p w14:paraId="07CF2EDC" w14:textId="77777777" w:rsidR="00AF3004" w:rsidRDefault="00AF3004">
      <w:pPr>
        <w:pStyle w:val="Rubrikmellanrum"/>
      </w:pPr>
    </w:p>
    <w:p w14:paraId="324553E9" w14:textId="620F9DE9" w:rsidR="00AF3004" w:rsidRDefault="0090492F">
      <w:pPr>
        <w:pStyle w:val="ANormal"/>
      </w:pPr>
      <w:r>
        <w:t>29f</w:t>
      </w:r>
      <w:r w:rsidR="006A08C9">
        <w:t> §</w:t>
      </w:r>
      <w:r w:rsidR="00AF3004">
        <w:t xml:space="preserve"> </w:t>
      </w:r>
      <w:r>
        <w:rPr>
          <w:i/>
          <w:iCs/>
        </w:rPr>
        <w:t>Kommunalskattesatsen för skatteåren 2020–2027</w:t>
      </w:r>
      <w:r w:rsidR="00AF3004">
        <w:rPr>
          <w:i/>
          <w:iCs/>
        </w:rPr>
        <w:t>.</w:t>
      </w:r>
      <w:r w:rsidR="00AF3004">
        <w:t xml:space="preserve"> </w:t>
      </w:r>
      <w:r w:rsidR="00A51C44">
        <w:t>Enligt förslaget sänks kommunalskattesatsen för samfund skatteåret 2022 från 6,838 till 6,752</w:t>
      </w:r>
      <w:r w:rsidR="006A08C9">
        <w:t xml:space="preserve"> </w:t>
      </w:r>
      <w:r w:rsidR="00A51C44">
        <w:t xml:space="preserve">procent. För samfällda förmåner sänks skattesatsen samma år </w:t>
      </w:r>
      <w:r w:rsidR="00A51C44" w:rsidRPr="00A51C44">
        <w:t>från 9,06035</w:t>
      </w:r>
      <w:r w:rsidR="00A51C44">
        <w:t xml:space="preserve"> till 8,9464</w:t>
      </w:r>
      <w:r w:rsidR="006A08C9">
        <w:t xml:space="preserve"> </w:t>
      </w:r>
      <w:r w:rsidR="00A51C44">
        <w:t>procent. Den föreslagna sänkningen gör att de totala skattesatserna för samfund och samfällda förmåner kvarstår oförändrad</w:t>
      </w:r>
      <w:r w:rsidR="00495AEE">
        <w:t>e</w:t>
      </w:r>
      <w:r w:rsidR="00A51C44">
        <w:t xml:space="preserve"> trots att fördelningen av samfundsskatten mellan kommunerna och staten ändras i riket.</w:t>
      </w:r>
    </w:p>
    <w:p w14:paraId="28B0EF02" w14:textId="77777777" w:rsidR="00AF3004" w:rsidRDefault="00AF3004">
      <w:pPr>
        <w:pStyle w:val="ANormal"/>
      </w:pPr>
    </w:p>
    <w:p w14:paraId="4080ED23" w14:textId="503DB3DE" w:rsidR="0090492F" w:rsidRDefault="0090492F" w:rsidP="0090492F">
      <w:pPr>
        <w:pStyle w:val="RubrikB"/>
      </w:pPr>
      <w:bookmarkStart w:id="29" w:name="_Toc89957175"/>
      <w:r>
        <w:t>2. Ändring av landskapslagen om tilläggsavdrag för forsknings- och utvecklingsverksamhet under skatteåren 2021–2025</w:t>
      </w:r>
      <w:bookmarkEnd w:id="29"/>
    </w:p>
    <w:p w14:paraId="2D1635AD" w14:textId="15367905" w:rsidR="0090492F" w:rsidRDefault="0090492F" w:rsidP="0090492F">
      <w:pPr>
        <w:pStyle w:val="Rubrikmellanrum"/>
      </w:pPr>
    </w:p>
    <w:p w14:paraId="65CD7A7F" w14:textId="5E8AD03F" w:rsidR="0090492F" w:rsidRDefault="0090492F" w:rsidP="0090492F">
      <w:pPr>
        <w:pStyle w:val="ANormal"/>
      </w:pPr>
      <w:r>
        <w:t>Lagens rubrik föreslås bli ändrad för att anpassa den till att tillämpningstiden förlängs till och med skatteåret 2027.</w:t>
      </w:r>
    </w:p>
    <w:p w14:paraId="5DE65231" w14:textId="77777777" w:rsidR="0090492F" w:rsidRPr="0090492F" w:rsidRDefault="0090492F" w:rsidP="0090492F">
      <w:pPr>
        <w:pStyle w:val="ANormal"/>
      </w:pPr>
    </w:p>
    <w:p w14:paraId="67E8754E" w14:textId="0C29DEDF" w:rsidR="006A7AE8" w:rsidRDefault="0090492F" w:rsidP="0090492F">
      <w:pPr>
        <w:pStyle w:val="ANormal"/>
      </w:pPr>
      <w:r>
        <w:t>1</w:t>
      </w:r>
      <w:r w:rsidR="006A08C9">
        <w:t> §</w:t>
      </w:r>
      <w:r>
        <w:rPr>
          <w:i/>
          <w:iCs/>
        </w:rPr>
        <w:t>.</w:t>
      </w:r>
      <w:r>
        <w:t xml:space="preserve"> </w:t>
      </w:r>
      <w:r w:rsidR="0008433B">
        <w:t>I paragrafen föreslås att rätten att göra tilläggsavdraget för forsknings- och utvecklingsverksamhet förlängs med två år till och med skatteåret 2027, på samma sätt som i riket.</w:t>
      </w:r>
    </w:p>
    <w:p w14:paraId="10FC905D" w14:textId="6AAF65DD" w:rsidR="006A7AE8" w:rsidRDefault="006A7AE8" w:rsidP="0090492F">
      <w:pPr>
        <w:pStyle w:val="ANormal"/>
      </w:pPr>
      <w:r>
        <w:tab/>
      </w:r>
      <w:r w:rsidR="000430D0">
        <w:t xml:space="preserve">Med hänvisning till att namnet på lagen om ett tilläggsavdrag för forsknings- och utvecklingsverksamhet under åren 2021–2025 (FFS 1078/2020) ändras till lagen om ett tilläggsavdrag för forsknings- och utvecklingsverksamhet under åren 2021–2027 (FFS 1078/2020), anpassas också hänvisningen till det. </w:t>
      </w:r>
      <w:r>
        <w:t>Förslaget innebär samtidigt att tilläggsavdraget höjs från 50 till 150</w:t>
      </w:r>
      <w:r w:rsidR="006A08C9">
        <w:t xml:space="preserve"> </w:t>
      </w:r>
      <w:r>
        <w:t>procent av de godtagbara kostnaderna för forsknings- och utvecklingsverksamhet från och med skatteåret 2022.</w:t>
      </w:r>
    </w:p>
    <w:p w14:paraId="77E3D9B3" w14:textId="061F9AE1" w:rsidR="000430D0" w:rsidRDefault="006A7AE8" w:rsidP="0090492F">
      <w:pPr>
        <w:pStyle w:val="ANormal"/>
      </w:pPr>
      <w:r>
        <w:tab/>
        <w:t>Slutligen</w:t>
      </w:r>
      <w:r w:rsidR="000430D0">
        <w:t xml:space="preserve"> föreslås också ett kortnamn för rikslagen</w:t>
      </w:r>
      <w:r>
        <w:t>, så att hänvisningarna i lagens 2</w:t>
      </w:r>
      <w:r w:rsidR="006A08C9">
        <w:t> §</w:t>
      </w:r>
      <w:r>
        <w:t xml:space="preserve"> inte ska vara beroende av om giltighetstiden ändras igen i framtiden.</w:t>
      </w:r>
    </w:p>
    <w:p w14:paraId="0EEA0B5B" w14:textId="77777777" w:rsidR="0090492F" w:rsidRDefault="0090492F" w:rsidP="0090492F">
      <w:pPr>
        <w:pStyle w:val="ANormal"/>
      </w:pPr>
    </w:p>
    <w:p w14:paraId="6DD51E03" w14:textId="78D7F67A" w:rsidR="0090492F" w:rsidRDefault="0090492F" w:rsidP="0090492F">
      <w:pPr>
        <w:pStyle w:val="ANormal"/>
      </w:pPr>
      <w:r>
        <w:t>2</w:t>
      </w:r>
      <w:r w:rsidR="006A08C9">
        <w:t> §</w:t>
      </w:r>
      <w:r>
        <w:rPr>
          <w:i/>
          <w:iCs/>
        </w:rPr>
        <w:t>.</w:t>
      </w:r>
      <w:r>
        <w:t xml:space="preserve"> </w:t>
      </w:r>
      <w:r w:rsidR="006A7AE8">
        <w:t>Enligt förslaget ändras hänvisningarna till rikslagen i paragrafens 1 och 2</w:t>
      </w:r>
      <w:r w:rsidR="006A08C9">
        <w:t> mom.</w:t>
      </w:r>
      <w:r w:rsidR="006A7AE8">
        <w:t xml:space="preserve"> till följd av att ett kortnamn föreslås i 1</w:t>
      </w:r>
      <w:r w:rsidR="006A08C9">
        <w:t> §</w:t>
      </w:r>
      <w:r w:rsidR="006A7AE8">
        <w:t>. Ändringarna är enbart språkliga.</w:t>
      </w:r>
    </w:p>
    <w:p w14:paraId="23ED4404" w14:textId="77777777" w:rsidR="0090492F" w:rsidRDefault="0090492F" w:rsidP="0090492F">
      <w:pPr>
        <w:pStyle w:val="ANormal"/>
      </w:pPr>
    </w:p>
    <w:p w14:paraId="0537B35E" w14:textId="6F652289" w:rsidR="0090492F" w:rsidRDefault="0090492F" w:rsidP="0090492F">
      <w:pPr>
        <w:pStyle w:val="ANormal"/>
      </w:pPr>
      <w:r>
        <w:t>3</w:t>
      </w:r>
      <w:r w:rsidR="006A08C9">
        <w:t> §</w:t>
      </w:r>
      <w:r>
        <w:rPr>
          <w:i/>
          <w:iCs/>
        </w:rPr>
        <w:t>.</w:t>
      </w:r>
      <w:r>
        <w:t xml:space="preserve"> </w:t>
      </w:r>
      <w:r w:rsidR="00414162">
        <w:t>Enligt förslaget förlängs lagens tillämpningstid till och med skatteåret 2027.</w:t>
      </w:r>
      <w:r w:rsidR="0051682D">
        <w:t xml:space="preserve"> Fortsättningsvis gäller dock att rätten att göra tilläggsavdrag inte tillämpas för projekt som har inletts före den 1</w:t>
      </w:r>
      <w:r w:rsidR="006A08C9">
        <w:t xml:space="preserve"> </w:t>
      </w:r>
      <w:r w:rsidR="0051682D">
        <w:t>januari 2021.</w:t>
      </w:r>
    </w:p>
    <w:p w14:paraId="44E8C828" w14:textId="77777777" w:rsidR="0090492F" w:rsidRDefault="0090492F" w:rsidP="0090492F">
      <w:pPr>
        <w:pStyle w:val="ANormal"/>
      </w:pPr>
    </w:p>
    <w:p w14:paraId="26CDDFA4" w14:textId="77777777" w:rsidR="00AF3004" w:rsidRDefault="00AF3004">
      <w:pPr>
        <w:pStyle w:val="RubrikA"/>
      </w:pPr>
      <w:r>
        <w:br w:type="page"/>
      </w:r>
      <w:bookmarkStart w:id="30" w:name="_Toc89957176"/>
      <w:r>
        <w:lastRenderedPageBreak/>
        <w:t>Lagtext</w:t>
      </w:r>
      <w:bookmarkEnd w:id="30"/>
    </w:p>
    <w:p w14:paraId="43096E18" w14:textId="77777777" w:rsidR="00AF3004" w:rsidRDefault="00AF3004">
      <w:pPr>
        <w:pStyle w:val="Rubrikmellanrum"/>
      </w:pPr>
    </w:p>
    <w:p w14:paraId="458590CF" w14:textId="77777777" w:rsidR="00EA2436" w:rsidRDefault="00EA2436" w:rsidP="00EA2436">
      <w:pPr>
        <w:pStyle w:val="ANormal"/>
      </w:pPr>
      <w:r>
        <w:t>Landskapsregeringen föreslår att följande lagar antas.</w:t>
      </w:r>
    </w:p>
    <w:p w14:paraId="301134A9" w14:textId="77777777" w:rsidR="00EA2436" w:rsidRDefault="00EA2436" w:rsidP="00EA2436">
      <w:pPr>
        <w:pStyle w:val="ANormal"/>
      </w:pPr>
    </w:p>
    <w:p w14:paraId="1F1DFA9C" w14:textId="77777777" w:rsidR="00EA2436" w:rsidRDefault="00EA2436" w:rsidP="00EA2436">
      <w:pPr>
        <w:pStyle w:val="ANormal"/>
        <w:rPr>
          <w:lang w:val="en-GB"/>
        </w:rPr>
      </w:pPr>
      <w:r>
        <w:rPr>
          <w:lang w:val="en-GB"/>
        </w:rPr>
        <w:t>1.</w:t>
      </w:r>
    </w:p>
    <w:p w14:paraId="5C23E386" w14:textId="6FBBF822" w:rsidR="00EA2436" w:rsidRDefault="00EA2436" w:rsidP="00EA2436">
      <w:pPr>
        <w:pStyle w:val="LagHuvRubr"/>
        <w:rPr>
          <w:lang w:val="en-GB"/>
        </w:rPr>
      </w:pPr>
      <w:bookmarkStart w:id="31" w:name="_Toc65658202"/>
      <w:bookmarkStart w:id="32" w:name="_Toc89957177"/>
      <w:r>
        <w:rPr>
          <w:lang w:val="en-GB"/>
        </w:rPr>
        <w:t>L A N D S K A P S L A G</w:t>
      </w:r>
      <w:r>
        <w:rPr>
          <w:lang w:val="en-GB"/>
        </w:rPr>
        <w:br/>
      </w:r>
      <w:r w:rsidRPr="006A08C9">
        <w:t>om ändring av 29f</w:t>
      </w:r>
      <w:r w:rsidR="006A08C9" w:rsidRPr="006A08C9">
        <w:t> §</w:t>
      </w:r>
      <w:r w:rsidRPr="006A08C9">
        <w:t xml:space="preserve"> kommunalskattelagen för landskapet Åland</w:t>
      </w:r>
      <w:bookmarkEnd w:id="31"/>
      <w:bookmarkEnd w:id="32"/>
    </w:p>
    <w:p w14:paraId="67DC7600" w14:textId="77777777" w:rsidR="00EA2436" w:rsidRDefault="00EA2436" w:rsidP="00EA2436">
      <w:pPr>
        <w:pStyle w:val="ANormal"/>
        <w:rPr>
          <w:lang w:val="en-GB"/>
        </w:rPr>
      </w:pPr>
    </w:p>
    <w:p w14:paraId="0FA7D48A" w14:textId="6F16FD56" w:rsidR="00EA2436" w:rsidRDefault="00EA2436" w:rsidP="00EA2436">
      <w:pPr>
        <w:pStyle w:val="ANormal"/>
      </w:pPr>
      <w:r>
        <w:tab/>
        <w:t xml:space="preserve">I enlighet med lagtingets beslut </w:t>
      </w:r>
      <w:r w:rsidRPr="00B35A35">
        <w:rPr>
          <w:b/>
          <w:bCs/>
        </w:rPr>
        <w:t>ändras</w:t>
      </w:r>
      <w:r>
        <w:t xml:space="preserve"> 29f</w:t>
      </w:r>
      <w:r w:rsidR="006A08C9">
        <w:t> §</w:t>
      </w:r>
      <w:r>
        <w:t xml:space="preserve"> </w:t>
      </w:r>
      <w:r w:rsidR="007233B4">
        <w:t>3</w:t>
      </w:r>
      <w:r w:rsidR="006A08C9">
        <w:t> </w:t>
      </w:r>
      <w:r>
        <w:t>punk</w:t>
      </w:r>
      <w:r w:rsidR="001D6045">
        <w:t>t</w:t>
      </w:r>
      <w:r>
        <w:t>en kommunalskattelagen (2011:119) för landskapet Åland, sådan den lyder i landskapslagen 202</w:t>
      </w:r>
      <w:r w:rsidR="007233B4">
        <w:t>1</w:t>
      </w:r>
      <w:r>
        <w:t>/</w:t>
      </w:r>
      <w:r w:rsidR="007233B4">
        <w:t>7</w:t>
      </w:r>
      <w:r>
        <w:t>3, som följer:</w:t>
      </w:r>
    </w:p>
    <w:p w14:paraId="3FCCC596" w14:textId="77777777" w:rsidR="007233B4" w:rsidRDefault="007233B4" w:rsidP="00EA2436">
      <w:pPr>
        <w:pStyle w:val="ANormal"/>
      </w:pPr>
    </w:p>
    <w:p w14:paraId="73512765" w14:textId="617B5DA9" w:rsidR="00EA2436" w:rsidRDefault="00EA2436" w:rsidP="00EA2436">
      <w:pPr>
        <w:pStyle w:val="LagParagraf"/>
      </w:pPr>
      <w:r>
        <w:t>29f</w:t>
      </w:r>
      <w:r w:rsidR="006A08C9">
        <w:t> §</w:t>
      </w:r>
    </w:p>
    <w:p w14:paraId="0B615098" w14:textId="77777777" w:rsidR="00EA2436" w:rsidRDefault="00EA2436" w:rsidP="00EA2436">
      <w:pPr>
        <w:pStyle w:val="LagPararubrik"/>
      </w:pPr>
      <w:r>
        <w:t>Kommunalskattesatsen för skatteåren 2020–2027</w:t>
      </w:r>
    </w:p>
    <w:p w14:paraId="2F5D9749" w14:textId="6001C27A" w:rsidR="00EA2436" w:rsidRDefault="00EA2436" w:rsidP="00EA2436">
      <w:pPr>
        <w:pStyle w:val="ANormal"/>
      </w:pPr>
      <w:r>
        <w:tab/>
        <w:t>Med avvikelse från 29</w:t>
      </w:r>
      <w:r w:rsidR="006A08C9">
        <w:t> §</w:t>
      </w:r>
      <w:r>
        <w:t xml:space="preserve"> ska</w:t>
      </w:r>
    </w:p>
    <w:p w14:paraId="34818A9C" w14:textId="77777777" w:rsidR="00EA2436" w:rsidRDefault="00EA2436" w:rsidP="00EA2436">
      <w:pPr>
        <w:pStyle w:val="ANormal"/>
      </w:pPr>
      <w:r>
        <w:t>- - - - - - - - - - - - - - - - - - - - - - - - - - - - - - - - - - - - - - - - - - - - - - - - - - - -</w:t>
      </w:r>
    </w:p>
    <w:p w14:paraId="2A26A325" w14:textId="328DDD51" w:rsidR="00EA2436" w:rsidRDefault="00EA2436" w:rsidP="00EA2436">
      <w:pPr>
        <w:pStyle w:val="ANormal"/>
      </w:pPr>
      <w:r>
        <w:tab/>
        <w:t>3) samfund betala 6,</w:t>
      </w:r>
      <w:r w:rsidR="007233B4">
        <w:t>752</w:t>
      </w:r>
      <w:r>
        <w:t xml:space="preserve"> procent och samfällda förmåner </w:t>
      </w:r>
      <w:r w:rsidR="007233B4">
        <w:t>8</w:t>
      </w:r>
      <w:r>
        <w:t>,</w:t>
      </w:r>
      <w:r w:rsidR="007233B4">
        <w:t>9464</w:t>
      </w:r>
      <w:r>
        <w:t xml:space="preserve"> procent i kommunalskatt på den beskattningsbara inkomsten vid beskattningen för skatteåret 2022,</w:t>
      </w:r>
    </w:p>
    <w:p w14:paraId="52F8C29E" w14:textId="77777777" w:rsidR="007233B4" w:rsidRDefault="007233B4">
      <w:pPr>
        <w:pStyle w:val="ANormal"/>
      </w:pPr>
      <w:r>
        <w:t>- - - - - - - - - - - - - - - - - - - - - - - - - - - - - - - - - - - - - - - - - - - - - - - - - - - -</w:t>
      </w:r>
    </w:p>
    <w:p w14:paraId="7E88ED75" w14:textId="77777777" w:rsidR="00EA2436" w:rsidRDefault="00524DE4" w:rsidP="00EA2436">
      <w:pPr>
        <w:pStyle w:val="ANormal"/>
        <w:jc w:val="center"/>
      </w:pPr>
      <w:hyperlink w:anchor="_top" w:tooltip="Klicka för att gå till toppen av dokumentet" w:history="1">
        <w:r w:rsidR="00EA2436">
          <w:rPr>
            <w:rStyle w:val="Hyperlnk"/>
          </w:rPr>
          <w:t>__________________</w:t>
        </w:r>
      </w:hyperlink>
    </w:p>
    <w:p w14:paraId="660A8CE0" w14:textId="77777777" w:rsidR="00EA2436" w:rsidRDefault="00EA2436" w:rsidP="00EA2436">
      <w:pPr>
        <w:pStyle w:val="ANormal"/>
      </w:pPr>
    </w:p>
    <w:p w14:paraId="3C270741" w14:textId="0571D33F" w:rsidR="00EA2436" w:rsidRDefault="00EA2436" w:rsidP="00EA2436">
      <w:pPr>
        <w:pStyle w:val="ANormal"/>
      </w:pPr>
      <w:r>
        <w:tab/>
        <w:t xml:space="preserve">Denna lag träder i kraft den… </w:t>
      </w:r>
      <w:r w:rsidR="00382C69">
        <w:t>och</w:t>
      </w:r>
      <w:r>
        <w:t xml:space="preserve"> tillämpas vid beskattningen för skatteåre</w:t>
      </w:r>
      <w:r w:rsidR="00382C69">
        <w:t>t</w:t>
      </w:r>
      <w:r>
        <w:t xml:space="preserve"> 2022. Vid den första redovisningen av samfundsskatt till kommunerna efter att lagen har trätt i kraft rättas de redovisningar som gäller skatteåret 202</w:t>
      </w:r>
      <w:r w:rsidR="00382C69">
        <w:t>2</w:t>
      </w:r>
      <w:r>
        <w:t xml:space="preserve"> så att de motsvarar denna lag.</w:t>
      </w:r>
    </w:p>
    <w:p w14:paraId="73C2F53C" w14:textId="77777777" w:rsidR="006A08C9" w:rsidRDefault="00524DE4">
      <w:pPr>
        <w:pStyle w:val="ANormal"/>
        <w:jc w:val="center"/>
      </w:pPr>
      <w:hyperlink w:anchor="_top" w:tooltip="Klicka för att gå till toppen av dokumentet" w:history="1">
        <w:r w:rsidR="006A08C9">
          <w:rPr>
            <w:rStyle w:val="Hyperlnk"/>
          </w:rPr>
          <w:t>__________________</w:t>
        </w:r>
      </w:hyperlink>
    </w:p>
    <w:p w14:paraId="404E1DA8" w14:textId="77777777" w:rsidR="00EA2436" w:rsidRDefault="00EA2436" w:rsidP="00EA2436">
      <w:pPr>
        <w:pStyle w:val="ANormal"/>
      </w:pPr>
    </w:p>
    <w:p w14:paraId="0FD49618" w14:textId="77777777" w:rsidR="00EA2436" w:rsidRDefault="00EA2436" w:rsidP="00EA2436">
      <w:pPr>
        <w:pStyle w:val="ANormal"/>
        <w:keepNext/>
        <w:rPr>
          <w:lang w:val="en-GB"/>
        </w:rPr>
      </w:pPr>
      <w:r>
        <w:rPr>
          <w:lang w:val="en-GB"/>
        </w:rPr>
        <w:t>2.</w:t>
      </w:r>
    </w:p>
    <w:p w14:paraId="698EC4F3" w14:textId="7E6C2A53" w:rsidR="00EA2436" w:rsidRDefault="00EA2436" w:rsidP="00EA2436">
      <w:pPr>
        <w:pStyle w:val="LagHuvRubr"/>
        <w:rPr>
          <w:lang w:val="en-GB"/>
        </w:rPr>
      </w:pPr>
      <w:bookmarkStart w:id="33" w:name="_Toc65658203"/>
      <w:bookmarkStart w:id="34" w:name="_Toc89957178"/>
      <w:r>
        <w:rPr>
          <w:lang w:val="en-GB"/>
        </w:rPr>
        <w:t>L A N D S K A P S L A G</w:t>
      </w:r>
      <w:r>
        <w:rPr>
          <w:lang w:val="en-GB"/>
        </w:rPr>
        <w:br/>
        <w:t xml:space="preserve">om </w:t>
      </w:r>
      <w:r w:rsidR="00191F46">
        <w:rPr>
          <w:lang w:val="en-GB"/>
        </w:rPr>
        <w:t xml:space="preserve">ändring av landskapslagen om </w:t>
      </w:r>
      <w:r>
        <w:rPr>
          <w:lang w:val="en-GB"/>
        </w:rPr>
        <w:t>tilläggsavdrag för forsknings- och utvecklingsverksamhet under skatteåren 2021–2025</w:t>
      </w:r>
      <w:bookmarkEnd w:id="33"/>
      <w:bookmarkEnd w:id="34"/>
    </w:p>
    <w:p w14:paraId="25267AE4" w14:textId="77777777" w:rsidR="00EA2436" w:rsidRDefault="00EA2436" w:rsidP="00EA2436">
      <w:pPr>
        <w:pStyle w:val="ANormal"/>
        <w:rPr>
          <w:lang w:val="en-GB"/>
        </w:rPr>
      </w:pPr>
    </w:p>
    <w:p w14:paraId="504543C9" w14:textId="72F53B89" w:rsidR="00EA2436" w:rsidRDefault="00EA2436" w:rsidP="00EA2436">
      <w:pPr>
        <w:pStyle w:val="ANormal"/>
      </w:pPr>
      <w:r>
        <w:tab/>
        <w:t xml:space="preserve">I enlighet med lagtingets beslut </w:t>
      </w:r>
      <w:r w:rsidR="0019096B" w:rsidRPr="0019096B">
        <w:rPr>
          <w:b/>
          <w:bCs/>
        </w:rPr>
        <w:t>ändras</w:t>
      </w:r>
      <w:r w:rsidR="0019096B">
        <w:t xml:space="preserve"> </w:t>
      </w:r>
      <w:r w:rsidR="00382C69">
        <w:t>lagens rubrik, 1 och 2</w:t>
      </w:r>
      <w:r w:rsidR="006A08C9">
        <w:t> §</w:t>
      </w:r>
      <w:r w:rsidR="00382C69">
        <w:t>§ samt 3</w:t>
      </w:r>
      <w:r w:rsidR="006A08C9">
        <w:t> §</w:t>
      </w:r>
      <w:r w:rsidR="00382C69">
        <w:t xml:space="preserve"> 2</w:t>
      </w:r>
      <w:r w:rsidR="006A08C9">
        <w:t> mom.</w:t>
      </w:r>
      <w:r w:rsidR="0019096B">
        <w:t xml:space="preserve"> som följer</w:t>
      </w:r>
      <w:r>
        <w:t>:</w:t>
      </w:r>
    </w:p>
    <w:p w14:paraId="49657831" w14:textId="54C0BAA7" w:rsidR="00382C69" w:rsidRDefault="00382C69" w:rsidP="00EA2436">
      <w:pPr>
        <w:pStyle w:val="ANormal"/>
      </w:pPr>
    </w:p>
    <w:p w14:paraId="175FEC21" w14:textId="30284D86" w:rsidR="00382C69" w:rsidRPr="004F6255" w:rsidRDefault="00382C69" w:rsidP="004F6255">
      <w:pPr>
        <w:pStyle w:val="ANormal"/>
        <w:jc w:val="center"/>
        <w:rPr>
          <w:b/>
          <w:bCs/>
        </w:rPr>
      </w:pPr>
      <w:r w:rsidRPr="004F6255">
        <w:rPr>
          <w:b/>
          <w:bCs/>
        </w:rPr>
        <w:t>L A N D S K A P S L A G</w:t>
      </w:r>
      <w:r w:rsidRPr="004F6255">
        <w:rPr>
          <w:b/>
          <w:bCs/>
        </w:rPr>
        <w:br/>
        <w:t>om tilläggsavdrag för forsknings- och utvecklingsverksamhet under skatteåren 2021–2027</w:t>
      </w:r>
    </w:p>
    <w:p w14:paraId="0C465063" w14:textId="77777777" w:rsidR="00EA2436" w:rsidRDefault="00EA2436" w:rsidP="00EA2436">
      <w:pPr>
        <w:pStyle w:val="ANormal"/>
      </w:pPr>
    </w:p>
    <w:p w14:paraId="00869BB1" w14:textId="1A49681A" w:rsidR="00EA2436" w:rsidRDefault="00EA2436" w:rsidP="00EA2436">
      <w:pPr>
        <w:pStyle w:val="LagParagraf"/>
      </w:pPr>
      <w:r>
        <w:t>1</w:t>
      </w:r>
      <w:r w:rsidR="006A08C9">
        <w:t> §</w:t>
      </w:r>
    </w:p>
    <w:p w14:paraId="470F91D8" w14:textId="527542F9" w:rsidR="00EA2436" w:rsidRPr="0040598A" w:rsidRDefault="00EA2436" w:rsidP="00EA2436">
      <w:pPr>
        <w:pStyle w:val="ANormal"/>
      </w:pPr>
      <w:r>
        <w:tab/>
        <w:t>Den som bedriver näringsverksamhet eller jordbruk har rätt att vid kommunalbeskattningen under skatteåren 2021–202</w:t>
      </w:r>
      <w:r w:rsidR="00566DD1">
        <w:t>7</w:t>
      </w:r>
      <w:r>
        <w:t xml:space="preserve"> från sin inkomst av näringsverksamhet eller jordbruk göra ett tilläggsavdrag för forsknings- och utvecklingsverksamhet i enlighet med vad som föreskrivs i lagen om ett tilläggsavdrag för forsknings- och utvecklingsverksamhet under åren 2021–202</w:t>
      </w:r>
      <w:r w:rsidR="00566DD1">
        <w:t>7</w:t>
      </w:r>
      <w:r>
        <w:t xml:space="preserve"> (FFS 1078/2020</w:t>
      </w:r>
      <w:r w:rsidR="00566DD1">
        <w:t xml:space="preserve">, nedan </w:t>
      </w:r>
      <w:r w:rsidR="00566DD1" w:rsidRPr="00484CE8">
        <w:rPr>
          <w:i/>
          <w:iCs/>
        </w:rPr>
        <w:t>lagen om ett tilläggsavdrag för forsknings- och utvecklingsverksamhet</w:t>
      </w:r>
      <w:r>
        <w:t>), med de undantag som följer av denna lag.</w:t>
      </w:r>
    </w:p>
    <w:p w14:paraId="3B5ADC51" w14:textId="77777777" w:rsidR="00EA2436" w:rsidRDefault="00EA2436" w:rsidP="00EA2436">
      <w:pPr>
        <w:pStyle w:val="LagParagraf"/>
        <w:jc w:val="left"/>
      </w:pPr>
    </w:p>
    <w:p w14:paraId="27C2F45B" w14:textId="5565A191" w:rsidR="00EA2436" w:rsidRDefault="00EA2436" w:rsidP="00EA2436">
      <w:pPr>
        <w:pStyle w:val="LagParagraf"/>
      </w:pPr>
      <w:r>
        <w:t>2</w:t>
      </w:r>
      <w:r w:rsidR="006A08C9">
        <w:t> §</w:t>
      </w:r>
    </w:p>
    <w:p w14:paraId="7D25143B" w14:textId="664CD40F" w:rsidR="00EA2436" w:rsidRPr="0038045C" w:rsidRDefault="00EA2436" w:rsidP="00EA2436">
      <w:pPr>
        <w:pStyle w:val="ANormal"/>
      </w:pPr>
      <w:r>
        <w:tab/>
        <w:t>Ä</w:t>
      </w:r>
      <w:r w:rsidRPr="0038045C">
        <w:t xml:space="preserve">ndringar </w:t>
      </w:r>
      <w:r>
        <w:t>av</w:t>
      </w:r>
      <w:r w:rsidRPr="0038045C">
        <w:t xml:space="preserve"> </w:t>
      </w:r>
      <w:r>
        <w:t xml:space="preserve">lagen om ett tilläggsavdrag för forsknings- och utvecklingsverksamhet </w:t>
      </w:r>
      <w:r w:rsidRPr="0038045C">
        <w:t xml:space="preserve">ska gälla </w:t>
      </w:r>
      <w:r>
        <w:t>på Åland</w:t>
      </w:r>
      <w:r w:rsidRPr="0038045C">
        <w:t xml:space="preserve"> från tidpunkten för deras ikraftträdande i riket</w:t>
      </w:r>
      <w:r>
        <w:t xml:space="preserve"> om inte annat följer av denna lag.</w:t>
      </w:r>
    </w:p>
    <w:p w14:paraId="12861F16" w14:textId="2C701F63" w:rsidR="00EA2436" w:rsidRDefault="00EA2436" w:rsidP="00EA2436">
      <w:pPr>
        <w:pStyle w:val="ANormal"/>
      </w:pPr>
      <w:r>
        <w:tab/>
        <w:t xml:space="preserve">En hänvisning i lagen om ett tilläggsavdrag för forsknings- och utvecklingsverksamhet </w:t>
      </w:r>
      <w:r w:rsidRPr="00E06E57">
        <w:t>till en riksförfattning ska inom landskapets behörighet avse motsvarande bestämmelser som finns i landskapslagstiftningen</w:t>
      </w:r>
      <w:r>
        <w:t>.</w:t>
      </w:r>
    </w:p>
    <w:p w14:paraId="3E634803" w14:textId="77777777" w:rsidR="00EA2436" w:rsidRDefault="00EA2436" w:rsidP="00EA2436">
      <w:pPr>
        <w:pStyle w:val="ANormal"/>
      </w:pPr>
    </w:p>
    <w:p w14:paraId="01CE7DB3" w14:textId="4F2805E8" w:rsidR="00EA2436" w:rsidRDefault="00EA2436" w:rsidP="00EA2436">
      <w:pPr>
        <w:pStyle w:val="LagParagraf"/>
      </w:pPr>
      <w:r>
        <w:t>3</w:t>
      </w:r>
      <w:r w:rsidR="006A08C9">
        <w:t> §</w:t>
      </w:r>
    </w:p>
    <w:p w14:paraId="6470EDEE" w14:textId="77777777" w:rsidR="00566DD1" w:rsidRDefault="00566DD1">
      <w:pPr>
        <w:pStyle w:val="ANormal"/>
      </w:pPr>
      <w:r>
        <w:t>- - - - - - - - - - - - - - - - - - - - - - - - - - - - - - - - - - - - - - - - - - - - - - - - - - - -</w:t>
      </w:r>
    </w:p>
    <w:p w14:paraId="770276F3" w14:textId="439663B9" w:rsidR="00EA2436" w:rsidRPr="000B4A4E" w:rsidRDefault="00EA2436" w:rsidP="00EA2436">
      <w:pPr>
        <w:pStyle w:val="ANormal"/>
      </w:pPr>
      <w:r>
        <w:tab/>
        <w:t>Lagen tillämpas vid kommunalbeskattningen för skatteåren 2021–202</w:t>
      </w:r>
      <w:r w:rsidR="00566DD1">
        <w:t>7</w:t>
      </w:r>
      <w:r>
        <w:t>. Lagen tillämpas inte på projekt inom forsknings- och utvecklingsverksamheten som inletts före den 1 januari 2021. Ett projekt anses ha inletts vid den tidpunkt då avtalet om projektet undertecknas.</w:t>
      </w:r>
    </w:p>
    <w:p w14:paraId="24C7EBFD" w14:textId="77777777" w:rsidR="00AF3004" w:rsidRDefault="00524DE4">
      <w:pPr>
        <w:pStyle w:val="ANormal"/>
        <w:jc w:val="center"/>
      </w:pPr>
      <w:hyperlink w:anchor="_top" w:tooltip="Klicka för att gå till toppen av dokumentet" w:history="1">
        <w:r w:rsidR="00AF3004">
          <w:rPr>
            <w:rStyle w:val="Hyperlnk"/>
          </w:rPr>
          <w:t>__________________</w:t>
        </w:r>
      </w:hyperlink>
    </w:p>
    <w:p w14:paraId="24B4FE30" w14:textId="77777777" w:rsidR="00AF3004" w:rsidRDefault="00AF3004">
      <w:pPr>
        <w:pStyle w:val="ANormal"/>
      </w:pPr>
    </w:p>
    <w:p w14:paraId="4E883088" w14:textId="144DBB61" w:rsidR="00AF3004" w:rsidRDefault="00484CE8">
      <w:pPr>
        <w:pStyle w:val="ANormal"/>
      </w:pPr>
      <w:r>
        <w:tab/>
        <w:t>Denna lag träder i kraft den …. Lagen tillämpas första gången vid beskattningen för 2022.</w:t>
      </w:r>
    </w:p>
    <w:p w14:paraId="06D7F96C" w14:textId="2688474D" w:rsidR="00484CE8" w:rsidRDefault="00484CE8">
      <w:pPr>
        <w:pStyle w:val="ANormal"/>
      </w:pPr>
    </w:p>
    <w:p w14:paraId="55242F1C" w14:textId="77777777" w:rsidR="00484CE8" w:rsidRDefault="00484CE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BA40666" w14:textId="77777777">
        <w:trPr>
          <w:cantSplit/>
        </w:trPr>
        <w:tc>
          <w:tcPr>
            <w:tcW w:w="7931" w:type="dxa"/>
            <w:gridSpan w:val="2"/>
          </w:tcPr>
          <w:p w14:paraId="59BABAFB" w14:textId="240CFF9D" w:rsidR="00AF3004" w:rsidRDefault="00AF3004">
            <w:pPr>
              <w:pStyle w:val="ANormal"/>
              <w:keepNext/>
            </w:pPr>
            <w:r>
              <w:t xml:space="preserve">Mariehamn </w:t>
            </w:r>
            <w:r w:rsidR="006A08C9">
              <w:t>den 9 december 2021</w:t>
            </w:r>
          </w:p>
        </w:tc>
      </w:tr>
      <w:tr w:rsidR="00AF3004" w14:paraId="4B6F637F" w14:textId="77777777">
        <w:tc>
          <w:tcPr>
            <w:tcW w:w="4454" w:type="dxa"/>
            <w:vAlign w:val="bottom"/>
          </w:tcPr>
          <w:p w14:paraId="0E966162" w14:textId="77777777" w:rsidR="00AF3004" w:rsidRDefault="00AF3004">
            <w:pPr>
              <w:pStyle w:val="ANormal"/>
              <w:keepNext/>
            </w:pPr>
          </w:p>
          <w:p w14:paraId="3A22967D" w14:textId="77777777" w:rsidR="00AF3004" w:rsidRDefault="00AF3004">
            <w:pPr>
              <w:pStyle w:val="ANormal"/>
              <w:keepNext/>
            </w:pPr>
          </w:p>
          <w:p w14:paraId="5BF4017D" w14:textId="2428FC72" w:rsidR="00AF3004" w:rsidRDefault="006A08C9">
            <w:pPr>
              <w:pStyle w:val="ANormal"/>
              <w:keepNext/>
            </w:pPr>
            <w:r>
              <w:t>V i c e l</w:t>
            </w:r>
            <w:r w:rsidR="00AF3004">
              <w:t xml:space="preserve"> a n t r å d</w:t>
            </w:r>
          </w:p>
        </w:tc>
        <w:tc>
          <w:tcPr>
            <w:tcW w:w="3477" w:type="dxa"/>
            <w:vAlign w:val="bottom"/>
          </w:tcPr>
          <w:p w14:paraId="3AEA0E93" w14:textId="77777777" w:rsidR="00AF3004" w:rsidRDefault="00AF3004">
            <w:pPr>
              <w:pStyle w:val="ANormal"/>
              <w:keepNext/>
            </w:pPr>
          </w:p>
          <w:p w14:paraId="403DE209" w14:textId="77777777" w:rsidR="00AF3004" w:rsidRDefault="00AF3004">
            <w:pPr>
              <w:pStyle w:val="ANormal"/>
              <w:keepNext/>
            </w:pPr>
          </w:p>
          <w:p w14:paraId="21155BCC" w14:textId="64415B96" w:rsidR="00AF3004" w:rsidRDefault="006A08C9">
            <w:pPr>
              <w:pStyle w:val="ANormal"/>
              <w:keepNext/>
            </w:pPr>
            <w:r>
              <w:t>Harry Jansson</w:t>
            </w:r>
          </w:p>
        </w:tc>
      </w:tr>
      <w:tr w:rsidR="00AF3004" w14:paraId="0F5BD369" w14:textId="77777777">
        <w:tc>
          <w:tcPr>
            <w:tcW w:w="4454" w:type="dxa"/>
            <w:vAlign w:val="bottom"/>
          </w:tcPr>
          <w:p w14:paraId="0B48D66F" w14:textId="77777777" w:rsidR="00AF3004" w:rsidRDefault="00AF3004">
            <w:pPr>
              <w:pStyle w:val="ANormal"/>
              <w:keepNext/>
            </w:pPr>
          </w:p>
          <w:p w14:paraId="045704E5" w14:textId="77777777" w:rsidR="00AF3004" w:rsidRDefault="00AF3004">
            <w:pPr>
              <w:pStyle w:val="ANormal"/>
              <w:keepNext/>
            </w:pPr>
          </w:p>
          <w:p w14:paraId="19636AE2" w14:textId="75DB0AD3" w:rsidR="00AF3004" w:rsidRDefault="00AF3004">
            <w:pPr>
              <w:pStyle w:val="ANormal"/>
              <w:keepNext/>
            </w:pPr>
            <w:r>
              <w:t xml:space="preserve">Föredragande </w:t>
            </w:r>
            <w:r w:rsidR="00EA2436">
              <w:t>minister</w:t>
            </w:r>
          </w:p>
        </w:tc>
        <w:tc>
          <w:tcPr>
            <w:tcW w:w="3477" w:type="dxa"/>
            <w:vAlign w:val="bottom"/>
          </w:tcPr>
          <w:p w14:paraId="16082197" w14:textId="77777777" w:rsidR="00AF3004" w:rsidRDefault="00AF3004">
            <w:pPr>
              <w:pStyle w:val="ANormal"/>
              <w:keepNext/>
            </w:pPr>
          </w:p>
          <w:p w14:paraId="50FD6E41" w14:textId="77777777" w:rsidR="00AF3004" w:rsidRDefault="00AF3004">
            <w:pPr>
              <w:pStyle w:val="ANormal"/>
              <w:keepNext/>
            </w:pPr>
          </w:p>
          <w:p w14:paraId="257B89A2" w14:textId="48F26C7F" w:rsidR="00AF3004" w:rsidRDefault="001B3417">
            <w:pPr>
              <w:pStyle w:val="ANormal"/>
              <w:keepNext/>
            </w:pPr>
            <w:r>
              <w:t>Roger Höglund</w:t>
            </w:r>
          </w:p>
        </w:tc>
      </w:tr>
    </w:tbl>
    <w:p w14:paraId="50CA2887" w14:textId="53695B55" w:rsidR="00AF3004" w:rsidRDefault="00AF3004">
      <w:pPr>
        <w:pStyle w:val="ANormal"/>
      </w:pPr>
    </w:p>
    <w:p w14:paraId="0BE1B562" w14:textId="1334EF31" w:rsidR="006A08C9" w:rsidRDefault="006A08C9">
      <w:pPr>
        <w:rPr>
          <w:sz w:val="22"/>
          <w:szCs w:val="20"/>
          <w:lang w:val="sv-SE"/>
        </w:rPr>
      </w:pPr>
      <w:r>
        <w:br w:type="page"/>
      </w:r>
    </w:p>
    <w:p w14:paraId="70C8EF6F" w14:textId="4B1D9924" w:rsidR="006A08C9" w:rsidRDefault="006A08C9" w:rsidP="006A08C9">
      <w:pPr>
        <w:pStyle w:val="RubrikA"/>
      </w:pPr>
      <w:bookmarkStart w:id="35" w:name="_Toc89957179"/>
      <w:r>
        <w:lastRenderedPageBreak/>
        <w:t>Parallelltexter</w:t>
      </w:r>
      <w:bookmarkEnd w:id="35"/>
    </w:p>
    <w:p w14:paraId="4988E11B" w14:textId="23309949" w:rsidR="006A08C9" w:rsidRDefault="006A08C9" w:rsidP="006A08C9">
      <w:pPr>
        <w:pStyle w:val="Rubrikmellanrum"/>
      </w:pPr>
    </w:p>
    <w:p w14:paraId="1A753C25" w14:textId="623479A8" w:rsidR="006A08C9" w:rsidRPr="006A08C9" w:rsidRDefault="006A08C9" w:rsidP="006A08C9">
      <w:pPr>
        <w:pStyle w:val="ArendeUnderRubrik"/>
      </w:pPr>
      <w:r>
        <w:t>Parallelltexter till landskapsregeringens lagförslag nr 4/</w:t>
      </w:r>
      <w:proofErr w:type="gramStart"/>
      <w:r>
        <w:t>2021-2022</w:t>
      </w:r>
      <w:proofErr w:type="gramEnd"/>
    </w:p>
    <w:sectPr w:rsidR="006A08C9" w:rsidRPr="006A08C9">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926F" w14:textId="77777777" w:rsidR="001F49BC" w:rsidRDefault="001F49BC">
      <w:r>
        <w:separator/>
      </w:r>
    </w:p>
  </w:endnote>
  <w:endnote w:type="continuationSeparator" w:id="0">
    <w:p w14:paraId="23D35082" w14:textId="77777777" w:rsidR="001F49BC" w:rsidRDefault="001F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1D56"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25F6" w14:textId="431DA121" w:rsidR="00AF3004" w:rsidRPr="00242F7D" w:rsidRDefault="00242F7D">
    <w:pPr>
      <w:pStyle w:val="Sidfot"/>
      <w:rPr>
        <w:lang w:val="sv-FI"/>
      </w:rPr>
    </w:pPr>
    <w:r>
      <w:rPr>
        <w:lang w:val="sv-FI"/>
      </w:rPr>
      <w:t>LF0420212022.docx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CEC"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8E95" w14:textId="77777777" w:rsidR="001F49BC" w:rsidRDefault="001F49BC">
      <w:r>
        <w:separator/>
      </w:r>
    </w:p>
  </w:footnote>
  <w:footnote w:type="continuationSeparator" w:id="0">
    <w:p w14:paraId="1FF3D0B3" w14:textId="77777777" w:rsidR="001F49BC" w:rsidRDefault="001F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5CA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F215459"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82F1"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547B6"/>
    <w:multiLevelType w:val="hybridMultilevel"/>
    <w:tmpl w:val="9F3C4C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BC"/>
    <w:rsid w:val="00036407"/>
    <w:rsid w:val="000430D0"/>
    <w:rsid w:val="000834EC"/>
    <w:rsid w:val="0008359A"/>
    <w:rsid w:val="0008433B"/>
    <w:rsid w:val="0009478D"/>
    <w:rsid w:val="00097765"/>
    <w:rsid w:val="000B3BF0"/>
    <w:rsid w:val="000E3BD7"/>
    <w:rsid w:val="000F1E11"/>
    <w:rsid w:val="00114B68"/>
    <w:rsid w:val="00183370"/>
    <w:rsid w:val="0019096B"/>
    <w:rsid w:val="00190F9D"/>
    <w:rsid w:val="00191F46"/>
    <w:rsid w:val="001B1C06"/>
    <w:rsid w:val="001B3417"/>
    <w:rsid w:val="001B7064"/>
    <w:rsid w:val="001D2699"/>
    <w:rsid w:val="001D4703"/>
    <w:rsid w:val="001D6045"/>
    <w:rsid w:val="001D7D10"/>
    <w:rsid w:val="001E5300"/>
    <w:rsid w:val="001F49BC"/>
    <w:rsid w:val="00202894"/>
    <w:rsid w:val="00211EC7"/>
    <w:rsid w:val="00242F7D"/>
    <w:rsid w:val="002A7DFC"/>
    <w:rsid w:val="002F335B"/>
    <w:rsid w:val="00333BFB"/>
    <w:rsid w:val="003363D5"/>
    <w:rsid w:val="00342FC4"/>
    <w:rsid w:val="00353AC4"/>
    <w:rsid w:val="0037748F"/>
    <w:rsid w:val="00382C69"/>
    <w:rsid w:val="003B7FC7"/>
    <w:rsid w:val="00414162"/>
    <w:rsid w:val="00441956"/>
    <w:rsid w:val="004545D3"/>
    <w:rsid w:val="00464E03"/>
    <w:rsid w:val="00484CE8"/>
    <w:rsid w:val="00495570"/>
    <w:rsid w:val="00495AEE"/>
    <w:rsid w:val="004A6BA1"/>
    <w:rsid w:val="004C2733"/>
    <w:rsid w:val="004F2813"/>
    <w:rsid w:val="004F55FC"/>
    <w:rsid w:val="004F6255"/>
    <w:rsid w:val="00507881"/>
    <w:rsid w:val="0051682D"/>
    <w:rsid w:val="00524DE4"/>
    <w:rsid w:val="00545C1C"/>
    <w:rsid w:val="00566DD1"/>
    <w:rsid w:val="00580AC2"/>
    <w:rsid w:val="00587909"/>
    <w:rsid w:val="005966D1"/>
    <w:rsid w:val="005B6F0A"/>
    <w:rsid w:val="005B7E9A"/>
    <w:rsid w:val="005F1DF9"/>
    <w:rsid w:val="0066277A"/>
    <w:rsid w:val="00671532"/>
    <w:rsid w:val="0067398A"/>
    <w:rsid w:val="00686C53"/>
    <w:rsid w:val="006A08C9"/>
    <w:rsid w:val="006A182F"/>
    <w:rsid w:val="006A7AE8"/>
    <w:rsid w:val="006B13D0"/>
    <w:rsid w:val="006B633C"/>
    <w:rsid w:val="006D25B1"/>
    <w:rsid w:val="006F02B8"/>
    <w:rsid w:val="00700797"/>
    <w:rsid w:val="007019C8"/>
    <w:rsid w:val="0070220D"/>
    <w:rsid w:val="00716A6C"/>
    <w:rsid w:val="00722128"/>
    <w:rsid w:val="007233B4"/>
    <w:rsid w:val="0073519C"/>
    <w:rsid w:val="00754FB8"/>
    <w:rsid w:val="00755F9C"/>
    <w:rsid w:val="00775CDB"/>
    <w:rsid w:val="00822D37"/>
    <w:rsid w:val="00841B81"/>
    <w:rsid w:val="008450DA"/>
    <w:rsid w:val="00867BB9"/>
    <w:rsid w:val="008839CE"/>
    <w:rsid w:val="008C2FA3"/>
    <w:rsid w:val="008E27B3"/>
    <w:rsid w:val="0090492F"/>
    <w:rsid w:val="00913078"/>
    <w:rsid w:val="0091527C"/>
    <w:rsid w:val="009421EB"/>
    <w:rsid w:val="0095473C"/>
    <w:rsid w:val="00967DC2"/>
    <w:rsid w:val="00980C60"/>
    <w:rsid w:val="00A002C2"/>
    <w:rsid w:val="00A04F99"/>
    <w:rsid w:val="00A24DEB"/>
    <w:rsid w:val="00A32351"/>
    <w:rsid w:val="00A42E16"/>
    <w:rsid w:val="00A45418"/>
    <w:rsid w:val="00A454BC"/>
    <w:rsid w:val="00A51C44"/>
    <w:rsid w:val="00A666E8"/>
    <w:rsid w:val="00A968C1"/>
    <w:rsid w:val="00AB4368"/>
    <w:rsid w:val="00AB5269"/>
    <w:rsid w:val="00AF3004"/>
    <w:rsid w:val="00B70DF6"/>
    <w:rsid w:val="00BA0BC2"/>
    <w:rsid w:val="00BB1336"/>
    <w:rsid w:val="00BD1519"/>
    <w:rsid w:val="00BF0F00"/>
    <w:rsid w:val="00C42B75"/>
    <w:rsid w:val="00C64858"/>
    <w:rsid w:val="00CB0DD6"/>
    <w:rsid w:val="00CC58EA"/>
    <w:rsid w:val="00D5235A"/>
    <w:rsid w:val="00D63109"/>
    <w:rsid w:val="00D67DD8"/>
    <w:rsid w:val="00DA09FE"/>
    <w:rsid w:val="00DA310B"/>
    <w:rsid w:val="00DD2DAB"/>
    <w:rsid w:val="00DD5E39"/>
    <w:rsid w:val="00DD7400"/>
    <w:rsid w:val="00E02FEC"/>
    <w:rsid w:val="00E05C1B"/>
    <w:rsid w:val="00E10691"/>
    <w:rsid w:val="00E154C7"/>
    <w:rsid w:val="00E50F37"/>
    <w:rsid w:val="00EA2436"/>
    <w:rsid w:val="00EB5F47"/>
    <w:rsid w:val="00ED7BA2"/>
    <w:rsid w:val="00F02170"/>
    <w:rsid w:val="00F03132"/>
    <w:rsid w:val="00F172E7"/>
    <w:rsid w:val="00F2075B"/>
    <w:rsid w:val="00F751CC"/>
    <w:rsid w:val="00F824E6"/>
    <w:rsid w:val="00F8330B"/>
    <w:rsid w:val="00F92782"/>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F3CB2"/>
  <w15:chartTrackingRefBased/>
  <w15:docId w15:val="{5C85D9AA-1B0D-45D7-9E2F-FBC7DAEB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F6"/>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lang w:val="sv-SE"/>
    </w:rPr>
  </w:style>
  <w:style w:type="paragraph" w:styleId="Rubrik4">
    <w:name w:val="heading 4"/>
    <w:basedOn w:val="Normal"/>
    <w:next w:val="Normal"/>
    <w:qFormat/>
    <w:pPr>
      <w:keepNext/>
      <w:numPr>
        <w:ilvl w:val="3"/>
        <w:numId w:val="40"/>
      </w:numPr>
      <w:spacing w:before="240" w:after="60"/>
      <w:outlineLvl w:val="3"/>
    </w:pPr>
    <w:rPr>
      <w:b/>
      <w:bCs/>
      <w:sz w:val="28"/>
      <w:szCs w:val="28"/>
      <w:lang w:val="sv-SE"/>
    </w:rPr>
  </w:style>
  <w:style w:type="paragraph" w:styleId="Rubrik5">
    <w:name w:val="heading 5"/>
    <w:basedOn w:val="Normal"/>
    <w:next w:val="Normal"/>
    <w:qFormat/>
    <w:pPr>
      <w:numPr>
        <w:ilvl w:val="4"/>
        <w:numId w:val="41"/>
      </w:numPr>
      <w:spacing w:before="240" w:after="60"/>
      <w:outlineLvl w:val="4"/>
    </w:pPr>
    <w:rPr>
      <w:b/>
      <w:bCs/>
      <w:i/>
      <w:iCs/>
      <w:sz w:val="26"/>
      <w:szCs w:val="26"/>
      <w:lang w:val="sv-SE"/>
    </w:rPr>
  </w:style>
  <w:style w:type="paragraph" w:styleId="Rubrik6">
    <w:name w:val="heading 6"/>
    <w:basedOn w:val="Normal"/>
    <w:next w:val="Normal"/>
    <w:qFormat/>
    <w:pPr>
      <w:numPr>
        <w:ilvl w:val="5"/>
        <w:numId w:val="42"/>
      </w:numPr>
      <w:spacing w:before="240" w:after="60"/>
      <w:outlineLvl w:val="5"/>
    </w:pPr>
    <w:rPr>
      <w:b/>
      <w:bCs/>
      <w:sz w:val="22"/>
      <w:szCs w:val="22"/>
      <w:lang w:val="sv-SE"/>
    </w:rPr>
  </w:style>
  <w:style w:type="paragraph" w:styleId="Rubrik7">
    <w:name w:val="heading 7"/>
    <w:basedOn w:val="Normal"/>
    <w:next w:val="Normal"/>
    <w:qFormat/>
    <w:pPr>
      <w:numPr>
        <w:ilvl w:val="6"/>
        <w:numId w:val="43"/>
      </w:numPr>
      <w:spacing w:before="240" w:after="60"/>
      <w:outlineLvl w:val="6"/>
    </w:pPr>
    <w:rPr>
      <w:lang w:val="sv-SE"/>
    </w:rPr>
  </w:style>
  <w:style w:type="paragraph" w:styleId="Rubrik8">
    <w:name w:val="heading 8"/>
    <w:basedOn w:val="Normal"/>
    <w:next w:val="Normal"/>
    <w:qFormat/>
    <w:pPr>
      <w:numPr>
        <w:ilvl w:val="7"/>
        <w:numId w:val="44"/>
      </w:numPr>
      <w:spacing w:before="240" w:after="60"/>
      <w:outlineLvl w:val="7"/>
    </w:pPr>
    <w:rPr>
      <w:i/>
      <w:iCs/>
      <w:lang w:val="sv-SE"/>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rPr>
      <w:lang w:val="sv-SE"/>
    </w:rPr>
  </w:style>
  <w:style w:type="paragraph" w:styleId="Brdtextmedindrag">
    <w:name w:val="Body Text Indent"/>
    <w:basedOn w:val="Normal"/>
    <w:semiHidden/>
    <w:pPr>
      <w:spacing w:after="120"/>
      <w:ind w:left="283"/>
    </w:pPr>
    <w:rPr>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lang w:val="sv-SE"/>
    </w:rPr>
  </w:style>
  <w:style w:type="paragraph" w:styleId="Sidfot">
    <w:name w:val="footer"/>
    <w:basedOn w:val="Normal"/>
    <w:semiHidden/>
    <w:pPr>
      <w:tabs>
        <w:tab w:val="right" w:pos="8165"/>
      </w:tabs>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lang w:val="sv-SE"/>
    </w:rPr>
  </w:style>
  <w:style w:type="paragraph" w:styleId="Innehll6">
    <w:name w:val="toc 6"/>
    <w:basedOn w:val="Normal"/>
    <w:next w:val="Normal"/>
    <w:autoRedefine/>
    <w:semiHidden/>
    <w:pPr>
      <w:ind w:left="1200"/>
    </w:pPr>
    <w:rPr>
      <w:lang w:val="sv-SE"/>
    </w:rPr>
  </w:style>
  <w:style w:type="paragraph" w:styleId="Innehll7">
    <w:name w:val="toc 7"/>
    <w:basedOn w:val="Normal"/>
    <w:next w:val="Normal"/>
    <w:autoRedefine/>
    <w:semiHidden/>
    <w:pPr>
      <w:ind w:left="1440"/>
    </w:pPr>
    <w:rPr>
      <w:lang w:val="sv-SE"/>
    </w:rPr>
  </w:style>
  <w:style w:type="paragraph" w:styleId="Innehll8">
    <w:name w:val="toc 8"/>
    <w:basedOn w:val="Normal"/>
    <w:next w:val="Normal"/>
    <w:autoRedefine/>
    <w:semiHidden/>
    <w:pPr>
      <w:ind w:left="1680"/>
    </w:pPr>
    <w:rPr>
      <w:lang w:val="sv-SE"/>
    </w:rPr>
  </w:style>
  <w:style w:type="paragraph" w:styleId="Innehll9">
    <w:name w:val="toc 9"/>
    <w:basedOn w:val="Normal"/>
    <w:next w:val="Normal"/>
    <w:autoRedefine/>
    <w:semiHidden/>
    <w:pPr>
      <w:ind w:left="1920"/>
    </w:pPr>
    <w:rPr>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5B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10</Pages>
  <Words>3199</Words>
  <Characters>20203</Characters>
  <Application>Microsoft Office Word</Application>
  <DocSecurity>0</DocSecurity>
  <Lines>168</Lines>
  <Paragraphs>46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23356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Diana Lönngren</dc:creator>
  <cp:keywords/>
  <dc:description/>
  <cp:lastModifiedBy>Marina Eriksson</cp:lastModifiedBy>
  <cp:revision>2</cp:revision>
  <cp:lastPrinted>2021-11-23T08:03:00Z</cp:lastPrinted>
  <dcterms:created xsi:type="dcterms:W3CDTF">2021-12-10T06:23:00Z</dcterms:created>
  <dcterms:modified xsi:type="dcterms:W3CDTF">2021-12-10T06:23:00Z</dcterms:modified>
</cp:coreProperties>
</file>