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3160F0" w14:paraId="0AD56FE6" w14:textId="77777777">
        <w:trPr>
          <w:cantSplit/>
          <w:trHeight w:val="20"/>
        </w:trPr>
        <w:tc>
          <w:tcPr>
            <w:tcW w:w="861" w:type="dxa"/>
            <w:vMerge w:val="restart"/>
          </w:tcPr>
          <w:p w14:paraId="528A5F26" w14:textId="6E53951E" w:rsidR="00AF3004" w:rsidRPr="003160F0" w:rsidRDefault="00D60255">
            <w:pPr>
              <w:pStyle w:val="xLedtext"/>
              <w:keepNext/>
              <w:rPr>
                <w:noProof/>
              </w:rPr>
            </w:pPr>
            <w:r w:rsidRPr="003160F0">
              <w:rPr>
                <w:noProof/>
                <w:sz w:val="20"/>
              </w:rPr>
              <w:drawing>
                <wp:anchor distT="0" distB="0" distL="114300" distR="114300" simplePos="0" relativeHeight="251657728" behindDoc="0" locked="0" layoutInCell="1" allowOverlap="1" wp14:anchorId="49109F48" wp14:editId="365ECFB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17118E9" w14:textId="3B0C6F0D" w:rsidR="00AF3004" w:rsidRPr="003160F0" w:rsidRDefault="00D60255">
            <w:pPr>
              <w:pStyle w:val="xMellanrum"/>
            </w:pPr>
            <w:r w:rsidRPr="003160F0">
              <w:rPr>
                <w:noProof/>
              </w:rPr>
              <w:drawing>
                <wp:inline distT="0" distB="0" distL="0" distR="0" wp14:anchorId="1DBB6739" wp14:editId="73D12F31">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rsidRPr="003160F0" w14:paraId="71A77DF0" w14:textId="77777777">
        <w:trPr>
          <w:cantSplit/>
          <w:trHeight w:val="299"/>
        </w:trPr>
        <w:tc>
          <w:tcPr>
            <w:tcW w:w="861" w:type="dxa"/>
            <w:vMerge/>
          </w:tcPr>
          <w:p w14:paraId="39328872" w14:textId="77777777" w:rsidR="00AF3004" w:rsidRPr="003160F0" w:rsidRDefault="00AF3004">
            <w:pPr>
              <w:pStyle w:val="xLedtext"/>
            </w:pPr>
          </w:p>
        </w:tc>
        <w:tc>
          <w:tcPr>
            <w:tcW w:w="4448" w:type="dxa"/>
            <w:vAlign w:val="bottom"/>
          </w:tcPr>
          <w:p w14:paraId="62A9589A" w14:textId="77777777" w:rsidR="00AF3004" w:rsidRPr="003160F0" w:rsidRDefault="00AF3004">
            <w:pPr>
              <w:pStyle w:val="xAvsandare1"/>
            </w:pPr>
          </w:p>
        </w:tc>
        <w:tc>
          <w:tcPr>
            <w:tcW w:w="4288" w:type="dxa"/>
            <w:gridSpan w:val="2"/>
            <w:vAlign w:val="bottom"/>
          </w:tcPr>
          <w:p w14:paraId="15B8E7F6" w14:textId="2D27BA8A" w:rsidR="00AF3004" w:rsidRPr="003160F0" w:rsidRDefault="00AB33DB">
            <w:pPr>
              <w:pStyle w:val="xDokTypNr"/>
            </w:pPr>
            <w:r w:rsidRPr="003160F0">
              <w:t>LAGFÖRSLAG</w:t>
            </w:r>
            <w:r w:rsidR="00AF3004" w:rsidRPr="003160F0">
              <w:t xml:space="preserve"> nr </w:t>
            </w:r>
            <w:r w:rsidR="001F11C2">
              <w:t>2</w:t>
            </w:r>
            <w:r w:rsidR="00AF3004" w:rsidRPr="003160F0">
              <w:t>/</w:t>
            </w:r>
            <w:proofErr w:type="gramStart"/>
            <w:r w:rsidR="00AF3004" w:rsidRPr="003160F0">
              <w:t>20</w:t>
            </w:r>
            <w:r w:rsidRPr="003160F0">
              <w:t>2</w:t>
            </w:r>
            <w:r w:rsidR="001F11C2">
              <w:t>1</w:t>
            </w:r>
            <w:r w:rsidR="00AF3004" w:rsidRPr="003160F0">
              <w:t>-20</w:t>
            </w:r>
            <w:r w:rsidRPr="003160F0">
              <w:t>2</w:t>
            </w:r>
            <w:r w:rsidR="001F11C2">
              <w:t>2</w:t>
            </w:r>
            <w:proofErr w:type="gramEnd"/>
          </w:p>
        </w:tc>
      </w:tr>
      <w:tr w:rsidR="00AF3004" w:rsidRPr="003160F0" w14:paraId="0AF42DD6" w14:textId="77777777">
        <w:trPr>
          <w:cantSplit/>
          <w:trHeight w:val="238"/>
        </w:trPr>
        <w:tc>
          <w:tcPr>
            <w:tcW w:w="861" w:type="dxa"/>
            <w:vMerge/>
          </w:tcPr>
          <w:p w14:paraId="41975B85" w14:textId="77777777" w:rsidR="00AF3004" w:rsidRPr="003160F0" w:rsidRDefault="00AF3004">
            <w:pPr>
              <w:pStyle w:val="xLedtext"/>
            </w:pPr>
          </w:p>
        </w:tc>
        <w:tc>
          <w:tcPr>
            <w:tcW w:w="4448" w:type="dxa"/>
            <w:vAlign w:val="bottom"/>
          </w:tcPr>
          <w:p w14:paraId="669ED68E" w14:textId="77777777" w:rsidR="00AF3004" w:rsidRPr="003160F0" w:rsidRDefault="00AF3004">
            <w:pPr>
              <w:pStyle w:val="xLedtext"/>
            </w:pPr>
          </w:p>
        </w:tc>
        <w:tc>
          <w:tcPr>
            <w:tcW w:w="1725" w:type="dxa"/>
            <w:vAlign w:val="bottom"/>
          </w:tcPr>
          <w:p w14:paraId="7699EC3C" w14:textId="77777777" w:rsidR="00AF3004" w:rsidRPr="003160F0" w:rsidRDefault="00AF3004">
            <w:pPr>
              <w:pStyle w:val="xLedtext"/>
            </w:pPr>
            <w:r w:rsidRPr="003160F0">
              <w:t>Datum</w:t>
            </w:r>
          </w:p>
        </w:tc>
        <w:tc>
          <w:tcPr>
            <w:tcW w:w="2563" w:type="dxa"/>
            <w:vAlign w:val="bottom"/>
          </w:tcPr>
          <w:p w14:paraId="0A08B429" w14:textId="77777777" w:rsidR="00AF3004" w:rsidRPr="003160F0" w:rsidRDefault="00AF3004">
            <w:pPr>
              <w:pStyle w:val="xLedtext"/>
            </w:pPr>
          </w:p>
        </w:tc>
      </w:tr>
      <w:tr w:rsidR="00AF3004" w:rsidRPr="003160F0" w14:paraId="27E0E91B" w14:textId="77777777">
        <w:trPr>
          <w:cantSplit/>
          <w:trHeight w:val="238"/>
        </w:trPr>
        <w:tc>
          <w:tcPr>
            <w:tcW w:w="861" w:type="dxa"/>
            <w:vMerge/>
          </w:tcPr>
          <w:p w14:paraId="548F3346" w14:textId="77777777" w:rsidR="00AF3004" w:rsidRPr="003160F0" w:rsidRDefault="00AF3004">
            <w:pPr>
              <w:pStyle w:val="xAvsandare2"/>
            </w:pPr>
          </w:p>
        </w:tc>
        <w:tc>
          <w:tcPr>
            <w:tcW w:w="4448" w:type="dxa"/>
            <w:vAlign w:val="center"/>
          </w:tcPr>
          <w:p w14:paraId="14AED7AE" w14:textId="77777777" w:rsidR="00AF3004" w:rsidRPr="003160F0" w:rsidRDefault="00AF3004">
            <w:pPr>
              <w:pStyle w:val="xAvsandare2"/>
            </w:pPr>
          </w:p>
        </w:tc>
        <w:tc>
          <w:tcPr>
            <w:tcW w:w="1725" w:type="dxa"/>
            <w:vAlign w:val="center"/>
          </w:tcPr>
          <w:p w14:paraId="1294DA1F" w14:textId="58A712ED" w:rsidR="00AF3004" w:rsidRPr="003160F0" w:rsidRDefault="00AF3004">
            <w:pPr>
              <w:pStyle w:val="xDatum1"/>
            </w:pPr>
            <w:r w:rsidRPr="003160F0">
              <w:t>20</w:t>
            </w:r>
            <w:r w:rsidR="00AB33DB" w:rsidRPr="003160F0">
              <w:t>21</w:t>
            </w:r>
            <w:r w:rsidRPr="003160F0">
              <w:t>-</w:t>
            </w:r>
            <w:r w:rsidR="00D27D0B">
              <w:t>11</w:t>
            </w:r>
            <w:r w:rsidRPr="003160F0">
              <w:t>-</w:t>
            </w:r>
            <w:r w:rsidR="00D27D0B">
              <w:t>18</w:t>
            </w:r>
          </w:p>
        </w:tc>
        <w:tc>
          <w:tcPr>
            <w:tcW w:w="2563" w:type="dxa"/>
            <w:vAlign w:val="center"/>
          </w:tcPr>
          <w:p w14:paraId="73809BAB" w14:textId="77777777" w:rsidR="00AF3004" w:rsidRPr="003160F0" w:rsidRDefault="00AF3004">
            <w:pPr>
              <w:pStyle w:val="xBeteckning1"/>
            </w:pPr>
          </w:p>
        </w:tc>
      </w:tr>
      <w:tr w:rsidR="00AF3004" w:rsidRPr="003160F0" w14:paraId="19299B8B" w14:textId="77777777">
        <w:trPr>
          <w:cantSplit/>
          <w:trHeight w:val="238"/>
        </w:trPr>
        <w:tc>
          <w:tcPr>
            <w:tcW w:w="861" w:type="dxa"/>
            <w:vMerge/>
          </w:tcPr>
          <w:p w14:paraId="7A5B7F8E" w14:textId="77777777" w:rsidR="00AF3004" w:rsidRPr="003160F0" w:rsidRDefault="00AF3004">
            <w:pPr>
              <w:pStyle w:val="xLedtext"/>
            </w:pPr>
          </w:p>
        </w:tc>
        <w:tc>
          <w:tcPr>
            <w:tcW w:w="4448" w:type="dxa"/>
            <w:vAlign w:val="bottom"/>
          </w:tcPr>
          <w:p w14:paraId="2339671E" w14:textId="77777777" w:rsidR="00AF3004" w:rsidRPr="003160F0" w:rsidRDefault="00AF3004">
            <w:pPr>
              <w:pStyle w:val="xLedtext"/>
            </w:pPr>
          </w:p>
        </w:tc>
        <w:tc>
          <w:tcPr>
            <w:tcW w:w="1725" w:type="dxa"/>
            <w:vAlign w:val="bottom"/>
          </w:tcPr>
          <w:p w14:paraId="6C35BF8A" w14:textId="77777777" w:rsidR="00AF3004" w:rsidRPr="003160F0" w:rsidRDefault="00AF3004">
            <w:pPr>
              <w:pStyle w:val="xLedtext"/>
            </w:pPr>
          </w:p>
        </w:tc>
        <w:tc>
          <w:tcPr>
            <w:tcW w:w="2563" w:type="dxa"/>
            <w:vAlign w:val="bottom"/>
          </w:tcPr>
          <w:p w14:paraId="65020293" w14:textId="77777777" w:rsidR="00AF3004" w:rsidRPr="003160F0" w:rsidRDefault="00AF3004">
            <w:pPr>
              <w:pStyle w:val="xLedtext"/>
            </w:pPr>
          </w:p>
        </w:tc>
      </w:tr>
      <w:tr w:rsidR="00AF3004" w:rsidRPr="003160F0" w14:paraId="08E5AAEC" w14:textId="77777777">
        <w:trPr>
          <w:cantSplit/>
          <w:trHeight w:val="238"/>
        </w:trPr>
        <w:tc>
          <w:tcPr>
            <w:tcW w:w="861" w:type="dxa"/>
            <w:vMerge/>
            <w:tcBorders>
              <w:bottom w:val="single" w:sz="4" w:space="0" w:color="auto"/>
            </w:tcBorders>
          </w:tcPr>
          <w:p w14:paraId="6C40EAAD" w14:textId="77777777" w:rsidR="00AF3004" w:rsidRPr="003160F0" w:rsidRDefault="00AF3004">
            <w:pPr>
              <w:pStyle w:val="xAvsandare3"/>
            </w:pPr>
          </w:p>
        </w:tc>
        <w:tc>
          <w:tcPr>
            <w:tcW w:w="4448" w:type="dxa"/>
            <w:tcBorders>
              <w:bottom w:val="single" w:sz="4" w:space="0" w:color="auto"/>
            </w:tcBorders>
            <w:vAlign w:val="center"/>
          </w:tcPr>
          <w:p w14:paraId="1177DE1F" w14:textId="77777777" w:rsidR="00AF3004" w:rsidRPr="003160F0" w:rsidRDefault="00AF3004">
            <w:pPr>
              <w:pStyle w:val="xAvsandare3"/>
            </w:pPr>
          </w:p>
        </w:tc>
        <w:tc>
          <w:tcPr>
            <w:tcW w:w="1725" w:type="dxa"/>
            <w:tcBorders>
              <w:bottom w:val="single" w:sz="4" w:space="0" w:color="auto"/>
            </w:tcBorders>
            <w:vAlign w:val="center"/>
          </w:tcPr>
          <w:p w14:paraId="3E90F4B3" w14:textId="11F0645F" w:rsidR="00AB33DB" w:rsidRPr="003160F0" w:rsidRDefault="00AB33DB">
            <w:pPr>
              <w:pStyle w:val="xDatum2"/>
              <w:rPr>
                <w:b/>
                <w:bCs/>
              </w:rPr>
            </w:pPr>
          </w:p>
        </w:tc>
        <w:tc>
          <w:tcPr>
            <w:tcW w:w="2563" w:type="dxa"/>
            <w:tcBorders>
              <w:bottom w:val="single" w:sz="4" w:space="0" w:color="auto"/>
            </w:tcBorders>
            <w:vAlign w:val="center"/>
          </w:tcPr>
          <w:p w14:paraId="5A083BA9" w14:textId="77777777" w:rsidR="00AF3004" w:rsidRPr="003160F0" w:rsidRDefault="00AF3004">
            <w:pPr>
              <w:pStyle w:val="xBeteckning2"/>
            </w:pPr>
          </w:p>
        </w:tc>
      </w:tr>
      <w:tr w:rsidR="00AF3004" w:rsidRPr="003160F0" w14:paraId="1E4CC3E1" w14:textId="77777777">
        <w:trPr>
          <w:cantSplit/>
          <w:trHeight w:val="238"/>
        </w:trPr>
        <w:tc>
          <w:tcPr>
            <w:tcW w:w="861" w:type="dxa"/>
            <w:tcBorders>
              <w:top w:val="single" w:sz="4" w:space="0" w:color="auto"/>
            </w:tcBorders>
            <w:vAlign w:val="bottom"/>
          </w:tcPr>
          <w:p w14:paraId="6DDAE21E" w14:textId="77777777" w:rsidR="00AF3004" w:rsidRPr="003160F0" w:rsidRDefault="00AF3004">
            <w:pPr>
              <w:pStyle w:val="xLedtext"/>
            </w:pPr>
          </w:p>
        </w:tc>
        <w:tc>
          <w:tcPr>
            <w:tcW w:w="4448" w:type="dxa"/>
            <w:tcBorders>
              <w:top w:val="single" w:sz="4" w:space="0" w:color="auto"/>
            </w:tcBorders>
            <w:vAlign w:val="bottom"/>
          </w:tcPr>
          <w:p w14:paraId="0121968F" w14:textId="77777777" w:rsidR="00AF3004" w:rsidRPr="003160F0" w:rsidRDefault="00AF3004">
            <w:pPr>
              <w:pStyle w:val="xLedtext"/>
            </w:pPr>
          </w:p>
        </w:tc>
        <w:tc>
          <w:tcPr>
            <w:tcW w:w="4288" w:type="dxa"/>
            <w:gridSpan w:val="2"/>
            <w:tcBorders>
              <w:top w:val="single" w:sz="4" w:space="0" w:color="auto"/>
            </w:tcBorders>
            <w:vAlign w:val="bottom"/>
          </w:tcPr>
          <w:p w14:paraId="00999098" w14:textId="77777777" w:rsidR="00AF3004" w:rsidRPr="003160F0" w:rsidRDefault="00AF3004">
            <w:pPr>
              <w:pStyle w:val="xLedtext"/>
            </w:pPr>
          </w:p>
        </w:tc>
      </w:tr>
      <w:tr w:rsidR="00AF3004" w:rsidRPr="003160F0" w14:paraId="42780B19" w14:textId="77777777">
        <w:trPr>
          <w:cantSplit/>
          <w:trHeight w:val="238"/>
        </w:trPr>
        <w:tc>
          <w:tcPr>
            <w:tcW w:w="861" w:type="dxa"/>
          </w:tcPr>
          <w:p w14:paraId="0203579C" w14:textId="77777777" w:rsidR="00AF3004" w:rsidRPr="003160F0" w:rsidRDefault="00AF3004">
            <w:pPr>
              <w:pStyle w:val="xCelltext"/>
            </w:pPr>
          </w:p>
        </w:tc>
        <w:tc>
          <w:tcPr>
            <w:tcW w:w="4448" w:type="dxa"/>
            <w:vMerge w:val="restart"/>
          </w:tcPr>
          <w:p w14:paraId="55449DBA" w14:textId="77777777" w:rsidR="00AF3004" w:rsidRPr="003160F0" w:rsidRDefault="00AF3004">
            <w:pPr>
              <w:pStyle w:val="xMottagare1"/>
            </w:pPr>
            <w:bookmarkStart w:id="0" w:name="_top"/>
            <w:bookmarkEnd w:id="0"/>
            <w:r w:rsidRPr="003160F0">
              <w:t>Till Ålands lagting</w:t>
            </w:r>
          </w:p>
        </w:tc>
        <w:tc>
          <w:tcPr>
            <w:tcW w:w="4288" w:type="dxa"/>
            <w:gridSpan w:val="2"/>
            <w:vMerge w:val="restart"/>
          </w:tcPr>
          <w:p w14:paraId="4463C48C" w14:textId="77777777" w:rsidR="00AF3004" w:rsidRPr="003160F0" w:rsidRDefault="00AF3004">
            <w:pPr>
              <w:pStyle w:val="xMottagare1"/>
              <w:tabs>
                <w:tab w:val="left" w:pos="2349"/>
              </w:tabs>
            </w:pPr>
          </w:p>
        </w:tc>
      </w:tr>
      <w:tr w:rsidR="00AF3004" w:rsidRPr="003160F0" w14:paraId="3BCE59A5" w14:textId="77777777">
        <w:trPr>
          <w:cantSplit/>
          <w:trHeight w:val="238"/>
        </w:trPr>
        <w:tc>
          <w:tcPr>
            <w:tcW w:w="861" w:type="dxa"/>
          </w:tcPr>
          <w:p w14:paraId="124E8890" w14:textId="77777777" w:rsidR="00AF3004" w:rsidRPr="003160F0" w:rsidRDefault="00AF3004">
            <w:pPr>
              <w:pStyle w:val="xCelltext"/>
            </w:pPr>
          </w:p>
        </w:tc>
        <w:tc>
          <w:tcPr>
            <w:tcW w:w="4448" w:type="dxa"/>
            <w:vMerge/>
            <w:vAlign w:val="center"/>
          </w:tcPr>
          <w:p w14:paraId="69D9C4EA" w14:textId="77777777" w:rsidR="00AF3004" w:rsidRPr="003160F0" w:rsidRDefault="00AF3004">
            <w:pPr>
              <w:pStyle w:val="xCelltext"/>
            </w:pPr>
          </w:p>
        </w:tc>
        <w:tc>
          <w:tcPr>
            <w:tcW w:w="4288" w:type="dxa"/>
            <w:gridSpan w:val="2"/>
            <w:vMerge/>
            <w:vAlign w:val="center"/>
          </w:tcPr>
          <w:p w14:paraId="62644595" w14:textId="77777777" w:rsidR="00AF3004" w:rsidRPr="003160F0" w:rsidRDefault="00AF3004">
            <w:pPr>
              <w:pStyle w:val="xCelltext"/>
            </w:pPr>
          </w:p>
        </w:tc>
      </w:tr>
      <w:tr w:rsidR="00AF3004" w:rsidRPr="003160F0" w14:paraId="41B9DE66" w14:textId="77777777">
        <w:trPr>
          <w:cantSplit/>
          <w:trHeight w:val="238"/>
        </w:trPr>
        <w:tc>
          <w:tcPr>
            <w:tcW w:w="861" w:type="dxa"/>
          </w:tcPr>
          <w:p w14:paraId="7651D3B9" w14:textId="77777777" w:rsidR="00AF3004" w:rsidRPr="003160F0" w:rsidRDefault="00AF3004">
            <w:pPr>
              <w:pStyle w:val="xCelltext"/>
            </w:pPr>
          </w:p>
        </w:tc>
        <w:tc>
          <w:tcPr>
            <w:tcW w:w="4448" w:type="dxa"/>
            <w:vMerge/>
            <w:vAlign w:val="center"/>
          </w:tcPr>
          <w:p w14:paraId="3C3456AB" w14:textId="77777777" w:rsidR="00AF3004" w:rsidRPr="003160F0" w:rsidRDefault="00AF3004">
            <w:pPr>
              <w:pStyle w:val="xCelltext"/>
            </w:pPr>
          </w:p>
        </w:tc>
        <w:tc>
          <w:tcPr>
            <w:tcW w:w="4288" w:type="dxa"/>
            <w:gridSpan w:val="2"/>
            <w:vMerge/>
            <w:vAlign w:val="center"/>
          </w:tcPr>
          <w:p w14:paraId="3EEDBEB4" w14:textId="77777777" w:rsidR="00AF3004" w:rsidRPr="003160F0" w:rsidRDefault="00AF3004">
            <w:pPr>
              <w:pStyle w:val="xCelltext"/>
            </w:pPr>
          </w:p>
        </w:tc>
      </w:tr>
      <w:tr w:rsidR="00AF3004" w:rsidRPr="003160F0" w14:paraId="25AF7154" w14:textId="77777777">
        <w:trPr>
          <w:cantSplit/>
          <w:trHeight w:val="238"/>
        </w:trPr>
        <w:tc>
          <w:tcPr>
            <w:tcW w:w="861" w:type="dxa"/>
          </w:tcPr>
          <w:p w14:paraId="1295D52F" w14:textId="77777777" w:rsidR="00AF3004" w:rsidRPr="003160F0" w:rsidRDefault="00AF3004">
            <w:pPr>
              <w:pStyle w:val="xCelltext"/>
            </w:pPr>
          </w:p>
        </w:tc>
        <w:tc>
          <w:tcPr>
            <w:tcW w:w="4448" w:type="dxa"/>
            <w:vMerge/>
            <w:vAlign w:val="center"/>
          </w:tcPr>
          <w:p w14:paraId="192035A8" w14:textId="77777777" w:rsidR="00AF3004" w:rsidRPr="003160F0" w:rsidRDefault="00AF3004">
            <w:pPr>
              <w:pStyle w:val="xCelltext"/>
            </w:pPr>
          </w:p>
        </w:tc>
        <w:tc>
          <w:tcPr>
            <w:tcW w:w="4288" w:type="dxa"/>
            <w:gridSpan w:val="2"/>
            <w:vMerge/>
            <w:vAlign w:val="center"/>
          </w:tcPr>
          <w:p w14:paraId="03B72FBF" w14:textId="77777777" w:rsidR="00AF3004" w:rsidRPr="003160F0" w:rsidRDefault="00AF3004">
            <w:pPr>
              <w:pStyle w:val="xCelltext"/>
            </w:pPr>
          </w:p>
        </w:tc>
      </w:tr>
      <w:tr w:rsidR="00AF3004" w:rsidRPr="003160F0" w14:paraId="4EC31A94" w14:textId="77777777">
        <w:trPr>
          <w:cantSplit/>
          <w:trHeight w:val="238"/>
        </w:trPr>
        <w:tc>
          <w:tcPr>
            <w:tcW w:w="861" w:type="dxa"/>
          </w:tcPr>
          <w:p w14:paraId="569B6D2B" w14:textId="77777777" w:rsidR="00AF3004" w:rsidRPr="003160F0" w:rsidRDefault="00AF3004">
            <w:pPr>
              <w:pStyle w:val="xCelltext"/>
            </w:pPr>
          </w:p>
        </w:tc>
        <w:tc>
          <w:tcPr>
            <w:tcW w:w="4448" w:type="dxa"/>
            <w:vMerge/>
            <w:vAlign w:val="center"/>
          </w:tcPr>
          <w:p w14:paraId="23B7F9AB" w14:textId="77777777" w:rsidR="00AF3004" w:rsidRPr="003160F0" w:rsidRDefault="00AF3004">
            <w:pPr>
              <w:pStyle w:val="xCelltext"/>
            </w:pPr>
          </w:p>
        </w:tc>
        <w:tc>
          <w:tcPr>
            <w:tcW w:w="4288" w:type="dxa"/>
            <w:gridSpan w:val="2"/>
            <w:vMerge/>
            <w:vAlign w:val="center"/>
          </w:tcPr>
          <w:p w14:paraId="63F1CFF0" w14:textId="77777777" w:rsidR="00AF3004" w:rsidRPr="003160F0" w:rsidRDefault="00AF3004">
            <w:pPr>
              <w:pStyle w:val="xCelltext"/>
            </w:pPr>
          </w:p>
        </w:tc>
      </w:tr>
    </w:tbl>
    <w:p w14:paraId="2DDF8B4A" w14:textId="77777777" w:rsidR="00AF3004" w:rsidRPr="003160F0" w:rsidRDefault="00AF3004">
      <w:pPr>
        <w:rPr>
          <w:b/>
          <w:bCs/>
        </w:rPr>
        <w:sectPr w:rsidR="00AF3004" w:rsidRPr="003160F0">
          <w:footerReference w:type="even" r:id="rId10"/>
          <w:footerReference w:type="default" r:id="rId11"/>
          <w:pgSz w:w="11906" w:h="16838" w:code="9"/>
          <w:pgMar w:top="567" w:right="1134" w:bottom="1134" w:left="1191" w:header="624" w:footer="851" w:gutter="0"/>
          <w:cols w:space="708"/>
          <w:docGrid w:linePitch="360"/>
        </w:sectPr>
      </w:pPr>
    </w:p>
    <w:p w14:paraId="65516765" w14:textId="792A56A3" w:rsidR="00AA4269" w:rsidRDefault="00AA4269" w:rsidP="00AA4269">
      <w:pPr>
        <w:pStyle w:val="ArendeRubrik"/>
      </w:pPr>
      <w:r>
        <w:t>Ändringar av ordningslagen och blankettlagen om privata säkerhetstjänster</w:t>
      </w:r>
    </w:p>
    <w:p w14:paraId="41A114C5" w14:textId="77777777" w:rsidR="00AF3004" w:rsidRPr="003160F0" w:rsidRDefault="00AF3004">
      <w:pPr>
        <w:pStyle w:val="ANormal"/>
      </w:pPr>
    </w:p>
    <w:p w14:paraId="5BA6A38E" w14:textId="77777777" w:rsidR="00AF3004" w:rsidRPr="003160F0" w:rsidRDefault="00AF3004">
      <w:pPr>
        <w:pStyle w:val="ANormal"/>
      </w:pPr>
    </w:p>
    <w:p w14:paraId="22DD5E32" w14:textId="77777777" w:rsidR="00AF3004" w:rsidRPr="003160F0" w:rsidRDefault="00AF3004">
      <w:pPr>
        <w:pStyle w:val="RubrikA"/>
      </w:pPr>
      <w:bookmarkStart w:id="1" w:name="_Toc88134469"/>
      <w:r w:rsidRPr="003160F0">
        <w:t>Huvudsakligt innehåll</w:t>
      </w:r>
      <w:bookmarkEnd w:id="1"/>
    </w:p>
    <w:p w14:paraId="21737550" w14:textId="77777777" w:rsidR="00AF3004" w:rsidRPr="003160F0" w:rsidRDefault="00AF3004">
      <w:pPr>
        <w:pStyle w:val="Rubrikmellanrum"/>
      </w:pPr>
    </w:p>
    <w:p w14:paraId="056E4B82" w14:textId="682C109B" w:rsidR="009D086A" w:rsidRDefault="0097308F">
      <w:pPr>
        <w:pStyle w:val="ANormal"/>
      </w:pPr>
      <w:r>
        <w:t xml:space="preserve">Landskapsregeringen föreslår att lagtinget antar en landskapslag om ändring av ordningslagen för landskapet Åland samt en ändring av </w:t>
      </w:r>
      <w:r w:rsidRPr="0097308F">
        <w:t>om ändring av 11</w:t>
      </w:r>
      <w:r w:rsidR="00027757">
        <w:t> §</w:t>
      </w:r>
      <w:r w:rsidRPr="0097308F">
        <w:t xml:space="preserve"> landskapslagen om tillämpning på Åland av lagen om privata säkerhetstjänster</w:t>
      </w:r>
      <w:r w:rsidR="009D086A">
        <w:t xml:space="preserve"> </w:t>
      </w:r>
      <w:r w:rsidR="009D086A" w:rsidRPr="009D086A">
        <w:rPr>
          <w:i/>
          <w:iCs/>
        </w:rPr>
        <w:t>(blankettlagen)</w:t>
      </w:r>
      <w:r>
        <w:t>.</w:t>
      </w:r>
    </w:p>
    <w:p w14:paraId="65684D09" w14:textId="7D85E74B" w:rsidR="00AF3004" w:rsidRPr="003160F0" w:rsidRDefault="009D086A">
      <w:pPr>
        <w:pStyle w:val="ANormal"/>
      </w:pPr>
      <w:r>
        <w:tab/>
      </w:r>
      <w:r w:rsidR="0097308F">
        <w:t xml:space="preserve">Ändringarna i ordningslagen innebär en möjlighet för polisen att förelägga ordningsbot </w:t>
      </w:r>
      <w:r w:rsidR="00521323">
        <w:t xml:space="preserve">vid överträdelser som innebär köp och erbjudande av sexuella tjänster samt innehav </w:t>
      </w:r>
      <w:r w:rsidR="00521323" w:rsidRPr="00521323">
        <w:t>av föremål och ämnen som lämpar sig för att skada någon annan</w:t>
      </w:r>
      <w:r>
        <w:t xml:space="preserve"> och även ringa innehav av sådana föremål och ämnen.</w:t>
      </w:r>
      <w:r w:rsidR="00521323">
        <w:t xml:space="preserve"> </w:t>
      </w:r>
      <w:r>
        <w:t xml:space="preserve">Ändringen av </w:t>
      </w:r>
      <w:r w:rsidRPr="009D086A">
        <w:t>blankettlagen</w:t>
      </w:r>
      <w:r>
        <w:t xml:space="preserve"> är av mindre lagteknisk karaktär.</w:t>
      </w:r>
    </w:p>
    <w:p w14:paraId="6D603D57" w14:textId="19AE7B7D" w:rsidR="00AF3004" w:rsidRDefault="00AF3004">
      <w:pPr>
        <w:pStyle w:val="ANormal"/>
      </w:pPr>
    </w:p>
    <w:p w14:paraId="3F0EFDB6" w14:textId="02A57CC5" w:rsidR="00AF3004" w:rsidRDefault="00B0664F" w:rsidP="00F46FC3">
      <w:pPr>
        <w:pStyle w:val="ANormal"/>
        <w:jc w:val="center"/>
        <w:rPr>
          <w:rStyle w:val="Hyperlnk"/>
        </w:rPr>
      </w:pPr>
      <w:hyperlink w:anchor="_top" w:tooltip="Klicka för att gå till toppen av dokumentet" w:history="1">
        <w:r w:rsidR="00AF3004" w:rsidRPr="003160F0">
          <w:rPr>
            <w:rStyle w:val="Hyperlnk"/>
          </w:rPr>
          <w:t>__________________</w:t>
        </w:r>
      </w:hyperlink>
    </w:p>
    <w:p w14:paraId="70E5FD5E" w14:textId="77777777" w:rsidR="001F11C2" w:rsidRPr="001F11C2" w:rsidRDefault="001F11C2" w:rsidP="001F11C2">
      <w:pPr>
        <w:pStyle w:val="ANormal"/>
      </w:pPr>
    </w:p>
    <w:p w14:paraId="3D2806C9" w14:textId="77777777" w:rsidR="00AF3004" w:rsidRPr="003160F0" w:rsidRDefault="00AF3004" w:rsidP="000C0501">
      <w:r w:rsidRPr="003160F0">
        <w:br w:type="page"/>
      </w:r>
    </w:p>
    <w:p w14:paraId="4399146D" w14:textId="77777777" w:rsidR="00AF3004" w:rsidRPr="003160F0" w:rsidRDefault="00AF3004">
      <w:pPr>
        <w:pStyle w:val="Innehll1"/>
      </w:pPr>
      <w:r w:rsidRPr="003160F0">
        <w:lastRenderedPageBreak/>
        <w:t>INNEHÅLL</w:t>
      </w:r>
    </w:p>
    <w:p w14:paraId="4DD30566" w14:textId="5FA1BD2E" w:rsidR="00586F96" w:rsidRDefault="00AF3004">
      <w:pPr>
        <w:pStyle w:val="Innehll1"/>
        <w:rPr>
          <w:rFonts w:asciiTheme="minorHAnsi" w:eastAsiaTheme="minorEastAsia" w:hAnsiTheme="minorHAnsi" w:cstheme="minorBidi"/>
          <w:sz w:val="22"/>
          <w:szCs w:val="22"/>
          <w:lang w:val="sv-FI" w:eastAsia="sv-FI"/>
        </w:rPr>
      </w:pPr>
      <w:r w:rsidRPr="003160F0">
        <w:fldChar w:fldCharType="begin"/>
      </w:r>
      <w:r w:rsidRPr="003160F0">
        <w:instrText xml:space="preserve"> TOC \o "1-3" \h \z </w:instrText>
      </w:r>
      <w:r w:rsidRPr="003160F0">
        <w:fldChar w:fldCharType="separate"/>
      </w:r>
      <w:hyperlink w:anchor="_Toc88134469" w:history="1">
        <w:r w:rsidR="00586F96" w:rsidRPr="00C11D0B">
          <w:rPr>
            <w:rStyle w:val="Hyperlnk"/>
          </w:rPr>
          <w:t>Huvudsakligt innehåll</w:t>
        </w:r>
        <w:r w:rsidR="00586F96">
          <w:rPr>
            <w:webHidden/>
          </w:rPr>
          <w:tab/>
        </w:r>
        <w:r w:rsidR="00586F96">
          <w:rPr>
            <w:webHidden/>
          </w:rPr>
          <w:fldChar w:fldCharType="begin"/>
        </w:r>
        <w:r w:rsidR="00586F96">
          <w:rPr>
            <w:webHidden/>
          </w:rPr>
          <w:instrText xml:space="preserve"> PAGEREF _Toc88134469 \h </w:instrText>
        </w:r>
        <w:r w:rsidR="00586F96">
          <w:rPr>
            <w:webHidden/>
          </w:rPr>
        </w:r>
        <w:r w:rsidR="00586F96">
          <w:rPr>
            <w:webHidden/>
          </w:rPr>
          <w:fldChar w:fldCharType="separate"/>
        </w:r>
        <w:r w:rsidR="00B0664F">
          <w:rPr>
            <w:webHidden/>
          </w:rPr>
          <w:t>1</w:t>
        </w:r>
        <w:r w:rsidR="00586F96">
          <w:rPr>
            <w:webHidden/>
          </w:rPr>
          <w:fldChar w:fldCharType="end"/>
        </w:r>
      </w:hyperlink>
    </w:p>
    <w:p w14:paraId="3382F52B" w14:textId="6E97FD5B" w:rsidR="00586F96" w:rsidRDefault="00B0664F">
      <w:pPr>
        <w:pStyle w:val="Innehll1"/>
        <w:rPr>
          <w:rFonts w:asciiTheme="minorHAnsi" w:eastAsiaTheme="minorEastAsia" w:hAnsiTheme="minorHAnsi" w:cstheme="minorBidi"/>
          <w:sz w:val="22"/>
          <w:szCs w:val="22"/>
          <w:lang w:val="sv-FI" w:eastAsia="sv-FI"/>
        </w:rPr>
      </w:pPr>
      <w:hyperlink w:anchor="_Toc88134470" w:history="1">
        <w:r w:rsidR="00586F96" w:rsidRPr="00C11D0B">
          <w:rPr>
            <w:rStyle w:val="Hyperlnk"/>
          </w:rPr>
          <w:t>Motivering</w:t>
        </w:r>
        <w:r w:rsidR="00586F96">
          <w:rPr>
            <w:webHidden/>
          </w:rPr>
          <w:tab/>
        </w:r>
        <w:r w:rsidR="00586F96">
          <w:rPr>
            <w:webHidden/>
          </w:rPr>
          <w:fldChar w:fldCharType="begin"/>
        </w:r>
        <w:r w:rsidR="00586F96">
          <w:rPr>
            <w:webHidden/>
          </w:rPr>
          <w:instrText xml:space="preserve"> PAGEREF _Toc88134470 \h </w:instrText>
        </w:r>
        <w:r w:rsidR="00586F96">
          <w:rPr>
            <w:webHidden/>
          </w:rPr>
        </w:r>
        <w:r w:rsidR="00586F96">
          <w:rPr>
            <w:webHidden/>
          </w:rPr>
          <w:fldChar w:fldCharType="separate"/>
        </w:r>
        <w:r>
          <w:rPr>
            <w:webHidden/>
          </w:rPr>
          <w:t>3</w:t>
        </w:r>
        <w:r w:rsidR="00586F96">
          <w:rPr>
            <w:webHidden/>
          </w:rPr>
          <w:fldChar w:fldCharType="end"/>
        </w:r>
      </w:hyperlink>
    </w:p>
    <w:p w14:paraId="420447AA" w14:textId="6FDADD8C" w:rsidR="00586F96" w:rsidRDefault="00B0664F">
      <w:pPr>
        <w:pStyle w:val="Innehll2"/>
        <w:rPr>
          <w:rFonts w:asciiTheme="minorHAnsi" w:eastAsiaTheme="minorEastAsia" w:hAnsiTheme="minorHAnsi" w:cstheme="minorBidi"/>
          <w:sz w:val="22"/>
          <w:szCs w:val="22"/>
          <w:lang w:val="sv-FI" w:eastAsia="sv-FI"/>
        </w:rPr>
      </w:pPr>
      <w:hyperlink w:anchor="_Toc88134471" w:history="1">
        <w:r w:rsidR="00586F96" w:rsidRPr="00C11D0B">
          <w:rPr>
            <w:rStyle w:val="Hyperlnk"/>
          </w:rPr>
          <w:t>1. Bakgrundsproblematik</w:t>
        </w:r>
        <w:r w:rsidR="00586F96">
          <w:rPr>
            <w:webHidden/>
          </w:rPr>
          <w:tab/>
        </w:r>
        <w:r w:rsidR="00586F96">
          <w:rPr>
            <w:webHidden/>
          </w:rPr>
          <w:fldChar w:fldCharType="begin"/>
        </w:r>
        <w:r w:rsidR="00586F96">
          <w:rPr>
            <w:webHidden/>
          </w:rPr>
          <w:instrText xml:space="preserve"> PAGEREF _Toc88134471 \h </w:instrText>
        </w:r>
        <w:r w:rsidR="00586F96">
          <w:rPr>
            <w:webHidden/>
          </w:rPr>
        </w:r>
        <w:r w:rsidR="00586F96">
          <w:rPr>
            <w:webHidden/>
          </w:rPr>
          <w:fldChar w:fldCharType="separate"/>
        </w:r>
        <w:r>
          <w:rPr>
            <w:webHidden/>
          </w:rPr>
          <w:t>3</w:t>
        </w:r>
        <w:r w:rsidR="00586F96">
          <w:rPr>
            <w:webHidden/>
          </w:rPr>
          <w:fldChar w:fldCharType="end"/>
        </w:r>
      </w:hyperlink>
    </w:p>
    <w:p w14:paraId="393E24D1" w14:textId="0E95BDA6" w:rsidR="00586F96" w:rsidRDefault="00B0664F">
      <w:pPr>
        <w:pStyle w:val="Innehll3"/>
        <w:rPr>
          <w:rFonts w:asciiTheme="minorHAnsi" w:eastAsiaTheme="minorEastAsia" w:hAnsiTheme="minorHAnsi" w:cstheme="minorBidi"/>
          <w:sz w:val="22"/>
          <w:szCs w:val="22"/>
          <w:lang w:val="sv-FI" w:eastAsia="sv-FI"/>
        </w:rPr>
      </w:pPr>
      <w:hyperlink w:anchor="_Toc88134472" w:history="1">
        <w:r w:rsidR="00586F96" w:rsidRPr="00C11D0B">
          <w:rPr>
            <w:rStyle w:val="Hyperlnk"/>
          </w:rPr>
          <w:t>1.1 Inledning – icke hanterbara ordningsstörningar</w:t>
        </w:r>
        <w:r w:rsidR="00586F96">
          <w:rPr>
            <w:webHidden/>
          </w:rPr>
          <w:tab/>
        </w:r>
        <w:r w:rsidR="00586F96">
          <w:rPr>
            <w:webHidden/>
          </w:rPr>
          <w:fldChar w:fldCharType="begin"/>
        </w:r>
        <w:r w:rsidR="00586F96">
          <w:rPr>
            <w:webHidden/>
          </w:rPr>
          <w:instrText xml:space="preserve"> PAGEREF _Toc88134472 \h </w:instrText>
        </w:r>
        <w:r w:rsidR="00586F96">
          <w:rPr>
            <w:webHidden/>
          </w:rPr>
        </w:r>
        <w:r w:rsidR="00586F96">
          <w:rPr>
            <w:webHidden/>
          </w:rPr>
          <w:fldChar w:fldCharType="separate"/>
        </w:r>
        <w:r>
          <w:rPr>
            <w:webHidden/>
          </w:rPr>
          <w:t>3</w:t>
        </w:r>
        <w:r w:rsidR="00586F96">
          <w:rPr>
            <w:webHidden/>
          </w:rPr>
          <w:fldChar w:fldCharType="end"/>
        </w:r>
      </w:hyperlink>
    </w:p>
    <w:p w14:paraId="20173A86" w14:textId="2254F297" w:rsidR="00586F96" w:rsidRDefault="00B0664F">
      <w:pPr>
        <w:pStyle w:val="Innehll3"/>
        <w:rPr>
          <w:rFonts w:asciiTheme="minorHAnsi" w:eastAsiaTheme="minorEastAsia" w:hAnsiTheme="minorHAnsi" w:cstheme="minorBidi"/>
          <w:sz w:val="22"/>
          <w:szCs w:val="22"/>
          <w:lang w:val="sv-FI" w:eastAsia="sv-FI"/>
        </w:rPr>
      </w:pPr>
      <w:hyperlink w:anchor="_Toc88134473" w:history="1">
        <w:r w:rsidR="00586F96" w:rsidRPr="00C11D0B">
          <w:rPr>
            <w:rStyle w:val="Hyperlnk"/>
          </w:rPr>
          <w:t>1.2 Nuläget gällande den åländska ordningslagen</w:t>
        </w:r>
        <w:r w:rsidR="00586F96">
          <w:rPr>
            <w:webHidden/>
          </w:rPr>
          <w:tab/>
        </w:r>
        <w:r w:rsidR="00586F96">
          <w:rPr>
            <w:webHidden/>
          </w:rPr>
          <w:fldChar w:fldCharType="begin"/>
        </w:r>
        <w:r w:rsidR="00586F96">
          <w:rPr>
            <w:webHidden/>
          </w:rPr>
          <w:instrText xml:space="preserve"> PAGEREF _Toc88134473 \h </w:instrText>
        </w:r>
        <w:r w:rsidR="00586F96">
          <w:rPr>
            <w:webHidden/>
          </w:rPr>
        </w:r>
        <w:r w:rsidR="00586F96">
          <w:rPr>
            <w:webHidden/>
          </w:rPr>
          <w:fldChar w:fldCharType="separate"/>
        </w:r>
        <w:r>
          <w:rPr>
            <w:webHidden/>
          </w:rPr>
          <w:t>3</w:t>
        </w:r>
        <w:r w:rsidR="00586F96">
          <w:rPr>
            <w:webHidden/>
          </w:rPr>
          <w:fldChar w:fldCharType="end"/>
        </w:r>
      </w:hyperlink>
    </w:p>
    <w:p w14:paraId="362CDCEE" w14:textId="4A75C903" w:rsidR="00586F96" w:rsidRDefault="00B0664F">
      <w:pPr>
        <w:pStyle w:val="Innehll3"/>
        <w:rPr>
          <w:rFonts w:asciiTheme="minorHAnsi" w:eastAsiaTheme="minorEastAsia" w:hAnsiTheme="minorHAnsi" w:cstheme="minorBidi"/>
          <w:sz w:val="22"/>
          <w:szCs w:val="22"/>
          <w:lang w:val="sv-FI" w:eastAsia="sv-FI"/>
        </w:rPr>
      </w:pPr>
      <w:hyperlink w:anchor="_Toc88134474" w:history="1">
        <w:r w:rsidR="00586F96" w:rsidRPr="00C11D0B">
          <w:rPr>
            <w:rStyle w:val="Hyperlnk"/>
          </w:rPr>
          <w:t>1.3 Analys av nuläget gällande den åländska ordningslagen</w:t>
        </w:r>
        <w:r w:rsidR="00586F96">
          <w:rPr>
            <w:webHidden/>
          </w:rPr>
          <w:tab/>
        </w:r>
        <w:r w:rsidR="00586F96">
          <w:rPr>
            <w:webHidden/>
          </w:rPr>
          <w:fldChar w:fldCharType="begin"/>
        </w:r>
        <w:r w:rsidR="00586F96">
          <w:rPr>
            <w:webHidden/>
          </w:rPr>
          <w:instrText xml:space="preserve"> PAGEREF _Toc88134474 \h </w:instrText>
        </w:r>
        <w:r w:rsidR="00586F96">
          <w:rPr>
            <w:webHidden/>
          </w:rPr>
        </w:r>
        <w:r w:rsidR="00586F96">
          <w:rPr>
            <w:webHidden/>
          </w:rPr>
          <w:fldChar w:fldCharType="separate"/>
        </w:r>
        <w:r>
          <w:rPr>
            <w:webHidden/>
          </w:rPr>
          <w:t>3</w:t>
        </w:r>
        <w:r w:rsidR="00586F96">
          <w:rPr>
            <w:webHidden/>
          </w:rPr>
          <w:fldChar w:fldCharType="end"/>
        </w:r>
      </w:hyperlink>
    </w:p>
    <w:p w14:paraId="72245D6A" w14:textId="06AF7171" w:rsidR="00586F96" w:rsidRDefault="00B0664F">
      <w:pPr>
        <w:pStyle w:val="Innehll3"/>
        <w:rPr>
          <w:rFonts w:asciiTheme="minorHAnsi" w:eastAsiaTheme="minorEastAsia" w:hAnsiTheme="minorHAnsi" w:cstheme="minorBidi"/>
          <w:sz w:val="22"/>
          <w:szCs w:val="22"/>
          <w:lang w:val="sv-FI" w:eastAsia="sv-FI"/>
        </w:rPr>
      </w:pPr>
      <w:hyperlink w:anchor="_Toc88134475" w:history="1">
        <w:r w:rsidR="00586F96" w:rsidRPr="00C11D0B">
          <w:rPr>
            <w:rStyle w:val="Hyperlnk"/>
          </w:rPr>
          <w:t>1.4 Övriga brister – blankettlagen om privata säkerhetstjänster</w:t>
        </w:r>
        <w:r w:rsidR="00586F96">
          <w:rPr>
            <w:webHidden/>
          </w:rPr>
          <w:tab/>
        </w:r>
        <w:r w:rsidR="00586F96">
          <w:rPr>
            <w:webHidden/>
          </w:rPr>
          <w:fldChar w:fldCharType="begin"/>
        </w:r>
        <w:r w:rsidR="00586F96">
          <w:rPr>
            <w:webHidden/>
          </w:rPr>
          <w:instrText xml:space="preserve"> PAGEREF _Toc88134475 \h </w:instrText>
        </w:r>
        <w:r w:rsidR="00586F96">
          <w:rPr>
            <w:webHidden/>
          </w:rPr>
        </w:r>
        <w:r w:rsidR="00586F96">
          <w:rPr>
            <w:webHidden/>
          </w:rPr>
          <w:fldChar w:fldCharType="separate"/>
        </w:r>
        <w:r>
          <w:rPr>
            <w:webHidden/>
          </w:rPr>
          <w:t>4</w:t>
        </w:r>
        <w:r w:rsidR="00586F96">
          <w:rPr>
            <w:webHidden/>
          </w:rPr>
          <w:fldChar w:fldCharType="end"/>
        </w:r>
      </w:hyperlink>
    </w:p>
    <w:p w14:paraId="7820AC3B" w14:textId="15CDA145" w:rsidR="00586F96" w:rsidRDefault="00B0664F">
      <w:pPr>
        <w:pStyle w:val="Innehll2"/>
        <w:rPr>
          <w:rFonts w:asciiTheme="minorHAnsi" w:eastAsiaTheme="minorEastAsia" w:hAnsiTheme="minorHAnsi" w:cstheme="minorBidi"/>
          <w:sz w:val="22"/>
          <w:szCs w:val="22"/>
          <w:lang w:val="sv-FI" w:eastAsia="sv-FI"/>
        </w:rPr>
      </w:pPr>
      <w:hyperlink w:anchor="_Toc88134476" w:history="1">
        <w:r w:rsidR="00586F96" w:rsidRPr="00C11D0B">
          <w:rPr>
            <w:rStyle w:val="Hyperlnk"/>
          </w:rPr>
          <w:t>2. Landskapsregeringens förslag och dess konsekvenser</w:t>
        </w:r>
        <w:r w:rsidR="00586F96">
          <w:rPr>
            <w:webHidden/>
          </w:rPr>
          <w:tab/>
        </w:r>
        <w:r w:rsidR="00586F96">
          <w:rPr>
            <w:webHidden/>
          </w:rPr>
          <w:fldChar w:fldCharType="begin"/>
        </w:r>
        <w:r w:rsidR="00586F96">
          <w:rPr>
            <w:webHidden/>
          </w:rPr>
          <w:instrText xml:space="preserve"> PAGEREF _Toc88134476 \h </w:instrText>
        </w:r>
        <w:r w:rsidR="00586F96">
          <w:rPr>
            <w:webHidden/>
          </w:rPr>
        </w:r>
        <w:r w:rsidR="00586F96">
          <w:rPr>
            <w:webHidden/>
          </w:rPr>
          <w:fldChar w:fldCharType="separate"/>
        </w:r>
        <w:r>
          <w:rPr>
            <w:webHidden/>
          </w:rPr>
          <w:t>4</w:t>
        </w:r>
        <w:r w:rsidR="00586F96">
          <w:rPr>
            <w:webHidden/>
          </w:rPr>
          <w:fldChar w:fldCharType="end"/>
        </w:r>
      </w:hyperlink>
    </w:p>
    <w:p w14:paraId="187C5609" w14:textId="46B780B4" w:rsidR="00586F96" w:rsidRDefault="00B0664F">
      <w:pPr>
        <w:pStyle w:val="Innehll2"/>
        <w:rPr>
          <w:rFonts w:asciiTheme="minorHAnsi" w:eastAsiaTheme="minorEastAsia" w:hAnsiTheme="minorHAnsi" w:cstheme="minorBidi"/>
          <w:sz w:val="22"/>
          <w:szCs w:val="22"/>
          <w:lang w:val="sv-FI" w:eastAsia="sv-FI"/>
        </w:rPr>
      </w:pPr>
      <w:hyperlink w:anchor="_Toc88134477" w:history="1">
        <w:r w:rsidR="00586F96" w:rsidRPr="00C11D0B">
          <w:rPr>
            <w:rStyle w:val="Hyperlnk"/>
          </w:rPr>
          <w:t>3. Särskilda överväganden</w:t>
        </w:r>
        <w:r w:rsidR="00586F96">
          <w:rPr>
            <w:webHidden/>
          </w:rPr>
          <w:tab/>
        </w:r>
        <w:r w:rsidR="00586F96">
          <w:rPr>
            <w:webHidden/>
          </w:rPr>
          <w:fldChar w:fldCharType="begin"/>
        </w:r>
        <w:r w:rsidR="00586F96">
          <w:rPr>
            <w:webHidden/>
          </w:rPr>
          <w:instrText xml:space="preserve"> PAGEREF _Toc88134477 \h </w:instrText>
        </w:r>
        <w:r w:rsidR="00586F96">
          <w:rPr>
            <w:webHidden/>
          </w:rPr>
        </w:r>
        <w:r w:rsidR="00586F96">
          <w:rPr>
            <w:webHidden/>
          </w:rPr>
          <w:fldChar w:fldCharType="separate"/>
        </w:r>
        <w:r>
          <w:rPr>
            <w:webHidden/>
          </w:rPr>
          <w:t>4</w:t>
        </w:r>
        <w:r w:rsidR="00586F96">
          <w:rPr>
            <w:webHidden/>
          </w:rPr>
          <w:fldChar w:fldCharType="end"/>
        </w:r>
      </w:hyperlink>
    </w:p>
    <w:p w14:paraId="74FD61D2" w14:textId="3200857B" w:rsidR="00586F96" w:rsidRDefault="00B0664F">
      <w:pPr>
        <w:pStyle w:val="Innehll3"/>
        <w:rPr>
          <w:rFonts w:asciiTheme="minorHAnsi" w:eastAsiaTheme="minorEastAsia" w:hAnsiTheme="minorHAnsi" w:cstheme="minorBidi"/>
          <w:sz w:val="22"/>
          <w:szCs w:val="22"/>
          <w:lang w:val="sv-FI" w:eastAsia="sv-FI"/>
        </w:rPr>
      </w:pPr>
      <w:hyperlink w:anchor="_Toc88134478" w:history="1">
        <w:r w:rsidR="00586F96" w:rsidRPr="00C11D0B">
          <w:rPr>
            <w:rStyle w:val="Hyperlnk"/>
          </w:rPr>
          <w:t>3.1 Straffrätt och ordningsbot - allmänna utgångspunkter</w:t>
        </w:r>
        <w:r w:rsidR="00586F96">
          <w:rPr>
            <w:webHidden/>
          </w:rPr>
          <w:tab/>
        </w:r>
        <w:r w:rsidR="00586F96">
          <w:rPr>
            <w:webHidden/>
          </w:rPr>
          <w:fldChar w:fldCharType="begin"/>
        </w:r>
        <w:r w:rsidR="00586F96">
          <w:rPr>
            <w:webHidden/>
          </w:rPr>
          <w:instrText xml:space="preserve"> PAGEREF _Toc88134478 \h </w:instrText>
        </w:r>
        <w:r w:rsidR="00586F96">
          <w:rPr>
            <w:webHidden/>
          </w:rPr>
        </w:r>
        <w:r w:rsidR="00586F96">
          <w:rPr>
            <w:webHidden/>
          </w:rPr>
          <w:fldChar w:fldCharType="separate"/>
        </w:r>
        <w:r>
          <w:rPr>
            <w:webHidden/>
          </w:rPr>
          <w:t>4</w:t>
        </w:r>
        <w:r w:rsidR="00586F96">
          <w:rPr>
            <w:webHidden/>
          </w:rPr>
          <w:fldChar w:fldCharType="end"/>
        </w:r>
      </w:hyperlink>
    </w:p>
    <w:p w14:paraId="379EAB3A" w14:textId="6AF43971" w:rsidR="00586F96" w:rsidRDefault="00B0664F">
      <w:pPr>
        <w:pStyle w:val="Innehll3"/>
        <w:rPr>
          <w:rFonts w:asciiTheme="minorHAnsi" w:eastAsiaTheme="minorEastAsia" w:hAnsiTheme="minorHAnsi" w:cstheme="minorBidi"/>
          <w:sz w:val="22"/>
          <w:szCs w:val="22"/>
          <w:lang w:val="sv-FI" w:eastAsia="sv-FI"/>
        </w:rPr>
      </w:pPr>
      <w:hyperlink w:anchor="_Toc88134479" w:history="1">
        <w:r w:rsidR="00586F96" w:rsidRPr="00C11D0B">
          <w:rPr>
            <w:rStyle w:val="Hyperlnk"/>
          </w:rPr>
          <w:t>3.2 Grundlagsutskottets principiella uttalanden</w:t>
        </w:r>
        <w:r w:rsidR="00586F96">
          <w:rPr>
            <w:webHidden/>
          </w:rPr>
          <w:tab/>
        </w:r>
        <w:r w:rsidR="00586F96">
          <w:rPr>
            <w:webHidden/>
          </w:rPr>
          <w:fldChar w:fldCharType="begin"/>
        </w:r>
        <w:r w:rsidR="00586F96">
          <w:rPr>
            <w:webHidden/>
          </w:rPr>
          <w:instrText xml:space="preserve"> PAGEREF _Toc88134479 \h </w:instrText>
        </w:r>
        <w:r w:rsidR="00586F96">
          <w:rPr>
            <w:webHidden/>
          </w:rPr>
        </w:r>
        <w:r w:rsidR="00586F96">
          <w:rPr>
            <w:webHidden/>
          </w:rPr>
          <w:fldChar w:fldCharType="separate"/>
        </w:r>
        <w:r>
          <w:rPr>
            <w:webHidden/>
          </w:rPr>
          <w:t>5</w:t>
        </w:r>
        <w:r w:rsidR="00586F96">
          <w:rPr>
            <w:webHidden/>
          </w:rPr>
          <w:fldChar w:fldCharType="end"/>
        </w:r>
      </w:hyperlink>
    </w:p>
    <w:p w14:paraId="5D1BA650" w14:textId="68C64986" w:rsidR="00586F96" w:rsidRDefault="00B0664F">
      <w:pPr>
        <w:pStyle w:val="Innehll3"/>
        <w:rPr>
          <w:rFonts w:asciiTheme="minorHAnsi" w:eastAsiaTheme="minorEastAsia" w:hAnsiTheme="minorHAnsi" w:cstheme="minorBidi"/>
          <w:sz w:val="22"/>
          <w:szCs w:val="22"/>
          <w:lang w:val="sv-FI" w:eastAsia="sv-FI"/>
        </w:rPr>
      </w:pPr>
      <w:hyperlink w:anchor="_Toc88134480" w:history="1">
        <w:r w:rsidR="00586F96" w:rsidRPr="00C11D0B">
          <w:rPr>
            <w:rStyle w:val="Hyperlnk"/>
          </w:rPr>
          <w:t>3.3 Vissa avvikelser på nivån på ordningsbotsbelopp - orsaker</w:t>
        </w:r>
        <w:r w:rsidR="00586F96">
          <w:rPr>
            <w:webHidden/>
          </w:rPr>
          <w:tab/>
        </w:r>
        <w:r w:rsidR="00586F96">
          <w:rPr>
            <w:webHidden/>
          </w:rPr>
          <w:fldChar w:fldCharType="begin"/>
        </w:r>
        <w:r w:rsidR="00586F96">
          <w:rPr>
            <w:webHidden/>
          </w:rPr>
          <w:instrText xml:space="preserve"> PAGEREF _Toc88134480 \h </w:instrText>
        </w:r>
        <w:r w:rsidR="00586F96">
          <w:rPr>
            <w:webHidden/>
          </w:rPr>
        </w:r>
        <w:r w:rsidR="00586F96">
          <w:rPr>
            <w:webHidden/>
          </w:rPr>
          <w:fldChar w:fldCharType="separate"/>
        </w:r>
        <w:r>
          <w:rPr>
            <w:webHidden/>
          </w:rPr>
          <w:t>6</w:t>
        </w:r>
        <w:r w:rsidR="00586F96">
          <w:rPr>
            <w:webHidden/>
          </w:rPr>
          <w:fldChar w:fldCharType="end"/>
        </w:r>
      </w:hyperlink>
    </w:p>
    <w:p w14:paraId="08C82787" w14:textId="76C9B008" w:rsidR="00586F96" w:rsidRDefault="00B0664F">
      <w:pPr>
        <w:pStyle w:val="Innehll3"/>
        <w:rPr>
          <w:rFonts w:asciiTheme="minorHAnsi" w:eastAsiaTheme="minorEastAsia" w:hAnsiTheme="minorHAnsi" w:cstheme="minorBidi"/>
          <w:sz w:val="22"/>
          <w:szCs w:val="22"/>
          <w:lang w:val="sv-FI" w:eastAsia="sv-FI"/>
        </w:rPr>
      </w:pPr>
      <w:hyperlink w:anchor="_Toc88134481" w:history="1">
        <w:r w:rsidR="00586F96" w:rsidRPr="00C11D0B">
          <w:rPr>
            <w:rStyle w:val="Hyperlnk"/>
          </w:rPr>
          <w:t>3.4. Sammanfattning</w:t>
        </w:r>
        <w:r w:rsidR="00586F96">
          <w:rPr>
            <w:webHidden/>
          </w:rPr>
          <w:tab/>
        </w:r>
        <w:r w:rsidR="00586F96">
          <w:rPr>
            <w:webHidden/>
          </w:rPr>
          <w:fldChar w:fldCharType="begin"/>
        </w:r>
        <w:r w:rsidR="00586F96">
          <w:rPr>
            <w:webHidden/>
          </w:rPr>
          <w:instrText xml:space="preserve"> PAGEREF _Toc88134481 \h </w:instrText>
        </w:r>
        <w:r w:rsidR="00586F96">
          <w:rPr>
            <w:webHidden/>
          </w:rPr>
        </w:r>
        <w:r w:rsidR="00586F96">
          <w:rPr>
            <w:webHidden/>
          </w:rPr>
          <w:fldChar w:fldCharType="separate"/>
        </w:r>
        <w:r>
          <w:rPr>
            <w:webHidden/>
          </w:rPr>
          <w:t>7</w:t>
        </w:r>
        <w:r w:rsidR="00586F96">
          <w:rPr>
            <w:webHidden/>
          </w:rPr>
          <w:fldChar w:fldCharType="end"/>
        </w:r>
      </w:hyperlink>
    </w:p>
    <w:p w14:paraId="01A11F11" w14:textId="54BF1029" w:rsidR="00586F96" w:rsidRDefault="00B0664F">
      <w:pPr>
        <w:pStyle w:val="Innehll1"/>
        <w:rPr>
          <w:rFonts w:asciiTheme="minorHAnsi" w:eastAsiaTheme="minorEastAsia" w:hAnsiTheme="minorHAnsi" w:cstheme="minorBidi"/>
          <w:sz w:val="22"/>
          <w:szCs w:val="22"/>
          <w:lang w:val="sv-FI" w:eastAsia="sv-FI"/>
        </w:rPr>
      </w:pPr>
      <w:hyperlink w:anchor="_Toc88134482" w:history="1">
        <w:r w:rsidR="00586F96" w:rsidRPr="00C11D0B">
          <w:rPr>
            <w:rStyle w:val="Hyperlnk"/>
          </w:rPr>
          <w:t>Lagtext</w:t>
        </w:r>
        <w:r w:rsidR="00586F96">
          <w:rPr>
            <w:webHidden/>
          </w:rPr>
          <w:tab/>
        </w:r>
        <w:r w:rsidR="00586F96">
          <w:rPr>
            <w:webHidden/>
          </w:rPr>
          <w:fldChar w:fldCharType="begin"/>
        </w:r>
        <w:r w:rsidR="00586F96">
          <w:rPr>
            <w:webHidden/>
          </w:rPr>
          <w:instrText xml:space="preserve"> PAGEREF _Toc88134482 \h </w:instrText>
        </w:r>
        <w:r w:rsidR="00586F96">
          <w:rPr>
            <w:webHidden/>
          </w:rPr>
        </w:r>
        <w:r w:rsidR="00586F96">
          <w:rPr>
            <w:webHidden/>
          </w:rPr>
          <w:fldChar w:fldCharType="separate"/>
        </w:r>
        <w:r>
          <w:rPr>
            <w:webHidden/>
          </w:rPr>
          <w:t>8</w:t>
        </w:r>
        <w:r w:rsidR="00586F96">
          <w:rPr>
            <w:webHidden/>
          </w:rPr>
          <w:fldChar w:fldCharType="end"/>
        </w:r>
      </w:hyperlink>
    </w:p>
    <w:p w14:paraId="1D318B6C" w14:textId="4AAA5DA5" w:rsidR="00586F96" w:rsidRDefault="00B0664F">
      <w:pPr>
        <w:pStyle w:val="Innehll2"/>
        <w:rPr>
          <w:rFonts w:asciiTheme="minorHAnsi" w:eastAsiaTheme="minorEastAsia" w:hAnsiTheme="minorHAnsi" w:cstheme="minorBidi"/>
          <w:sz w:val="22"/>
          <w:szCs w:val="22"/>
          <w:lang w:val="sv-FI" w:eastAsia="sv-FI"/>
        </w:rPr>
      </w:pPr>
      <w:hyperlink w:anchor="_Toc88134483" w:history="1">
        <w:r w:rsidR="00586F96" w:rsidRPr="00C11D0B">
          <w:rPr>
            <w:rStyle w:val="Hyperlnk"/>
          </w:rPr>
          <w:t>L A N D S K A P S L A G om ändring av ordningslagen för landskapet Åland</w:t>
        </w:r>
        <w:r w:rsidR="00586F96">
          <w:rPr>
            <w:webHidden/>
          </w:rPr>
          <w:tab/>
        </w:r>
        <w:r w:rsidR="00586F96">
          <w:rPr>
            <w:webHidden/>
          </w:rPr>
          <w:fldChar w:fldCharType="begin"/>
        </w:r>
        <w:r w:rsidR="00586F96">
          <w:rPr>
            <w:webHidden/>
          </w:rPr>
          <w:instrText xml:space="preserve"> PAGEREF _Toc88134483 \h </w:instrText>
        </w:r>
        <w:r w:rsidR="00586F96">
          <w:rPr>
            <w:webHidden/>
          </w:rPr>
        </w:r>
        <w:r w:rsidR="00586F96">
          <w:rPr>
            <w:webHidden/>
          </w:rPr>
          <w:fldChar w:fldCharType="separate"/>
        </w:r>
        <w:r>
          <w:rPr>
            <w:webHidden/>
          </w:rPr>
          <w:t>8</w:t>
        </w:r>
        <w:r w:rsidR="00586F96">
          <w:rPr>
            <w:webHidden/>
          </w:rPr>
          <w:fldChar w:fldCharType="end"/>
        </w:r>
      </w:hyperlink>
    </w:p>
    <w:p w14:paraId="10BE6337" w14:textId="21F8A8A5" w:rsidR="00586F96" w:rsidRDefault="00B0664F">
      <w:pPr>
        <w:pStyle w:val="Innehll2"/>
        <w:rPr>
          <w:rFonts w:asciiTheme="minorHAnsi" w:eastAsiaTheme="minorEastAsia" w:hAnsiTheme="minorHAnsi" w:cstheme="minorBidi"/>
          <w:sz w:val="22"/>
          <w:szCs w:val="22"/>
          <w:lang w:val="sv-FI" w:eastAsia="sv-FI"/>
        </w:rPr>
      </w:pPr>
      <w:hyperlink w:anchor="_Toc88134484" w:history="1">
        <w:r w:rsidR="00586F96" w:rsidRPr="00C11D0B">
          <w:rPr>
            <w:rStyle w:val="Hyperlnk"/>
          </w:rPr>
          <w:t>L A N D S K A P S L A G om ändring av 11 § landskapslagen om tillämpning på Åland av lagen om privata säkerhetstjänster</w:t>
        </w:r>
        <w:r w:rsidR="00586F96">
          <w:rPr>
            <w:webHidden/>
          </w:rPr>
          <w:tab/>
        </w:r>
        <w:r w:rsidR="00586F96">
          <w:rPr>
            <w:webHidden/>
          </w:rPr>
          <w:fldChar w:fldCharType="begin"/>
        </w:r>
        <w:r w:rsidR="00586F96">
          <w:rPr>
            <w:webHidden/>
          </w:rPr>
          <w:instrText xml:space="preserve"> PAGEREF _Toc88134484 \h </w:instrText>
        </w:r>
        <w:r w:rsidR="00586F96">
          <w:rPr>
            <w:webHidden/>
          </w:rPr>
        </w:r>
        <w:r w:rsidR="00586F96">
          <w:rPr>
            <w:webHidden/>
          </w:rPr>
          <w:fldChar w:fldCharType="separate"/>
        </w:r>
        <w:r>
          <w:rPr>
            <w:webHidden/>
          </w:rPr>
          <w:t>9</w:t>
        </w:r>
        <w:r w:rsidR="00586F96">
          <w:rPr>
            <w:webHidden/>
          </w:rPr>
          <w:fldChar w:fldCharType="end"/>
        </w:r>
      </w:hyperlink>
    </w:p>
    <w:p w14:paraId="72F0DDB4" w14:textId="79F4A585" w:rsidR="00586F96" w:rsidRDefault="00B0664F">
      <w:pPr>
        <w:pStyle w:val="Innehll1"/>
        <w:rPr>
          <w:rFonts w:asciiTheme="minorHAnsi" w:eastAsiaTheme="minorEastAsia" w:hAnsiTheme="minorHAnsi" w:cstheme="minorBidi"/>
          <w:sz w:val="22"/>
          <w:szCs w:val="22"/>
          <w:lang w:val="sv-FI" w:eastAsia="sv-FI"/>
        </w:rPr>
      </w:pPr>
      <w:hyperlink w:anchor="_Toc88134485" w:history="1">
        <w:r w:rsidR="00586F96" w:rsidRPr="00C11D0B">
          <w:rPr>
            <w:rStyle w:val="Hyperlnk"/>
          </w:rPr>
          <w:t>Parallelltexter</w:t>
        </w:r>
        <w:r w:rsidR="00586F96">
          <w:rPr>
            <w:webHidden/>
          </w:rPr>
          <w:tab/>
        </w:r>
        <w:r w:rsidR="00586F96">
          <w:rPr>
            <w:webHidden/>
          </w:rPr>
          <w:fldChar w:fldCharType="begin"/>
        </w:r>
        <w:r w:rsidR="00586F96">
          <w:rPr>
            <w:webHidden/>
          </w:rPr>
          <w:instrText xml:space="preserve"> PAGEREF _Toc88134485 \h </w:instrText>
        </w:r>
        <w:r w:rsidR="00586F96">
          <w:rPr>
            <w:webHidden/>
          </w:rPr>
        </w:r>
        <w:r w:rsidR="00586F96">
          <w:rPr>
            <w:webHidden/>
          </w:rPr>
          <w:fldChar w:fldCharType="separate"/>
        </w:r>
        <w:r>
          <w:rPr>
            <w:webHidden/>
          </w:rPr>
          <w:t>10</w:t>
        </w:r>
        <w:r w:rsidR="00586F96">
          <w:rPr>
            <w:webHidden/>
          </w:rPr>
          <w:fldChar w:fldCharType="end"/>
        </w:r>
      </w:hyperlink>
    </w:p>
    <w:p w14:paraId="002398B9" w14:textId="1D7624BD" w:rsidR="00AF3004" w:rsidRPr="003160F0" w:rsidRDefault="00AF3004">
      <w:pPr>
        <w:pStyle w:val="ANormal"/>
        <w:rPr>
          <w:noProof/>
        </w:rPr>
      </w:pPr>
      <w:r w:rsidRPr="003160F0">
        <w:rPr>
          <w:rFonts w:ascii="Verdana" w:hAnsi="Verdana"/>
          <w:noProof/>
          <w:sz w:val="16"/>
          <w:szCs w:val="36"/>
        </w:rPr>
        <w:fldChar w:fldCharType="end"/>
      </w:r>
    </w:p>
    <w:p w14:paraId="70A6A1D5" w14:textId="77777777" w:rsidR="00AF3004" w:rsidRPr="003160F0" w:rsidRDefault="00AF3004">
      <w:pPr>
        <w:pStyle w:val="ANormal"/>
      </w:pPr>
      <w:r w:rsidRPr="003160F0">
        <w:br w:type="page"/>
      </w:r>
    </w:p>
    <w:p w14:paraId="439B6429" w14:textId="41A4AA6F" w:rsidR="00AF3004" w:rsidRPr="003160F0" w:rsidRDefault="00075DC4">
      <w:pPr>
        <w:pStyle w:val="RubrikA"/>
      </w:pPr>
      <w:bookmarkStart w:id="2" w:name="_Toc88134470"/>
      <w:r>
        <w:lastRenderedPageBreak/>
        <w:t>M</w:t>
      </w:r>
      <w:r w:rsidR="00AF3004" w:rsidRPr="003160F0">
        <w:t>otivering</w:t>
      </w:r>
      <w:bookmarkEnd w:id="2"/>
    </w:p>
    <w:p w14:paraId="3B5E63D1" w14:textId="77777777" w:rsidR="00AF3004" w:rsidRPr="003160F0" w:rsidRDefault="00AF3004">
      <w:pPr>
        <w:pStyle w:val="Rubrikmellanrum"/>
      </w:pPr>
    </w:p>
    <w:p w14:paraId="2F282A7C" w14:textId="5606BD24" w:rsidR="00AF3004" w:rsidRDefault="00AF3004">
      <w:pPr>
        <w:pStyle w:val="RubrikB"/>
      </w:pPr>
      <w:bookmarkStart w:id="3" w:name="_Toc88134471"/>
      <w:r w:rsidRPr="003160F0">
        <w:t>1. Bakgrund</w:t>
      </w:r>
      <w:r w:rsidR="003E4DB9">
        <w:t>sproblematik</w:t>
      </w:r>
      <w:bookmarkEnd w:id="3"/>
    </w:p>
    <w:p w14:paraId="5B92FBC6" w14:textId="30D1B1C6" w:rsidR="00734752" w:rsidRDefault="00734752" w:rsidP="00734752">
      <w:pPr>
        <w:pStyle w:val="Rubrikmellanrum"/>
      </w:pPr>
    </w:p>
    <w:p w14:paraId="779DC069" w14:textId="666E59E5" w:rsidR="00734752" w:rsidRPr="00734752" w:rsidRDefault="00734752" w:rsidP="00734752">
      <w:pPr>
        <w:pStyle w:val="RubrikC"/>
      </w:pPr>
      <w:bookmarkStart w:id="4" w:name="_Toc88134472"/>
      <w:r>
        <w:t>1.1 Inledning – icke hanterbara ordningsstörningar</w:t>
      </w:r>
      <w:bookmarkEnd w:id="4"/>
    </w:p>
    <w:p w14:paraId="79FCD7F3" w14:textId="73F58A92" w:rsidR="00F90EB3" w:rsidRDefault="00F90EB3" w:rsidP="00F90EB3">
      <w:pPr>
        <w:pStyle w:val="Rubrikmellanrum"/>
      </w:pPr>
    </w:p>
    <w:p w14:paraId="6DA229F5" w14:textId="7E34C2C4" w:rsidR="00F90EB3" w:rsidRPr="00F90EB3" w:rsidRDefault="00F90EB3" w:rsidP="00F90EB3">
      <w:pPr>
        <w:pStyle w:val="ANormal"/>
      </w:pPr>
      <w:r w:rsidRPr="00F90EB3">
        <w:t>För närvarande är det inte möjligt att genom ordningsbotsförfarande hantera två olika situationer som innebär ordningsstörningar. Den ena situationen gäller köp och erbjudande av sexuella tjänster och den andra gäller överträdelser mot bestämmelserna om innehav av föremål och ämnen som kan användas för att skada någon annan.</w:t>
      </w:r>
    </w:p>
    <w:p w14:paraId="0130868E" w14:textId="5A5D875E" w:rsidR="00F90EB3" w:rsidRDefault="00F90EB3" w:rsidP="00F90EB3">
      <w:pPr>
        <w:pStyle w:val="ANormal"/>
      </w:pPr>
    </w:p>
    <w:p w14:paraId="511F0ADF" w14:textId="7781E1EB" w:rsidR="00CA7B16" w:rsidRDefault="00CA7B16" w:rsidP="00CA7B16">
      <w:pPr>
        <w:pStyle w:val="RubrikC"/>
      </w:pPr>
      <w:bookmarkStart w:id="5" w:name="_Toc88134473"/>
      <w:r>
        <w:t xml:space="preserve">1.2 </w:t>
      </w:r>
      <w:r w:rsidR="00AB4C4F">
        <w:t>Nuläge</w:t>
      </w:r>
      <w:r w:rsidR="00A370C9">
        <w:t>t gällande den åländska ordningslagen</w:t>
      </w:r>
      <w:bookmarkEnd w:id="5"/>
    </w:p>
    <w:p w14:paraId="24487F36" w14:textId="0C44FE22" w:rsidR="00CA7B16" w:rsidRDefault="00CA7B16" w:rsidP="00CA7B16">
      <w:pPr>
        <w:pStyle w:val="Rubrikmellanrum"/>
      </w:pPr>
    </w:p>
    <w:p w14:paraId="710AEDD9" w14:textId="6E0F7B3F" w:rsidR="00284249" w:rsidRDefault="003A7F64" w:rsidP="003A7F64">
      <w:pPr>
        <w:pStyle w:val="RubrikD"/>
      </w:pPr>
      <w:r>
        <w:t xml:space="preserve">1.2.1 </w:t>
      </w:r>
      <w:r w:rsidR="00284249">
        <w:t>Köp och erbjudande av sexuella tjänster</w:t>
      </w:r>
    </w:p>
    <w:p w14:paraId="4778B69B" w14:textId="77777777" w:rsidR="003A7F64" w:rsidRPr="003A7F64" w:rsidRDefault="003A7F64" w:rsidP="003A7F64">
      <w:pPr>
        <w:pStyle w:val="Rubrikmellanrum"/>
      </w:pPr>
    </w:p>
    <w:p w14:paraId="2E46F74B" w14:textId="7E1271C1" w:rsidR="00A94EE9" w:rsidRPr="003A7F64" w:rsidRDefault="00284249" w:rsidP="003A7F64">
      <w:pPr>
        <w:pStyle w:val="ANormal"/>
      </w:pPr>
      <w:r w:rsidRPr="003A7F64">
        <w:t xml:space="preserve">Ordningslagen </w:t>
      </w:r>
      <w:bookmarkStart w:id="6" w:name="_Hlk37766813"/>
      <w:r w:rsidRPr="003A7F64">
        <w:t xml:space="preserve">(2010:23) </w:t>
      </w:r>
      <w:bookmarkEnd w:id="6"/>
      <w:r w:rsidRPr="003A7F64">
        <w:t>för landskapet Åland</w:t>
      </w:r>
      <w:r w:rsidR="00CA7B16" w:rsidRPr="003A7F64">
        <w:t xml:space="preserve"> </w:t>
      </w:r>
      <w:r w:rsidR="00CA7B16" w:rsidRPr="000D1A10">
        <w:rPr>
          <w:i/>
          <w:iCs/>
        </w:rPr>
        <w:t>(ordningslagen)</w:t>
      </w:r>
      <w:r w:rsidRPr="003A7F64">
        <w:t xml:space="preserve"> har ändrats genom </w:t>
      </w:r>
      <w:r w:rsidR="00A94EE9" w:rsidRPr="003A7F64">
        <w:t xml:space="preserve">en </w:t>
      </w:r>
      <w:r w:rsidRPr="003A7F64">
        <w:t xml:space="preserve">landskapslag (2017:64) om ändring av ordningslagen för landskapet Åland. </w:t>
      </w:r>
      <w:r w:rsidR="00CA7B16" w:rsidRPr="003A7F64">
        <w:t>Ä</w:t>
      </w:r>
      <w:r w:rsidRPr="003A7F64">
        <w:t xml:space="preserve">ndringen </w:t>
      </w:r>
      <w:r w:rsidR="00CA7B16" w:rsidRPr="003A7F64">
        <w:t xml:space="preserve">innebär </w:t>
      </w:r>
      <w:r w:rsidR="00A94EE9" w:rsidRPr="003A7F64">
        <w:t xml:space="preserve">att </w:t>
      </w:r>
      <w:r w:rsidRPr="003A7F64">
        <w:t xml:space="preserve">det </w:t>
      </w:r>
      <w:r w:rsidR="00A94EE9" w:rsidRPr="003A7F64">
        <w:t>i ordningslagen införts</w:t>
      </w:r>
      <w:r w:rsidRPr="003A7F64">
        <w:t xml:space="preserve"> en 18a</w:t>
      </w:r>
      <w:r w:rsidR="00027757">
        <w:t> §</w:t>
      </w:r>
      <w:r w:rsidRPr="003A7F64">
        <w:t xml:space="preserve"> som fastställer ordningsbotens storlek för vissa förseelser. I 18a</w:t>
      </w:r>
      <w:r w:rsidR="00027757">
        <w:t> §</w:t>
      </w:r>
      <w:r w:rsidRPr="003A7F64">
        <w:t xml:space="preserve"> finns dock inte köp och erbjudande av sexuella tjänster med </w:t>
      </w:r>
      <w:r w:rsidR="00C4596C">
        <w:t>på listan</w:t>
      </w:r>
      <w:r w:rsidRPr="003A7F64">
        <w:t xml:space="preserve"> ordningsförseelse</w:t>
      </w:r>
      <w:r w:rsidR="00C4596C">
        <w:t>r</w:t>
      </w:r>
      <w:r w:rsidRPr="003A7F64">
        <w:t xml:space="preserve"> för vilk</w:t>
      </w:r>
      <w:r w:rsidR="00C4596C">
        <w:t>a</w:t>
      </w:r>
      <w:r w:rsidRPr="003A7F64">
        <w:t xml:space="preserve"> </w:t>
      </w:r>
      <w:r w:rsidR="00A94EE9" w:rsidRPr="003A7F64">
        <w:t xml:space="preserve">det </w:t>
      </w:r>
      <w:r w:rsidRPr="003A7F64">
        <w:t xml:space="preserve">kan </w:t>
      </w:r>
      <w:r w:rsidR="00A94EE9" w:rsidRPr="003A7F64">
        <w:t>föreläggas</w:t>
      </w:r>
      <w:r w:rsidRPr="003A7F64">
        <w:t xml:space="preserve"> ordningsbot.</w:t>
      </w:r>
      <w:r w:rsidR="00A94EE9" w:rsidRPr="003A7F64">
        <w:t xml:space="preserve"> </w:t>
      </w:r>
      <w:r w:rsidR="00927FBB">
        <w:t>I 14</w:t>
      </w:r>
      <w:r w:rsidR="00027757">
        <w:t> §</w:t>
      </w:r>
      <w:r w:rsidR="00927FBB">
        <w:t xml:space="preserve"> </w:t>
      </w:r>
      <w:r w:rsidR="00314C5A">
        <w:t>i</w:t>
      </w:r>
      <w:r w:rsidR="00A94EE9" w:rsidRPr="003A7F64">
        <w:t xml:space="preserve"> lagen om ordningsbotsförseelser (FFS 2016/986) som inte gäller på Åland finns däremot </w:t>
      </w:r>
      <w:r w:rsidR="00927FBB">
        <w:t xml:space="preserve">en </w:t>
      </w:r>
      <w:r w:rsidR="00A94EE9" w:rsidRPr="003A7F64">
        <w:t xml:space="preserve">bestämmelse som gör det möjligt att i landet i övrigt </w:t>
      </w:r>
      <w:r w:rsidR="00A96B84" w:rsidRPr="003A7F64">
        <w:t>förelägga ordningsbot för ordningsförseelser som innebär köp och erbjudande av sexuella tjänster.</w:t>
      </w:r>
      <w:r w:rsidR="00826C25" w:rsidRPr="003A7F64">
        <w:t xml:space="preserve"> Sådana förseelser kan därstädes föranleda att överträdaren föreläggs en ordningsbot på 100 euro.</w:t>
      </w:r>
    </w:p>
    <w:p w14:paraId="09C0627F" w14:textId="77777777" w:rsidR="00A94EE9" w:rsidRPr="003A7F64" w:rsidRDefault="00A94EE9" w:rsidP="003A7F64">
      <w:pPr>
        <w:pStyle w:val="ANormal"/>
      </w:pPr>
    </w:p>
    <w:p w14:paraId="74DF4997" w14:textId="103D34A2" w:rsidR="00284249" w:rsidRDefault="000D1A10" w:rsidP="000D1A10">
      <w:pPr>
        <w:pStyle w:val="RubrikD"/>
      </w:pPr>
      <w:r>
        <w:t xml:space="preserve">1.2.2 </w:t>
      </w:r>
      <w:r w:rsidR="00284249">
        <w:t>Innehav av föremål och ämnen som lämpar sig för att skada någon</w:t>
      </w:r>
      <w:r>
        <w:t xml:space="preserve"> annan</w:t>
      </w:r>
    </w:p>
    <w:p w14:paraId="1718DB09" w14:textId="2F9793E1" w:rsidR="000D1A10" w:rsidRDefault="000D1A10" w:rsidP="000D1A10">
      <w:pPr>
        <w:pStyle w:val="Rubrikmellanrum"/>
      </w:pPr>
    </w:p>
    <w:p w14:paraId="0BD763EC" w14:textId="11CB5EFD" w:rsidR="00284249" w:rsidRPr="00424E56" w:rsidRDefault="00284249" w:rsidP="00424E56">
      <w:pPr>
        <w:pStyle w:val="ANormal"/>
      </w:pPr>
      <w:r w:rsidRPr="00424E56">
        <w:t xml:space="preserve">Enligt </w:t>
      </w:r>
      <w:r w:rsidR="000D1A10" w:rsidRPr="00424E56">
        <w:t>ovan nämnda 18a</w:t>
      </w:r>
      <w:r w:rsidR="00027757">
        <w:t> §</w:t>
      </w:r>
      <w:r w:rsidR="000D1A10" w:rsidRPr="00424E56">
        <w:t xml:space="preserve"> i o</w:t>
      </w:r>
      <w:r w:rsidRPr="00424E56">
        <w:t xml:space="preserve">rdningslagen kan </w:t>
      </w:r>
      <w:bookmarkStart w:id="7" w:name="_Hlk35934465"/>
      <w:r w:rsidR="00470343" w:rsidRPr="00424E56">
        <w:t xml:space="preserve">å ena sidan </w:t>
      </w:r>
      <w:r w:rsidRPr="00424E56">
        <w:t xml:space="preserve">den som bryter mot </w:t>
      </w:r>
      <w:r w:rsidR="000D1A10" w:rsidRPr="00424E56">
        <w:t>förbuds</w:t>
      </w:r>
      <w:r w:rsidRPr="00424E56">
        <w:t xml:space="preserve">bestämmelserna </w:t>
      </w:r>
      <w:r w:rsidR="00470343" w:rsidRPr="00424E56">
        <w:t>i 10</w:t>
      </w:r>
      <w:r w:rsidR="00027757">
        <w:t> §</w:t>
      </w:r>
      <w:r w:rsidR="00470343" w:rsidRPr="00424E56">
        <w:t xml:space="preserve"> i ordningslagen </w:t>
      </w:r>
      <w:r w:rsidRPr="00424E56">
        <w:t xml:space="preserve">om innehav av föremål och ämnen som kan användas för att skada någon annan </w:t>
      </w:r>
      <w:bookmarkEnd w:id="7"/>
      <w:r w:rsidRPr="00424E56">
        <w:t>föreläggas en ordningsbot på 70 euro.</w:t>
      </w:r>
    </w:p>
    <w:p w14:paraId="27A02275" w14:textId="2F695C13" w:rsidR="00987390" w:rsidRDefault="00424E56" w:rsidP="009A7AEE">
      <w:pPr>
        <w:pStyle w:val="ANormal"/>
      </w:pPr>
      <w:r>
        <w:tab/>
      </w:r>
      <w:r w:rsidR="00284249" w:rsidRPr="00424E56">
        <w:t xml:space="preserve">I </w:t>
      </w:r>
      <w:r>
        <w:t>16</w:t>
      </w:r>
      <w:r w:rsidR="00027757">
        <w:t> §</w:t>
      </w:r>
      <w:r>
        <w:t xml:space="preserve"> i </w:t>
      </w:r>
      <w:r w:rsidR="00284249" w:rsidRPr="00424E56">
        <w:t>ordningslagen</w:t>
      </w:r>
      <w:r>
        <w:t xml:space="preserve"> föreskrivs om bötesstraff för olika </w:t>
      </w:r>
      <w:r w:rsidR="00F96999">
        <w:t xml:space="preserve">genom uppräkning angivna </w:t>
      </w:r>
      <w:r>
        <w:t>ordningsförseelser</w:t>
      </w:r>
      <w:r w:rsidR="00284249" w:rsidRPr="00424E56">
        <w:t xml:space="preserve">. I </w:t>
      </w:r>
      <w:r w:rsidR="00F96999">
        <w:t xml:space="preserve">den </w:t>
      </w:r>
      <w:r w:rsidR="00284249" w:rsidRPr="00424E56">
        <w:t xml:space="preserve">uppräkningen </w:t>
      </w:r>
      <w:r w:rsidR="00F96999">
        <w:t>finns</w:t>
      </w:r>
      <w:r w:rsidR="00284249" w:rsidRPr="00424E56">
        <w:t xml:space="preserve"> </w:t>
      </w:r>
      <w:r w:rsidR="00470343" w:rsidRPr="00424E56">
        <w:t xml:space="preserve">å andra sidan </w:t>
      </w:r>
      <w:r w:rsidR="00284249" w:rsidRPr="00424E56">
        <w:t xml:space="preserve">inte innehav av föremål och ämnen </w:t>
      </w:r>
      <w:r w:rsidR="00470343" w:rsidRPr="00424E56">
        <w:t>som kan användas för att skada någon annan</w:t>
      </w:r>
      <w:r w:rsidR="00284249" w:rsidRPr="00424E56">
        <w:t xml:space="preserve"> </w:t>
      </w:r>
      <w:r w:rsidR="00F96999">
        <w:t>med bland de uppräknade</w:t>
      </w:r>
      <w:r w:rsidR="00470343" w:rsidRPr="00424E56">
        <w:t xml:space="preserve"> ordningsförseelser</w:t>
      </w:r>
      <w:r w:rsidR="00F96999">
        <w:t>na</w:t>
      </w:r>
      <w:r w:rsidR="007E25C9">
        <w:t>,</w:t>
      </w:r>
      <w:r w:rsidR="00470343" w:rsidRPr="00424E56">
        <w:t xml:space="preserve"> </w:t>
      </w:r>
      <w:r w:rsidR="00284249" w:rsidRPr="00424E56">
        <w:t xml:space="preserve">utan det brottet finns endast </w:t>
      </w:r>
      <w:r w:rsidR="00470343" w:rsidRPr="00424E56">
        <w:t xml:space="preserve">angivet bland </w:t>
      </w:r>
      <w:r w:rsidR="008D0E26">
        <w:t xml:space="preserve">brotten </w:t>
      </w:r>
      <w:r w:rsidR="00284249" w:rsidRPr="00424E56">
        <w:t>i de övriga straffbestämmelserna i 17</w:t>
      </w:r>
      <w:r w:rsidR="00027757">
        <w:t> §</w:t>
      </w:r>
      <w:r w:rsidR="00284249" w:rsidRPr="00424E56">
        <w:t xml:space="preserve"> </w:t>
      </w:r>
      <w:r w:rsidR="00470343" w:rsidRPr="00424E56">
        <w:t xml:space="preserve">i ordningslagen </w:t>
      </w:r>
      <w:r w:rsidR="00284249" w:rsidRPr="00424E56">
        <w:t xml:space="preserve">som hänvisar till </w:t>
      </w:r>
      <w:r w:rsidR="00753712" w:rsidRPr="00424E56">
        <w:t>bl.a. 41</w:t>
      </w:r>
      <w:r w:rsidR="00027757">
        <w:t> kap.</w:t>
      </w:r>
      <w:r w:rsidR="00753712" w:rsidRPr="00424E56">
        <w:t xml:space="preserve"> </w:t>
      </w:r>
      <w:r w:rsidR="00153948">
        <w:t>6</w:t>
      </w:r>
      <w:r w:rsidR="00027757">
        <w:t> §</w:t>
      </w:r>
      <w:r w:rsidR="00753712" w:rsidRPr="00424E56">
        <w:t xml:space="preserve"> i </w:t>
      </w:r>
      <w:r w:rsidR="00284249" w:rsidRPr="00424E56">
        <w:t>strafflagen (</w:t>
      </w:r>
      <w:r w:rsidR="00753712" w:rsidRPr="00424E56">
        <w:t>FFS 39/1889</w:t>
      </w:r>
      <w:r w:rsidR="00284249" w:rsidRPr="00424E56">
        <w:t>)</w:t>
      </w:r>
      <w:r w:rsidR="009A7AEE">
        <w:t xml:space="preserve"> som </w:t>
      </w:r>
      <w:r w:rsidR="008D0E26">
        <w:t xml:space="preserve">i sin tur </w:t>
      </w:r>
      <w:r w:rsidR="008D0E26" w:rsidRPr="00424E56">
        <w:t xml:space="preserve">bl.a. </w:t>
      </w:r>
      <w:r w:rsidR="009A7AEE">
        <w:t>innebär att d</w:t>
      </w:r>
      <w:r w:rsidR="009A7AEE" w:rsidRPr="009A7AEE">
        <w:t xml:space="preserve">en som på allmän plats innehar ett föremål eller ämne som lämpar sig för att skada någon annan eller ett föremål som är förvillande likt ett skjutvapen eller en explosiv vara, ska </w:t>
      </w:r>
      <w:r w:rsidR="00987390" w:rsidRPr="009A7AEE">
        <w:t>dömas till böter eller fängelse i högst sex månader</w:t>
      </w:r>
      <w:r w:rsidR="002239D7">
        <w:t>,</w:t>
      </w:r>
      <w:r w:rsidR="00987390" w:rsidRPr="009A7AEE">
        <w:t xml:space="preserve"> </w:t>
      </w:r>
      <w:r w:rsidR="009A7AEE" w:rsidRPr="009A7AEE">
        <w:t>för innehav av föremål eller ämne som lämpar sig för att skada någon annan.</w:t>
      </w:r>
    </w:p>
    <w:p w14:paraId="2B19F26D" w14:textId="77777777" w:rsidR="00987390" w:rsidRDefault="00987390" w:rsidP="009A7AEE">
      <w:pPr>
        <w:pStyle w:val="ANormal"/>
      </w:pPr>
    </w:p>
    <w:p w14:paraId="7EB82978" w14:textId="25AD98D0" w:rsidR="00AB4C4F" w:rsidRDefault="00AB4C4F" w:rsidP="00A370C9">
      <w:pPr>
        <w:pStyle w:val="RubrikC"/>
      </w:pPr>
      <w:bookmarkStart w:id="8" w:name="_Toc88134474"/>
      <w:r>
        <w:t>1.3 Analys av n</w:t>
      </w:r>
      <w:r w:rsidR="00284249">
        <w:t>uläge</w:t>
      </w:r>
      <w:r>
        <w:t>t</w:t>
      </w:r>
      <w:r w:rsidR="00A370C9">
        <w:t xml:space="preserve"> gällande den åländska ordningslagen</w:t>
      </w:r>
      <w:bookmarkEnd w:id="8"/>
    </w:p>
    <w:p w14:paraId="0FCC3C5B" w14:textId="77777777" w:rsidR="00A370C9" w:rsidRPr="00A370C9" w:rsidRDefault="00A370C9" w:rsidP="00A370C9">
      <w:pPr>
        <w:pStyle w:val="Rubrikmellanrum"/>
      </w:pPr>
    </w:p>
    <w:p w14:paraId="78297D72" w14:textId="1B24B829" w:rsidR="00284249" w:rsidRDefault="00284249" w:rsidP="00D41343">
      <w:pPr>
        <w:pStyle w:val="ANormal"/>
      </w:pPr>
      <w:r w:rsidRPr="00D41343">
        <w:t xml:space="preserve">Det </w:t>
      </w:r>
      <w:r w:rsidR="00AB4C4F" w:rsidRPr="00D41343">
        <w:t xml:space="preserve">nuvarande situationen </w:t>
      </w:r>
      <w:r w:rsidRPr="00D41343">
        <w:t xml:space="preserve">innebär att om någon innehar ett farligt föremål så </w:t>
      </w:r>
      <w:r w:rsidR="00AB4C4F" w:rsidRPr="00D41343">
        <w:t>utgör detta i sig</w:t>
      </w:r>
      <w:r w:rsidRPr="00D41343">
        <w:t xml:space="preserve"> ingen ordningsförseelse enligt ordningslagens 16</w:t>
      </w:r>
      <w:r w:rsidR="00027757">
        <w:t> §</w:t>
      </w:r>
      <w:r w:rsidRPr="00D41343">
        <w:t xml:space="preserve"> utan ett brott där </w:t>
      </w:r>
      <w:r w:rsidR="008645CF">
        <w:t>lagöverträdaren</w:t>
      </w:r>
      <w:r w:rsidRPr="00D41343">
        <w:t xml:space="preserve"> </w:t>
      </w:r>
      <w:r w:rsidR="00153948">
        <w:t>med stöd av 17</w:t>
      </w:r>
      <w:r w:rsidR="00027757">
        <w:t> §</w:t>
      </w:r>
      <w:r w:rsidR="00153948">
        <w:t xml:space="preserve"> 1</w:t>
      </w:r>
      <w:r w:rsidR="00027757">
        <w:t> mom.</w:t>
      </w:r>
      <w:r w:rsidR="00153948">
        <w:t xml:space="preserve"> i ordningslagen, vilket </w:t>
      </w:r>
      <w:proofErr w:type="gramStart"/>
      <w:r w:rsidR="00153948">
        <w:t>bl.a.</w:t>
      </w:r>
      <w:proofErr w:type="gramEnd"/>
      <w:r w:rsidR="00153948">
        <w:t xml:space="preserve"> föreskriver att 41</w:t>
      </w:r>
      <w:r w:rsidR="00027757">
        <w:t> kap.</w:t>
      </w:r>
      <w:r w:rsidR="00153948">
        <w:t xml:space="preserve"> 6</w:t>
      </w:r>
      <w:r w:rsidR="00027757">
        <w:t> §</w:t>
      </w:r>
      <w:r w:rsidR="00153948">
        <w:t xml:space="preserve"> inom landskapets behörighet ska tillämpas vid avsedd överträdelse, </w:t>
      </w:r>
      <w:r w:rsidRPr="00D41343">
        <w:t>döms till dagsböter eller fängelse i högst sex månader. Polisen kan således inte förelägga en ordningsbot trots att 18a</w:t>
      </w:r>
      <w:r w:rsidR="00027757">
        <w:t> §</w:t>
      </w:r>
      <w:r w:rsidRPr="00D41343">
        <w:t xml:space="preserve"> </w:t>
      </w:r>
      <w:r w:rsidR="00AB4C4F" w:rsidRPr="00D41343">
        <w:t>i ordningslagen föreskriver</w:t>
      </w:r>
      <w:r w:rsidRPr="00D41343">
        <w:t xml:space="preserve"> att den som bryter mot bestämmelserna </w:t>
      </w:r>
      <w:r w:rsidR="00D41343" w:rsidRPr="00D41343">
        <w:t>i 10</w:t>
      </w:r>
      <w:r w:rsidR="00027757">
        <w:t> §</w:t>
      </w:r>
      <w:r w:rsidR="00D41343" w:rsidRPr="00D41343">
        <w:t xml:space="preserve"> i ordningslagen </w:t>
      </w:r>
      <w:r w:rsidRPr="00D41343">
        <w:t>om innehav av föremål och ämnen som kan användas för att skada någon annan kan föreläggas en ordningsbot på 70 euro</w:t>
      </w:r>
      <w:r w:rsidR="00D41343" w:rsidRPr="00D41343">
        <w:t>.</w:t>
      </w:r>
    </w:p>
    <w:p w14:paraId="2E2949C8" w14:textId="19890126" w:rsidR="00AD3F63" w:rsidRDefault="00153948" w:rsidP="00D41343">
      <w:pPr>
        <w:pStyle w:val="ANormal"/>
      </w:pPr>
      <w:r>
        <w:tab/>
        <w:t xml:space="preserve">Utöver detta saknas i ordningslagen bestämmelser som gör det möjligt att förelägga ordningsbot </w:t>
      </w:r>
      <w:r w:rsidR="00AD3F63" w:rsidRPr="00AD3F63">
        <w:t xml:space="preserve">som enda påföljd för ringa i </w:t>
      </w:r>
      <w:r w:rsidR="00AD3F63">
        <w:t>41</w:t>
      </w:r>
      <w:r w:rsidR="00027757">
        <w:t> kap.</w:t>
      </w:r>
      <w:r w:rsidR="00AD3F63">
        <w:t xml:space="preserve"> </w:t>
      </w:r>
      <w:r w:rsidR="00AD3F63" w:rsidRPr="00AD3F63">
        <w:t>6</w:t>
      </w:r>
      <w:r w:rsidR="00027757">
        <w:t> §</w:t>
      </w:r>
      <w:r w:rsidR="00AD3F63" w:rsidRPr="00AD3F63">
        <w:t xml:space="preserve"> </w:t>
      </w:r>
      <w:r w:rsidR="00AD3F63">
        <w:t xml:space="preserve">i strafflagen </w:t>
      </w:r>
      <w:r w:rsidR="00AD3F63" w:rsidRPr="00AD3F63">
        <w:lastRenderedPageBreak/>
        <w:t xml:space="preserve">avsett innehav av föremål eller ämne som lämpar sig för att skada någon annan med och för ringa i </w:t>
      </w:r>
      <w:r w:rsidR="00AD3F63">
        <w:t>41</w:t>
      </w:r>
      <w:r w:rsidR="00027757">
        <w:t> kap.</w:t>
      </w:r>
      <w:r w:rsidR="00AD3F63">
        <w:t xml:space="preserve"> 7</w:t>
      </w:r>
      <w:r w:rsidR="00027757">
        <w:t> §</w:t>
      </w:r>
      <w:r w:rsidR="00AD3F63" w:rsidRPr="00AD3F63">
        <w:t xml:space="preserve"> </w:t>
      </w:r>
      <w:r w:rsidR="00AD3F63">
        <w:t xml:space="preserve">i strafflagen </w:t>
      </w:r>
      <w:r w:rsidR="00AD3F63" w:rsidRPr="00AD3F63">
        <w:t>avsedd överlåtelse till en minderårig av föremål som lämpar sig för att skada någon annan</w:t>
      </w:r>
      <w:r w:rsidR="00AD3F63">
        <w:t>.</w:t>
      </w:r>
    </w:p>
    <w:p w14:paraId="22C8D40B" w14:textId="0D7B67AA" w:rsidR="00AD3F63" w:rsidRDefault="00AD3F63" w:rsidP="00D41343">
      <w:pPr>
        <w:pStyle w:val="ANormal"/>
      </w:pPr>
    </w:p>
    <w:p w14:paraId="0EA48CA0" w14:textId="02B86831" w:rsidR="00411E88" w:rsidRPr="00AD3F63" w:rsidRDefault="00A370C9" w:rsidP="00A370C9">
      <w:pPr>
        <w:pStyle w:val="RubrikC"/>
      </w:pPr>
      <w:bookmarkStart w:id="9" w:name="_Toc88134475"/>
      <w:r>
        <w:t>1.4 Övriga brister – b</w:t>
      </w:r>
      <w:r w:rsidR="00BD53BE">
        <w:t>lankettlagen om privata säkerhetstjänster</w:t>
      </w:r>
      <w:bookmarkEnd w:id="9"/>
    </w:p>
    <w:p w14:paraId="59B39AD5" w14:textId="77777777" w:rsidR="00411E88" w:rsidRPr="00AB4C4F" w:rsidRDefault="00411E88" w:rsidP="00411E88">
      <w:pPr>
        <w:pStyle w:val="Rubrikmellanrum"/>
      </w:pPr>
    </w:p>
    <w:p w14:paraId="5244AB0A" w14:textId="7141287E" w:rsidR="00AD3F63" w:rsidRPr="00BD53BE" w:rsidRDefault="00BD53BE" w:rsidP="00D41343">
      <w:pPr>
        <w:pStyle w:val="ANormal"/>
      </w:pPr>
      <w:r>
        <w:t xml:space="preserve">I </w:t>
      </w:r>
      <w:r w:rsidR="00C4757D">
        <w:t xml:space="preserve">övergångsbestämmelsen i </w:t>
      </w:r>
      <w:r>
        <w:t>11</w:t>
      </w:r>
      <w:r w:rsidR="00027757">
        <w:t> §</w:t>
      </w:r>
      <w:r>
        <w:t xml:space="preserve"> 1</w:t>
      </w:r>
      <w:r w:rsidR="00027757">
        <w:t> mom.</w:t>
      </w:r>
      <w:r>
        <w:t xml:space="preserve"> i l</w:t>
      </w:r>
      <w:r w:rsidRPr="00EC722E">
        <w:t>andskapslag</w:t>
      </w:r>
      <w:r>
        <w:t>en</w:t>
      </w:r>
      <w:r w:rsidRPr="00EC722E">
        <w:t xml:space="preserve"> (2021:5) om tillämpning på Åland av lagen om privata säkerhetstjänster</w:t>
      </w:r>
      <w:r>
        <w:t xml:space="preserve"> </w:t>
      </w:r>
      <w:r w:rsidRPr="00BD53BE">
        <w:rPr>
          <w:i/>
          <w:iCs/>
        </w:rPr>
        <w:t>(blankettlagen)</w:t>
      </w:r>
      <w:r>
        <w:rPr>
          <w:i/>
          <w:iCs/>
        </w:rPr>
        <w:t xml:space="preserve"> </w:t>
      </w:r>
      <w:r w:rsidRPr="00BD53BE">
        <w:t>finns en felaktig hänvisning</w:t>
      </w:r>
      <w:r>
        <w:rPr>
          <w:i/>
          <w:iCs/>
        </w:rPr>
        <w:t xml:space="preserve"> </w:t>
      </w:r>
      <w:r w:rsidR="001241B3">
        <w:t xml:space="preserve">till </w:t>
      </w:r>
      <w:r>
        <w:t>9</w:t>
      </w:r>
      <w:r w:rsidR="00027757">
        <w:t> §</w:t>
      </w:r>
      <w:r>
        <w:t xml:space="preserve"> 2</w:t>
      </w:r>
      <w:r w:rsidR="00027757">
        <w:t> mom.</w:t>
      </w:r>
      <w:r w:rsidR="0082484E">
        <w:t xml:space="preserve"> i blankettlagen</w:t>
      </w:r>
      <w:r>
        <w:t xml:space="preserve"> som handlar om landskapsregeringens rätt att inom behörigheten tillämpa särskilda av Polisstyrelsen</w:t>
      </w:r>
      <w:r w:rsidR="00C4757D">
        <w:t>s</w:t>
      </w:r>
      <w:r>
        <w:t xml:space="preserve"> föreskrifter</w:t>
      </w:r>
      <w:r w:rsidR="001241B3">
        <w:t xml:space="preserve"> </w:t>
      </w:r>
      <w:r w:rsidR="00C4757D">
        <w:t xml:space="preserve">utfärdade </w:t>
      </w:r>
      <w:r w:rsidR="001241B3">
        <w:t>i enlighet med 111</w:t>
      </w:r>
      <w:r w:rsidR="00027757">
        <w:t> §</w:t>
      </w:r>
      <w:r w:rsidR="001241B3">
        <w:t xml:space="preserve"> 2</w:t>
      </w:r>
      <w:r w:rsidR="00027757">
        <w:t> mom.</w:t>
      </w:r>
      <w:r w:rsidR="001241B3">
        <w:t xml:space="preserve"> i lagen om privata säkerhetstjänster (FFS 1085/2015)</w:t>
      </w:r>
      <w:r w:rsidR="0082484E">
        <w:t>,</w:t>
      </w:r>
      <w:r w:rsidR="001241B3">
        <w:t xml:space="preserve"> </w:t>
      </w:r>
      <w:r w:rsidR="0082484E">
        <w:t>vilken</w:t>
      </w:r>
      <w:r w:rsidR="001241B3">
        <w:t xml:space="preserve"> genom blankettlagen tillämpliggjorts på Åland</w:t>
      </w:r>
      <w:r>
        <w:t>.</w:t>
      </w:r>
      <w:r w:rsidR="009E2131">
        <w:rPr>
          <w:rStyle w:val="Fotnotsreferens"/>
        </w:rPr>
        <w:footnoteReference w:id="1"/>
      </w:r>
      <w:r>
        <w:t xml:space="preserve"> Hänvisningen ska egentligen avse den numera upphävda</w:t>
      </w:r>
      <w:r w:rsidR="00C4757D">
        <w:t xml:space="preserve"> </w:t>
      </w:r>
      <w:r w:rsidR="00C4757D" w:rsidRPr="00C4757D">
        <w:t>landskapslagen (2010:29) om tillämpning i landskapet Åland av lagen om privata säkerhetstjänster</w:t>
      </w:r>
      <w:r w:rsidR="0082484E">
        <w:t>,</w:t>
      </w:r>
      <w:r w:rsidR="00573884">
        <w:t xml:space="preserve"> vilken finns omnämnd i 10</w:t>
      </w:r>
      <w:r w:rsidR="00027757">
        <w:t> §</w:t>
      </w:r>
      <w:r w:rsidR="00573884">
        <w:t xml:space="preserve"> 1</w:t>
      </w:r>
      <w:r w:rsidR="00027757">
        <w:t> mom.</w:t>
      </w:r>
      <w:r w:rsidR="00573884">
        <w:t xml:space="preserve"> i </w:t>
      </w:r>
      <w:r w:rsidR="0082484E">
        <w:t>blankett</w:t>
      </w:r>
      <w:r w:rsidR="00573884">
        <w:t>lagen.</w:t>
      </w:r>
      <w:r w:rsidR="00C73A11">
        <w:t xml:space="preserve"> I och med att det rör sig om en smärre teknisk ändring</w:t>
      </w:r>
      <w:r>
        <w:t xml:space="preserve"> </w:t>
      </w:r>
      <w:r w:rsidR="00C73A11">
        <w:t xml:space="preserve">som anknyter till ett till ordningslagen närliggande rättsområde är det ändamålsenligt </w:t>
      </w:r>
      <w:r w:rsidR="0082484E">
        <w:t xml:space="preserve">att </w:t>
      </w:r>
      <w:r w:rsidR="00C73A11">
        <w:t>göra en korrigering i samband med övriga ändringar i detta lagförslag.</w:t>
      </w:r>
    </w:p>
    <w:p w14:paraId="24BF745A" w14:textId="7187B2C1" w:rsidR="00153948" w:rsidRDefault="00153948" w:rsidP="00D41343">
      <w:pPr>
        <w:pStyle w:val="ANormal"/>
      </w:pPr>
    </w:p>
    <w:p w14:paraId="7DE1987C" w14:textId="01B91B5C" w:rsidR="00BD53BE" w:rsidRDefault="00A370C9" w:rsidP="00A370C9">
      <w:pPr>
        <w:pStyle w:val="RubrikB"/>
      </w:pPr>
      <w:bookmarkStart w:id="10" w:name="_Toc88134476"/>
      <w:r>
        <w:t>2. Landskapsregeringens förslag och dess konsekvenser</w:t>
      </w:r>
      <w:bookmarkEnd w:id="10"/>
    </w:p>
    <w:p w14:paraId="2763C911" w14:textId="3A25475A" w:rsidR="00A370C9" w:rsidRDefault="00A370C9" w:rsidP="00A370C9">
      <w:pPr>
        <w:pStyle w:val="Rubrikmellanrum"/>
      </w:pPr>
    </w:p>
    <w:p w14:paraId="4052299A" w14:textId="0E18C494" w:rsidR="00BA3184" w:rsidRDefault="00F55028" w:rsidP="00F55028">
      <w:pPr>
        <w:pStyle w:val="ANormal"/>
      </w:pPr>
      <w:r>
        <w:t xml:space="preserve">Med anledning av vad som anförts ovan föreslår landskapsregeringen att ändringar införs i ordningslagen som innebär att polisen får möjlighet att förelägga ordningsbot vid </w:t>
      </w:r>
      <w:r w:rsidR="000D1A10" w:rsidRPr="00F55028">
        <w:t>köp eller erbjudande mot betalning av sexuella tjänster</w:t>
      </w:r>
      <w:r>
        <w:t xml:space="preserve">. Landskapsregeringen föreslår även att det införs bestämmelser som gör det möjligt för polisen att förelägga ordningsbot i samband </w:t>
      </w:r>
      <w:r w:rsidR="00284249" w:rsidRPr="00F55028">
        <w:t>ringa innehav av föremål eller ämne som lämpar sig för att skada andra</w:t>
      </w:r>
      <w:r>
        <w:t xml:space="preserve"> </w:t>
      </w:r>
      <w:r w:rsidR="00284249" w:rsidRPr="00F55028">
        <w:t>och för ringa överlåtelse till en minderårig av sådana föremål</w:t>
      </w:r>
      <w:r w:rsidR="00BA3184">
        <w:t>.</w:t>
      </w:r>
    </w:p>
    <w:p w14:paraId="3181940C" w14:textId="0A46D4E3" w:rsidR="00284249" w:rsidRDefault="00BA3184" w:rsidP="00F55028">
      <w:pPr>
        <w:pStyle w:val="ANormal"/>
      </w:pPr>
      <w:r>
        <w:tab/>
      </w:r>
      <w:r w:rsidR="00483C95">
        <w:t xml:space="preserve">Förslaget innebär en utökad möjlighet att genom föreläggande av ordningsbot </w:t>
      </w:r>
      <w:r w:rsidR="00C0245A">
        <w:t>komma till rätta med</w:t>
      </w:r>
      <w:r w:rsidR="00483C95">
        <w:t xml:space="preserve"> överträdelser mot ordningslagstiftningen vad gäller lindrigare överträdelser där bötes- eller fängelsestraff skulle vara oskäligt. </w:t>
      </w:r>
      <w:r>
        <w:t xml:space="preserve">Förslaget är av övervägande lagteknisk karaktär och har </w:t>
      </w:r>
      <w:r w:rsidR="00483C95">
        <w:t xml:space="preserve">i övrigt </w:t>
      </w:r>
      <w:r>
        <w:t xml:space="preserve">inga avgörande ekonomiska eller administrativa konsekvenser. Förslaget har heller inga kända </w:t>
      </w:r>
      <w:r w:rsidR="00483C95">
        <w:t xml:space="preserve">avgörande </w:t>
      </w:r>
      <w:r>
        <w:t>konsekvenser för jämställdheten mellan kvinnor och män, barn eller miljön.</w:t>
      </w:r>
      <w:r w:rsidR="00483C95">
        <w:t xml:space="preserve"> Dock blir det enklare att motverka lagöverträdelser som kan ha negativa effekter bland minderåriga.</w:t>
      </w:r>
    </w:p>
    <w:p w14:paraId="0AAF36E8" w14:textId="7EDA148E" w:rsidR="00CC03DC" w:rsidRDefault="00CC03DC" w:rsidP="00F55028">
      <w:pPr>
        <w:pStyle w:val="ANormal"/>
      </w:pPr>
    </w:p>
    <w:p w14:paraId="014D0383" w14:textId="0CF51549" w:rsidR="00CC03DC" w:rsidRDefault="00CC03DC" w:rsidP="00CC03DC">
      <w:pPr>
        <w:pStyle w:val="RubrikB"/>
      </w:pPr>
      <w:bookmarkStart w:id="11" w:name="_Toc88134477"/>
      <w:r>
        <w:t>3. Särskilda överväganden</w:t>
      </w:r>
      <w:bookmarkEnd w:id="11"/>
    </w:p>
    <w:p w14:paraId="313E5123" w14:textId="3EBB675C" w:rsidR="0092761D" w:rsidRDefault="0092761D" w:rsidP="0092761D">
      <w:pPr>
        <w:pStyle w:val="Rubrikmellanrum"/>
      </w:pPr>
    </w:p>
    <w:p w14:paraId="2F8E8C92" w14:textId="2F14C29B" w:rsidR="00A8791F" w:rsidRDefault="00A8791F" w:rsidP="00A8791F">
      <w:pPr>
        <w:pStyle w:val="RubrikC"/>
      </w:pPr>
      <w:bookmarkStart w:id="12" w:name="_Toc88134478"/>
      <w:r>
        <w:t>3.</w:t>
      </w:r>
      <w:r w:rsidR="00055C98">
        <w:t>1</w:t>
      </w:r>
      <w:r>
        <w:t xml:space="preserve"> Straffrätt och ordningsbot - allmänna utgångspunkter</w:t>
      </w:r>
      <w:bookmarkEnd w:id="12"/>
    </w:p>
    <w:p w14:paraId="259D6D21" w14:textId="77777777" w:rsidR="00A8791F" w:rsidRPr="00A8791F" w:rsidRDefault="00A8791F" w:rsidP="00A8791F">
      <w:pPr>
        <w:pStyle w:val="Rubrikmellanrum"/>
      </w:pPr>
    </w:p>
    <w:p w14:paraId="2D873A15" w14:textId="0D6D8C69" w:rsidR="00CC03DC" w:rsidRDefault="00057557" w:rsidP="00CC03DC">
      <w:pPr>
        <w:pStyle w:val="ANormal"/>
      </w:pPr>
      <w:r>
        <w:t>Enligt 27</w:t>
      </w:r>
      <w:r w:rsidR="00027757">
        <w:t> §</w:t>
      </w:r>
      <w:r>
        <w:t xml:space="preserve"> 22</w:t>
      </w:r>
      <w:r w:rsidR="00027757">
        <w:t> punkt</w:t>
      </w:r>
      <w:r>
        <w:t>en i självstyrelselagen faller det utanför den åländska lagstiftningsbehörigheten att lagstifta om straffrätt med undantag från vad som stadgas i 18</w:t>
      </w:r>
      <w:r w:rsidR="00027757">
        <w:t> §</w:t>
      </w:r>
      <w:r>
        <w:t xml:space="preserve"> 25</w:t>
      </w:r>
      <w:r w:rsidR="00027757">
        <w:t> punkt</w:t>
      </w:r>
      <w:r>
        <w:t xml:space="preserve">en i självstyrelselagen enligt vilken Åland har rätt att lagstifta om beläggande med straff och storleken av straff inom </w:t>
      </w:r>
      <w:r>
        <w:lastRenderedPageBreak/>
        <w:t>rättsområden som hör till den åländska lagstiftningsbehörigheten.</w:t>
      </w:r>
      <w:r w:rsidR="00B33690">
        <w:t xml:space="preserve"> </w:t>
      </w:r>
      <w:r>
        <w:t xml:space="preserve">Ålands lagtings lagutskott förde i sitt betänkande </w:t>
      </w:r>
      <w:r w:rsidR="00C74BB4">
        <w:t>nr 5/</w:t>
      </w:r>
      <w:proofErr w:type="gramStart"/>
      <w:r w:rsidR="00C74BB4">
        <w:t>2001-2002</w:t>
      </w:r>
      <w:proofErr w:type="gramEnd"/>
      <w:r w:rsidR="00C74BB4">
        <w:t xml:space="preserve"> </w:t>
      </w:r>
      <w:r>
        <w:t xml:space="preserve">rörande </w:t>
      </w:r>
      <w:r w:rsidR="00C74BB4">
        <w:t>landskapsstyrelsens framställning nr 10/2001-2002 om e</w:t>
      </w:r>
      <w:r w:rsidR="00C74BB4" w:rsidRPr="00C74BB4">
        <w:t>uroanpassning av vissa landskapslagar</w:t>
      </w:r>
      <w:r w:rsidR="00C74BB4">
        <w:t xml:space="preserve"> ett resonemang gällande beläggande med straff och straffets storlek. Där </w:t>
      </w:r>
      <w:r w:rsidR="00D118A2">
        <w:t>anförde</w:t>
      </w:r>
      <w:r w:rsidR="00C74BB4">
        <w:t xml:space="preserve"> lagutskottet </w:t>
      </w:r>
      <w:proofErr w:type="gramStart"/>
      <w:r w:rsidR="00C74BB4">
        <w:t>bl.a.</w:t>
      </w:r>
      <w:proofErr w:type="gramEnd"/>
      <w:r w:rsidR="00C74BB4">
        <w:t xml:space="preserve"> att </w:t>
      </w:r>
      <w:r w:rsidR="00C74BB4" w:rsidRPr="00C74BB4">
        <w:rPr>
          <w:i/>
          <w:iCs/>
        </w:rPr>
        <w:t xml:space="preserve">” Då den nya självstyrelselagen trädde i kraft 1.1.1993 utvidgades landskapets rätt att stadga om straff för överträdelser av landskapslagstiftningen. Lagtinget kan bestämma om beläggande med allmänna och särskilda straff som avses i strafflagen samt om straffets storlek. I regeringens proposition (nr 73/1990 sid. 69) konstaterades dock att lagtinget är bundet av de allmänna stadganden i strafflagen som då ingick i strafflagens </w:t>
      </w:r>
      <w:proofErr w:type="gramStart"/>
      <w:r w:rsidR="00C74BB4" w:rsidRPr="00C74BB4">
        <w:rPr>
          <w:i/>
          <w:iCs/>
        </w:rPr>
        <w:t>1-8</w:t>
      </w:r>
      <w:proofErr w:type="gramEnd"/>
      <w:r w:rsidR="00027757">
        <w:rPr>
          <w:i/>
          <w:iCs/>
        </w:rPr>
        <w:t> kap.</w:t>
      </w:r>
      <w:r w:rsidR="00C74BB4" w:rsidRPr="00C74BB4">
        <w:rPr>
          <w:i/>
          <w:iCs/>
        </w:rPr>
        <w:t>”</w:t>
      </w:r>
    </w:p>
    <w:p w14:paraId="0F538739" w14:textId="3D0881ED" w:rsidR="00CC03DC" w:rsidRPr="003A79C4" w:rsidRDefault="007905DC" w:rsidP="00F55028">
      <w:pPr>
        <w:pStyle w:val="ANormal"/>
      </w:pPr>
      <w:r>
        <w:tab/>
        <w:t>Vid tiden för självstyrelselagens tillkomst föreskrevs bland de allmänna bestämmelserna om straff i 2</w:t>
      </w:r>
      <w:r w:rsidR="00027757">
        <w:t> kap.</w:t>
      </w:r>
      <w:r>
        <w:t xml:space="preserve"> 1</w:t>
      </w:r>
      <w:r w:rsidR="00027757">
        <w:t> §</w:t>
      </w:r>
      <w:r>
        <w:t xml:space="preserve"> 1</w:t>
      </w:r>
      <w:r w:rsidR="00027757">
        <w:t> mom.</w:t>
      </w:r>
      <w:r>
        <w:t xml:space="preserve"> i strafflagen att </w:t>
      </w:r>
      <w:r w:rsidR="00144637" w:rsidRPr="00144637">
        <w:rPr>
          <w:i/>
          <w:iCs/>
        </w:rPr>
        <w:t>”A</w:t>
      </w:r>
      <w:r w:rsidRPr="00144637">
        <w:rPr>
          <w:i/>
          <w:iCs/>
        </w:rPr>
        <w:t>llmänna straff är fängelse, böter och ordningsbot.</w:t>
      </w:r>
      <w:r w:rsidR="00144637" w:rsidRPr="00144637">
        <w:rPr>
          <w:i/>
          <w:iCs/>
        </w:rPr>
        <w:t>”</w:t>
      </w:r>
      <w:r>
        <w:t xml:space="preserve"> I 2</w:t>
      </w:r>
      <w:r w:rsidR="00027757">
        <w:t> kap.</w:t>
      </w:r>
      <w:r>
        <w:t xml:space="preserve"> 4</w:t>
      </w:r>
      <w:r w:rsidR="00027757">
        <w:t> §</w:t>
      </w:r>
      <w:r>
        <w:t xml:space="preserve"> 3</w:t>
      </w:r>
      <w:r w:rsidR="00027757">
        <w:t> mom.</w:t>
      </w:r>
      <w:r>
        <w:t xml:space="preserve"> </w:t>
      </w:r>
      <w:r w:rsidR="00B33690">
        <w:t xml:space="preserve">i strafflagen </w:t>
      </w:r>
      <w:r>
        <w:t xml:space="preserve">föreskrevs vidare att </w:t>
      </w:r>
      <w:r w:rsidR="00144637" w:rsidRPr="00144637">
        <w:rPr>
          <w:i/>
          <w:iCs/>
        </w:rPr>
        <w:t>”Om till markbeloppet fast ordningsbot stadgas särskilt</w:t>
      </w:r>
      <w:r w:rsidR="00144637">
        <w:rPr>
          <w:i/>
          <w:iCs/>
        </w:rPr>
        <w:t>.</w:t>
      </w:r>
      <w:r w:rsidR="00144637" w:rsidRPr="00144637">
        <w:rPr>
          <w:i/>
          <w:iCs/>
        </w:rPr>
        <w:t>”</w:t>
      </w:r>
      <w:r w:rsidR="00144637">
        <w:t xml:space="preserve"> I den numera upphävda men vid sagda tidpunkt gällande ordnings</w:t>
      </w:r>
      <w:r w:rsidR="001F11C2">
        <w:t>-</w:t>
      </w:r>
      <w:proofErr w:type="spellStart"/>
      <w:r w:rsidR="00144637">
        <w:t>botslagen</w:t>
      </w:r>
      <w:proofErr w:type="spellEnd"/>
      <w:r w:rsidR="00144637">
        <w:t xml:space="preserve"> </w:t>
      </w:r>
      <w:r w:rsidR="003A79C4">
        <w:t xml:space="preserve">(FFS 66/1983) </w:t>
      </w:r>
      <w:r w:rsidR="00144637">
        <w:t>föreskr</w:t>
      </w:r>
      <w:r w:rsidR="00B33690">
        <w:t>e</w:t>
      </w:r>
      <w:r w:rsidR="00144637">
        <w:t xml:space="preserve">vs i </w:t>
      </w:r>
      <w:r w:rsidR="003A79C4">
        <w:t>dess 1</w:t>
      </w:r>
      <w:r w:rsidR="00027757">
        <w:t> kap.</w:t>
      </w:r>
      <w:r w:rsidR="003A79C4">
        <w:t xml:space="preserve"> 1</w:t>
      </w:r>
      <w:r w:rsidR="00027757">
        <w:t> §</w:t>
      </w:r>
      <w:r w:rsidR="003A79C4">
        <w:t xml:space="preserve"> 1</w:t>
      </w:r>
      <w:r w:rsidR="00027757">
        <w:t> mom.</w:t>
      </w:r>
      <w:r w:rsidR="003A79C4">
        <w:t xml:space="preserve"> att </w:t>
      </w:r>
      <w:r w:rsidR="003A79C4" w:rsidRPr="003A79C4">
        <w:rPr>
          <w:i/>
          <w:iCs/>
        </w:rPr>
        <w:t xml:space="preserve">”För förseelse som hör till allmänt åtal och för vilken såsom strängaste straff är stadgat böter eller fängelse i högst sex månader kan, i enlighet med vad därom särskilt stadgas genom lag, såsom påföljd </w:t>
      </w:r>
      <w:r w:rsidR="00B33690">
        <w:rPr>
          <w:i/>
          <w:iCs/>
        </w:rPr>
        <w:t xml:space="preserve">stadgas </w:t>
      </w:r>
      <w:r w:rsidR="003A79C4" w:rsidRPr="003A79C4">
        <w:rPr>
          <w:i/>
          <w:iCs/>
        </w:rPr>
        <w:t>en till markbeloppet fast ordningsbot.”</w:t>
      </w:r>
      <w:r w:rsidR="003A79C4">
        <w:t xml:space="preserve"> I samma paragrafs 3</w:t>
      </w:r>
      <w:r w:rsidR="00027757">
        <w:t> mom.</w:t>
      </w:r>
      <w:r w:rsidR="003A79C4">
        <w:t xml:space="preserve"> föreskr</w:t>
      </w:r>
      <w:r w:rsidR="00B33690">
        <w:t>e</w:t>
      </w:r>
      <w:r w:rsidR="003A79C4">
        <w:t xml:space="preserve">vs att om </w:t>
      </w:r>
      <w:r w:rsidR="003A79C4">
        <w:rPr>
          <w:i/>
          <w:iCs/>
        </w:rPr>
        <w:t>” Om ordningsbotens storlek stadgas genom förordning. Ordningsboten får vara högst fyrahundra mark.”</w:t>
      </w:r>
    </w:p>
    <w:p w14:paraId="12799027" w14:textId="0A6D474E" w:rsidR="004904BA" w:rsidRDefault="00CB1241" w:rsidP="00BE0604">
      <w:pPr>
        <w:pStyle w:val="ANormal"/>
      </w:pPr>
      <w:r>
        <w:tab/>
        <w:t xml:space="preserve">Allmänna bestämmelser om ordningsbot </w:t>
      </w:r>
      <w:r w:rsidR="007905DC">
        <w:t xml:space="preserve">finns </w:t>
      </w:r>
      <w:r w:rsidR="002C2A3A">
        <w:t>för närvarande i 2a</w:t>
      </w:r>
      <w:r w:rsidR="00027757">
        <w:t> kap.</w:t>
      </w:r>
      <w:r w:rsidR="001B23BB">
        <w:t xml:space="preserve"> om </w:t>
      </w:r>
      <w:r w:rsidR="001B23BB" w:rsidRPr="001B23BB">
        <w:t>böter, förvandlingsstraff och ordningsbot</w:t>
      </w:r>
      <w:r w:rsidR="002C2A3A">
        <w:t xml:space="preserve"> i strafflagen där det i nämnda kapitels 8</w:t>
      </w:r>
      <w:r w:rsidR="00027757">
        <w:t> §</w:t>
      </w:r>
      <w:r w:rsidR="002C2A3A">
        <w:t xml:space="preserve"> 1</w:t>
      </w:r>
      <w:r w:rsidR="00027757">
        <w:t> mom.</w:t>
      </w:r>
      <w:r w:rsidR="002C2A3A">
        <w:t xml:space="preserve"> </w:t>
      </w:r>
      <w:r w:rsidR="00B33690">
        <w:t xml:space="preserve">föreskrivs </w:t>
      </w:r>
      <w:r w:rsidR="002C2A3A">
        <w:t>att ”</w:t>
      </w:r>
      <w:r w:rsidR="002C2A3A" w:rsidRPr="002C2A3A">
        <w:rPr>
          <w:i/>
          <w:iCs/>
        </w:rPr>
        <w:t>Ordningsbot är ett till beloppet fast förmögenhetsstraff som är lindrigare än böter och som enligt lagen om ordningsbotsförseelser (986/2016) är det enda straffet för vissa förseelser.”</w:t>
      </w:r>
      <w:r w:rsidR="001B23BB">
        <w:t xml:space="preserve"> </w:t>
      </w:r>
      <w:r w:rsidR="008C737E">
        <w:t xml:space="preserve">I denna paragraf fanns tidigare </w:t>
      </w:r>
      <w:r w:rsidR="00BE0604">
        <w:t xml:space="preserve">även </w:t>
      </w:r>
      <w:r w:rsidR="008C737E">
        <w:t xml:space="preserve">en bestämmelse som föreskrev att </w:t>
      </w:r>
      <w:r w:rsidR="00BE0604" w:rsidRPr="00B33690">
        <w:rPr>
          <w:i/>
          <w:iCs/>
        </w:rPr>
        <w:t>”Ordningsboten får vara högst 200 euro. Om beloppet av ordningsboten för olika förseelser bestäms genom förordning av statsrådet.”</w:t>
      </w:r>
      <w:r w:rsidR="00BE0604">
        <w:t xml:space="preserve"> Denna bestämmelse har </w:t>
      </w:r>
      <w:r w:rsidR="001B23B8">
        <w:t>upphört att gälla</w:t>
      </w:r>
      <w:r w:rsidR="00BE0604">
        <w:t xml:space="preserve"> 2016 i anslutning till </w:t>
      </w:r>
      <w:r w:rsidR="00A06183">
        <w:t xml:space="preserve">att lagen om ordningsbotsförseelser (FFS 986/2016) och </w:t>
      </w:r>
      <w:r w:rsidR="00BE0604" w:rsidRPr="00BE0604">
        <w:t>lagen om föreläggande av böter och ordningsbot (FFS 754/2010)</w:t>
      </w:r>
      <w:r w:rsidR="00BE0604">
        <w:t xml:space="preserve"> trädde i kraft samma år genom särskild lagstiftning.</w:t>
      </w:r>
      <w:r w:rsidR="00BE0604">
        <w:rPr>
          <w:rStyle w:val="Fotnotsreferens"/>
        </w:rPr>
        <w:footnoteReference w:id="2"/>
      </w:r>
    </w:p>
    <w:p w14:paraId="2957505C" w14:textId="4508B101" w:rsidR="00C125D3" w:rsidRDefault="00C125D3" w:rsidP="00BE0604">
      <w:pPr>
        <w:pStyle w:val="ANormal"/>
      </w:pPr>
    </w:p>
    <w:p w14:paraId="797B4B53" w14:textId="579E3CA7" w:rsidR="00C125D3" w:rsidRDefault="00C125D3" w:rsidP="00C125D3">
      <w:pPr>
        <w:pStyle w:val="RubrikC"/>
      </w:pPr>
      <w:bookmarkStart w:id="13" w:name="_Toc88134479"/>
      <w:r>
        <w:t>3.</w:t>
      </w:r>
      <w:r w:rsidR="00055C98">
        <w:t>2</w:t>
      </w:r>
      <w:r>
        <w:t xml:space="preserve"> Grundlagsutskottets principiella uttalanden</w:t>
      </w:r>
      <w:bookmarkEnd w:id="13"/>
    </w:p>
    <w:p w14:paraId="6E3543D0" w14:textId="77777777" w:rsidR="00C125D3" w:rsidRPr="00C125D3" w:rsidRDefault="00C125D3" w:rsidP="00C125D3">
      <w:pPr>
        <w:pStyle w:val="Rubrikmellanrum"/>
      </w:pPr>
    </w:p>
    <w:p w14:paraId="4EBC3266" w14:textId="668D4345" w:rsidR="0043348E" w:rsidRDefault="008B45E1" w:rsidP="00BE0604">
      <w:pPr>
        <w:pStyle w:val="ANormal"/>
      </w:pPr>
      <w:r>
        <w:t xml:space="preserve">I samband med riksdagsbehandlingen av regeringens proposition till riksdagen </w:t>
      </w:r>
      <w:r w:rsidR="00A00B52">
        <w:t>med förslag till lagar om ändring av 2 a och 9</w:t>
      </w:r>
      <w:r w:rsidR="00027757">
        <w:t> kap.</w:t>
      </w:r>
      <w:r w:rsidR="00A00B52">
        <w:t xml:space="preserve"> i strafflagen och av 3</w:t>
      </w:r>
      <w:r w:rsidR="00027757">
        <w:t> §</w:t>
      </w:r>
      <w:r w:rsidR="00A00B52">
        <w:t xml:space="preserve"> i lagen om parkeringsövervakning (RP 1/2016 </w:t>
      </w:r>
      <w:proofErr w:type="spellStart"/>
      <w:r w:rsidR="00A00B52">
        <w:t>rd</w:t>
      </w:r>
      <w:proofErr w:type="spellEnd"/>
      <w:r w:rsidR="00A00B52">
        <w:t xml:space="preserve">) </w:t>
      </w:r>
      <w:r w:rsidR="005F58A6">
        <w:t>gjorde</w:t>
      </w:r>
      <w:r w:rsidR="00A00B52">
        <w:t xml:space="preserve"> grundlagsutskottet i sitt utlåtande (</w:t>
      </w:r>
      <w:proofErr w:type="spellStart"/>
      <w:r w:rsidR="00A00B52">
        <w:t>GrUU</w:t>
      </w:r>
      <w:proofErr w:type="spellEnd"/>
      <w:r w:rsidR="00A00B52">
        <w:t xml:space="preserve"> 9/2016 </w:t>
      </w:r>
      <w:proofErr w:type="spellStart"/>
      <w:r w:rsidR="00A00B52">
        <w:t>rd</w:t>
      </w:r>
      <w:proofErr w:type="spellEnd"/>
      <w:r w:rsidR="00A00B52">
        <w:t xml:space="preserve">) </w:t>
      </w:r>
      <w:r w:rsidR="005F58A6">
        <w:t>viktiga principiella uttalanden</w:t>
      </w:r>
      <w:r w:rsidR="00A00B52">
        <w:t>.</w:t>
      </w:r>
      <w:r w:rsidR="00827ACF">
        <w:t xml:space="preserve"> </w:t>
      </w:r>
      <w:r w:rsidR="00673195">
        <w:t xml:space="preserve">I propositionen </w:t>
      </w:r>
      <w:proofErr w:type="gramStart"/>
      <w:r w:rsidR="004D290F">
        <w:t>ifråga</w:t>
      </w:r>
      <w:proofErr w:type="gramEnd"/>
      <w:r w:rsidR="004D290F">
        <w:t xml:space="preserve"> </w:t>
      </w:r>
      <w:r w:rsidR="00DF00F6">
        <w:t>hade</w:t>
      </w:r>
      <w:r w:rsidR="00673195">
        <w:t xml:space="preserve"> regeringen </w:t>
      </w:r>
      <w:r w:rsidR="00531EC0">
        <w:t xml:space="preserve">bl.a. </w:t>
      </w:r>
      <w:r w:rsidR="00DF00F6">
        <w:t xml:space="preserve">föreslagit </w:t>
      </w:r>
      <w:r w:rsidR="004D290F">
        <w:t xml:space="preserve">att </w:t>
      </w:r>
      <w:r w:rsidR="00531EC0">
        <w:t>o</w:t>
      </w:r>
      <w:r w:rsidR="00673195">
        <w:t xml:space="preserve">rdningsbotens högsta belopp </w:t>
      </w:r>
      <w:r w:rsidR="00531EC0">
        <w:t xml:space="preserve">skulle </w:t>
      </w:r>
      <w:r w:rsidR="00673195">
        <w:t>höj</w:t>
      </w:r>
      <w:r w:rsidR="00531EC0">
        <w:t>a</w:t>
      </w:r>
      <w:r w:rsidR="00673195">
        <w:t>s från 200 euro till 400 euro.</w:t>
      </w:r>
      <w:r w:rsidR="004D290F">
        <w:t xml:space="preserve"> Utskottet konstaterade att d</w:t>
      </w:r>
      <w:r w:rsidR="00673195">
        <w:t>e straffarter som föresl</w:t>
      </w:r>
      <w:r w:rsidR="004D290F">
        <w:t>og</w:t>
      </w:r>
      <w:r w:rsidR="00673195">
        <w:t>s bli höjda</w:t>
      </w:r>
      <w:r w:rsidR="00DF00F6">
        <w:t>,</w:t>
      </w:r>
      <w:r w:rsidR="004D290F">
        <w:t xml:space="preserve"> däribland ordningsboten</w:t>
      </w:r>
      <w:r w:rsidR="00DF00F6">
        <w:t>,</w:t>
      </w:r>
      <w:r w:rsidR="004D290F">
        <w:t xml:space="preserve"> </w:t>
      </w:r>
      <w:r w:rsidR="00673195">
        <w:t xml:space="preserve">är förmögenhetsstraff som innebär ett ingrepp i den dömdes egendom. </w:t>
      </w:r>
      <w:r w:rsidR="004D290F">
        <w:t>Utskottet ansåg att p</w:t>
      </w:r>
      <w:r w:rsidR="00673195">
        <w:t xml:space="preserve">ropositionen följaktligen </w:t>
      </w:r>
      <w:r w:rsidR="004D290F">
        <w:t xml:space="preserve">var </w:t>
      </w:r>
      <w:r w:rsidR="00673195">
        <w:t>av betydelse med tanke på de grundläggande fri- och rättigheterna.</w:t>
      </w:r>
    </w:p>
    <w:p w14:paraId="299BE802" w14:textId="545A93BE" w:rsidR="00DF00F6" w:rsidRDefault="0043348E" w:rsidP="00BE0604">
      <w:pPr>
        <w:pStyle w:val="ANormal"/>
      </w:pPr>
      <w:r>
        <w:tab/>
      </w:r>
      <w:r w:rsidR="002A27B4">
        <w:t>Utskottet var av den uppfattningen att a</w:t>
      </w:r>
      <w:r w:rsidR="00342226">
        <w:t xml:space="preserve">v kravet på att inskränkningar i de grundläggande fri- och rättigheterna ska vara godtagbara följer att ett tungt vägande samhälleligt behov av en kriminalisering måste kunna påvisas. </w:t>
      </w:r>
      <w:r w:rsidR="002A27B4">
        <w:t>Även</w:t>
      </w:r>
      <w:r w:rsidR="00342226">
        <w:t xml:space="preserve"> grunden för inskränkningarna måste vara godtagbar inom systemet med de grundläggande fri</w:t>
      </w:r>
      <w:r w:rsidR="00936EB7">
        <w:t xml:space="preserve">- </w:t>
      </w:r>
      <w:r w:rsidR="00342226">
        <w:t>och rättigheterna.</w:t>
      </w:r>
      <w:r>
        <w:t xml:space="preserve"> </w:t>
      </w:r>
      <w:r w:rsidR="00E81646">
        <w:t xml:space="preserve">Utskottet ansåg att denna </w:t>
      </w:r>
      <w:r w:rsidR="00E81646">
        <w:lastRenderedPageBreak/>
        <w:t xml:space="preserve">utgångspunkt även gäller ändringar i det straffrättsliga påföljdssystemet, eftersom det finns ett samband mellan straffen och förbuden i strafflagen och syftet med straffen är att stödja och effektivisera förbuden. </w:t>
      </w:r>
      <w:r w:rsidR="00DF00F6">
        <w:t>I utlåtandet hänvisades till tidigare utskottsutlåtanden där</w:t>
      </w:r>
      <w:r w:rsidR="00E81646">
        <w:t xml:space="preserve"> grundlagsutskottet till exempel </w:t>
      </w:r>
      <w:r w:rsidR="00DF00F6">
        <w:t xml:space="preserve">hade anfört att </w:t>
      </w:r>
      <w:r w:rsidR="00E81646">
        <w:t xml:space="preserve">en förbättring av skyddet av brottsoffer (se </w:t>
      </w:r>
      <w:proofErr w:type="spellStart"/>
      <w:r w:rsidR="00E81646">
        <w:t>GrUU</w:t>
      </w:r>
      <w:proofErr w:type="spellEnd"/>
      <w:r w:rsidR="00E81646">
        <w:t xml:space="preserve"> 6/ 2014 </w:t>
      </w:r>
      <w:proofErr w:type="spellStart"/>
      <w:r w:rsidR="00E81646">
        <w:t>rd</w:t>
      </w:r>
      <w:proofErr w:type="spellEnd"/>
      <w:r w:rsidR="00E81646">
        <w:t xml:space="preserve">) och av vissa andra utsatta grupper (se </w:t>
      </w:r>
      <w:proofErr w:type="spellStart"/>
      <w:r w:rsidR="00E81646">
        <w:t>GrUU</w:t>
      </w:r>
      <w:proofErr w:type="spellEnd"/>
      <w:r w:rsidR="00E81646">
        <w:t xml:space="preserve"> 17/2006 </w:t>
      </w:r>
      <w:proofErr w:type="spellStart"/>
      <w:r w:rsidR="00E81646">
        <w:t>rd</w:t>
      </w:r>
      <w:proofErr w:type="spellEnd"/>
      <w:r w:rsidR="00E81646">
        <w:t xml:space="preserve">) samt säkerhetsaspekter som hänför sig till olika slags rättsobjekt (se </w:t>
      </w:r>
      <w:proofErr w:type="gramStart"/>
      <w:r w:rsidR="00E81646">
        <w:t>t.ex.</w:t>
      </w:r>
      <w:proofErr w:type="gramEnd"/>
      <w:r w:rsidR="00E81646">
        <w:t xml:space="preserve"> </w:t>
      </w:r>
      <w:proofErr w:type="spellStart"/>
      <w:r w:rsidR="00E81646">
        <w:t>GrUU</w:t>
      </w:r>
      <w:proofErr w:type="spellEnd"/>
      <w:r w:rsidR="00E81646">
        <w:t xml:space="preserve"> 20/2002 </w:t>
      </w:r>
      <w:proofErr w:type="spellStart"/>
      <w:r w:rsidR="00E81646">
        <w:t>rd</w:t>
      </w:r>
      <w:proofErr w:type="spellEnd"/>
      <w:r w:rsidR="00E81646">
        <w:t xml:space="preserve"> och </w:t>
      </w:r>
      <w:proofErr w:type="spellStart"/>
      <w:r w:rsidR="00E81646">
        <w:t>GrUU</w:t>
      </w:r>
      <w:proofErr w:type="spellEnd"/>
      <w:r w:rsidR="00E81646">
        <w:t xml:space="preserve"> 26/2014 </w:t>
      </w:r>
      <w:proofErr w:type="spellStart"/>
      <w:r w:rsidR="00E81646">
        <w:t>rd</w:t>
      </w:r>
      <w:proofErr w:type="spellEnd"/>
      <w:r w:rsidR="00E81646">
        <w:t>) utg</w:t>
      </w:r>
      <w:r w:rsidR="00DF00F6">
        <w:t>ör</w:t>
      </w:r>
      <w:r w:rsidR="00E81646">
        <w:t xml:space="preserve"> godtagbara grunder för kriminalisering. Utskottet hänvisade </w:t>
      </w:r>
      <w:r>
        <w:t xml:space="preserve">vidare </w:t>
      </w:r>
      <w:r w:rsidR="00E81646">
        <w:t xml:space="preserve">till </w:t>
      </w:r>
      <w:r w:rsidR="00DF00F6">
        <w:t xml:space="preserve">andra </w:t>
      </w:r>
      <w:r w:rsidR="00E81646">
        <w:t>tidigare utlåtanden där utskottet uttryckligen sagt att fiskala mål inte är godtagbara skäl för en straffrättslig lagstiftning om påföljder (</w:t>
      </w:r>
      <w:proofErr w:type="spellStart"/>
      <w:r w:rsidR="00E81646">
        <w:t>GrUU</w:t>
      </w:r>
      <w:proofErr w:type="spellEnd"/>
      <w:r w:rsidR="00E81646">
        <w:t xml:space="preserve"> 61/2014 </w:t>
      </w:r>
      <w:proofErr w:type="spellStart"/>
      <w:r w:rsidR="00E81646">
        <w:t>rd</w:t>
      </w:r>
      <w:proofErr w:type="spellEnd"/>
      <w:r w:rsidR="00E81646">
        <w:t>).</w:t>
      </w:r>
    </w:p>
    <w:p w14:paraId="5BC9B272" w14:textId="46469D36" w:rsidR="00E81646" w:rsidRDefault="00DF00F6" w:rsidP="00BE0604">
      <w:pPr>
        <w:pStyle w:val="ANormal"/>
      </w:pPr>
      <w:r>
        <w:tab/>
      </w:r>
      <w:r w:rsidR="0043348E">
        <w:t>Det anfördes i utlåtandet att när</w:t>
      </w:r>
      <w:r w:rsidR="00E81646">
        <w:t xml:space="preserve"> grundlagsutskottet </w:t>
      </w:r>
      <w:r w:rsidR="0043348E">
        <w:t xml:space="preserve">tidigare </w:t>
      </w:r>
      <w:r w:rsidR="00E81646">
        <w:t>bedöm</w:t>
      </w:r>
      <w:r w:rsidR="0043348E">
        <w:t>t en</w:t>
      </w:r>
      <w:r w:rsidR="00E81646">
        <w:t xml:space="preserve"> regering</w:t>
      </w:r>
      <w:r w:rsidR="0043348E">
        <w:t>s</w:t>
      </w:r>
      <w:r w:rsidR="00E81646">
        <w:t xml:space="preserve">proposition om en brottsofferavgift </w:t>
      </w:r>
      <w:r w:rsidR="0043348E">
        <w:t>hade</w:t>
      </w:r>
      <w:r w:rsidR="00E81646">
        <w:t xml:space="preserve"> utskottet </w:t>
      </w:r>
      <w:r>
        <w:t xml:space="preserve">där </w:t>
      </w:r>
      <w:r w:rsidR="0043348E">
        <w:t xml:space="preserve">fäst </w:t>
      </w:r>
      <w:r w:rsidR="00E81646">
        <w:t>uppmärksamhet vid det som sades i motiven</w:t>
      </w:r>
      <w:r w:rsidR="0043348E">
        <w:t xml:space="preserve"> till den propositionen</w:t>
      </w:r>
      <w:r w:rsidR="00E81646">
        <w:t xml:space="preserve">, nämligen att </w:t>
      </w:r>
      <w:r w:rsidR="00225E62">
        <w:t xml:space="preserve">det </w:t>
      </w:r>
      <w:r w:rsidR="00E81646">
        <w:t>i fortsättningen bör se</w:t>
      </w:r>
      <w:r w:rsidR="00225E62">
        <w:t>s</w:t>
      </w:r>
      <w:r w:rsidR="00E81646">
        <w:t xml:space="preserve"> till att intäkterna från brottsofferavgifterna hålls på så hög nivå att systemet är lönsamt och att efter det att systemet tagits i bruk </w:t>
      </w:r>
      <w:r w:rsidR="00225E62">
        <w:t xml:space="preserve">det </w:t>
      </w:r>
      <w:r w:rsidR="00E81646">
        <w:t>bör följa</w:t>
      </w:r>
      <w:r w:rsidR="00225E62">
        <w:t>s</w:t>
      </w:r>
      <w:r w:rsidR="00E81646">
        <w:t xml:space="preserve"> upp hur penningsummorna inflyter. Utskottet </w:t>
      </w:r>
      <w:r w:rsidR="0043348E">
        <w:t xml:space="preserve">hade </w:t>
      </w:r>
      <w:r w:rsidR="00E81646">
        <w:t>ans</w:t>
      </w:r>
      <w:r w:rsidR="0043348E">
        <w:t>ett</w:t>
      </w:r>
      <w:r w:rsidR="00E81646">
        <w:t xml:space="preserve"> att </w:t>
      </w:r>
      <w:r w:rsidR="0043348E">
        <w:t>ett sådant</w:t>
      </w:r>
      <w:r w:rsidR="00E81646">
        <w:t xml:space="preserve"> ställningstagande</w:t>
      </w:r>
      <w:r w:rsidR="0043348E">
        <w:t xml:space="preserve"> från regeringens sida</w:t>
      </w:r>
      <w:r w:rsidR="00E81646">
        <w:t xml:space="preserve"> var synnerligen problematiskt, eftersom fiskala mål inte enligt utskottets bedömning är godtagbara skäl för en lagstiftning om påföljder (</w:t>
      </w:r>
      <w:proofErr w:type="spellStart"/>
      <w:r w:rsidR="00E81646">
        <w:t>GrUU</w:t>
      </w:r>
      <w:proofErr w:type="spellEnd"/>
      <w:r w:rsidR="00E81646">
        <w:t xml:space="preserve"> 61/2014 </w:t>
      </w:r>
      <w:proofErr w:type="spellStart"/>
      <w:r w:rsidR="00E81646">
        <w:t>rd</w:t>
      </w:r>
      <w:proofErr w:type="spellEnd"/>
      <w:r w:rsidR="00E81646">
        <w:t>).</w:t>
      </w:r>
    </w:p>
    <w:p w14:paraId="31CD4BC0" w14:textId="3D852FA6" w:rsidR="007E1A79" w:rsidRDefault="00587481" w:rsidP="00BE0604">
      <w:pPr>
        <w:pStyle w:val="ANormal"/>
      </w:pPr>
      <w:r>
        <w:tab/>
      </w:r>
      <w:r w:rsidR="007E1A79">
        <w:t xml:space="preserve">Det allmänt erkända syftet med straffsystemet, även bötessystemet, är </w:t>
      </w:r>
      <w:r>
        <w:t xml:space="preserve">enligt vad utskottet anfört i utlåtandet </w:t>
      </w:r>
      <w:proofErr w:type="gramStart"/>
      <w:r>
        <w:t>ifråga</w:t>
      </w:r>
      <w:proofErr w:type="gramEnd"/>
      <w:r>
        <w:t xml:space="preserve"> </w:t>
      </w:r>
      <w:r w:rsidR="007E1A79">
        <w:t xml:space="preserve">att förebygga brott genom olika påverkansmekanismer och att minimera det lidande och de kostnader som brottsligheten och brottslighetskontrollen medför och se till att de drabbar de olika parterna på ett rättvist sätt. Det är lagstiftarens uppgift att utforma de olika delfaktorerna i systemet på bästa sätt för att minska de mänskliga och materiella skador och det lidande som brottsligheten och kontrollen förorsakar. Den motiverade straffnivån bestäms utifrån rättviseaspekter och straffens brottsförebyggande effekt, den belastning och det lidande tillämpningen av systemet orsakar i samhället och på individnivån samt vilka andra medel som kunde användas för att nå samma mål. Denna typ av allmänna synpunkter och mål som ligger till grund för straffsystemet kan </w:t>
      </w:r>
      <w:r>
        <w:t xml:space="preserve">enligt utskottet </w:t>
      </w:r>
      <w:r w:rsidR="007E1A79">
        <w:t xml:space="preserve">anses godtagbara med hänsyn till de grundläggande fri- och rättigheterna. Det är </w:t>
      </w:r>
      <w:r>
        <w:t xml:space="preserve">enligt utskottet </w:t>
      </w:r>
      <w:r w:rsidR="007E1A79">
        <w:t xml:space="preserve">i sig klart att </w:t>
      </w:r>
      <w:r w:rsidR="00DF00F6">
        <w:t xml:space="preserve">Finlands grundlag (FFS 731/1999, </w:t>
      </w:r>
      <w:r w:rsidR="00DF00F6" w:rsidRPr="00DF00F6">
        <w:rPr>
          <w:i/>
          <w:iCs/>
        </w:rPr>
        <w:t>grundlagen</w:t>
      </w:r>
      <w:r w:rsidR="00DF00F6">
        <w:t xml:space="preserve">) </w:t>
      </w:r>
      <w:r w:rsidR="007E1A79">
        <w:t xml:space="preserve">inte sätter några strikta gränser för höjningar av bötesstraffen så länge det finns godtagbara grunder för ändringarna. Utskottet </w:t>
      </w:r>
      <w:r w:rsidR="005F194C">
        <w:t xml:space="preserve">anförde att utskottet </w:t>
      </w:r>
      <w:r w:rsidR="007E1A79">
        <w:t xml:space="preserve">tvärtom </w:t>
      </w:r>
      <w:r w:rsidR="005F194C">
        <w:t xml:space="preserve">tidigare har </w:t>
      </w:r>
      <w:r w:rsidR="007E1A79">
        <w:t>konstaterat att lagstiftaren har rätt stort spelrum vid kriminalisering (</w:t>
      </w:r>
      <w:proofErr w:type="spellStart"/>
      <w:r w:rsidR="007E1A79">
        <w:t>GrUU</w:t>
      </w:r>
      <w:proofErr w:type="spellEnd"/>
      <w:r w:rsidR="007E1A79">
        <w:t xml:space="preserve"> 23/1997 </w:t>
      </w:r>
      <w:proofErr w:type="spellStart"/>
      <w:r w:rsidR="007E1A79">
        <w:t>rd</w:t>
      </w:r>
      <w:proofErr w:type="spellEnd"/>
      <w:r w:rsidR="007E1A79">
        <w:t>). Utskottet framh</w:t>
      </w:r>
      <w:r w:rsidR="00DF00F6">
        <w:t>öll</w:t>
      </w:r>
      <w:r w:rsidR="007E1A79">
        <w:t xml:space="preserve"> att grundlagens stiftare inte hade för avsikt att kontrollera straffsystemets allmänna utveckling</w:t>
      </w:r>
      <w:r w:rsidR="00DF00F6">
        <w:t>.</w:t>
      </w:r>
    </w:p>
    <w:p w14:paraId="73C10922" w14:textId="4D76F881" w:rsidR="007E1A79" w:rsidRDefault="00981A5F" w:rsidP="00BE0604">
      <w:pPr>
        <w:pStyle w:val="ANormal"/>
      </w:pPr>
      <w:r>
        <w:tab/>
        <w:t>En annan viktig synpunkt som utskottet framför</w:t>
      </w:r>
      <w:r w:rsidR="00862C0A">
        <w:t>de</w:t>
      </w:r>
      <w:r>
        <w:t xml:space="preserve"> är att en straffpåföljds stränghet måste också stå i rätt proportion till gärningens klandervärdhet. Dessutom måste straffsystemet enligt utskottet genomgående uppfylla det proportionalitetskravet. </w:t>
      </w:r>
      <w:r w:rsidR="00862C0A">
        <w:t xml:space="preserve">Utskottet konstaterade även vad gäller de i regeringspropositionen </w:t>
      </w:r>
      <w:r w:rsidR="007E1A79">
        <w:t xml:space="preserve">föreslagna ändringarna </w:t>
      </w:r>
      <w:r w:rsidR="00862C0A">
        <w:t xml:space="preserve">att de hade </w:t>
      </w:r>
      <w:r w:rsidR="007E1A79">
        <w:t xml:space="preserve">betydande konsekvenser </w:t>
      </w:r>
      <w:r w:rsidR="00862C0A">
        <w:t xml:space="preserve">men att de inte </w:t>
      </w:r>
      <w:r w:rsidR="007E1A79">
        <w:t xml:space="preserve">skärper förmögenhetsstraffen så mycket att dessa skulle stå i klart missförhållande till gärningens klandervärdhet. </w:t>
      </w:r>
      <w:r w:rsidR="00862C0A">
        <w:t>Vad gällde</w:t>
      </w:r>
      <w:r w:rsidR="007E1A79">
        <w:t xml:space="preserve"> kravet på proportionalitet </w:t>
      </w:r>
      <w:r w:rsidR="00862C0A">
        <w:t>ansågs</w:t>
      </w:r>
      <w:r w:rsidR="007E1A79">
        <w:t xml:space="preserve"> propositionen således </w:t>
      </w:r>
      <w:r w:rsidR="00862C0A">
        <w:t xml:space="preserve">rymmas </w:t>
      </w:r>
      <w:r w:rsidR="007E1A79">
        <w:t xml:space="preserve">inom ramen för lagstiftarens prövningsmarginal, om </w:t>
      </w:r>
      <w:r w:rsidR="0035741A">
        <w:t xml:space="preserve">det i propositionen </w:t>
      </w:r>
      <w:r w:rsidR="00862C0A">
        <w:t>i övrigt kunnat</w:t>
      </w:r>
      <w:r w:rsidR="007E1A79">
        <w:t xml:space="preserve"> påvisa</w:t>
      </w:r>
      <w:r w:rsidR="0035741A">
        <w:t>s</w:t>
      </w:r>
      <w:r w:rsidR="007E1A79">
        <w:t xml:space="preserve"> godtagbara grunder för den på det sätt som ange</w:t>
      </w:r>
      <w:r w:rsidR="00862C0A">
        <w:t>s</w:t>
      </w:r>
      <w:r w:rsidR="007E1A79">
        <w:t xml:space="preserve"> ovan</w:t>
      </w:r>
      <w:r w:rsidR="00862C0A">
        <w:t xml:space="preserve">, något som utskottet dock ansåg att </w:t>
      </w:r>
      <w:r w:rsidR="0035741A">
        <w:t>det</w:t>
      </w:r>
      <w:r w:rsidR="00862C0A">
        <w:t xml:space="preserve"> inte gjort</w:t>
      </w:r>
      <w:r w:rsidR="0035741A">
        <w:t>s</w:t>
      </w:r>
      <w:r w:rsidR="00862C0A">
        <w:t xml:space="preserve"> i regeringspropositionen </w:t>
      </w:r>
      <w:proofErr w:type="gramStart"/>
      <w:r w:rsidR="00862C0A">
        <w:t>ifråga</w:t>
      </w:r>
      <w:proofErr w:type="gramEnd"/>
      <w:r w:rsidR="0035741A">
        <w:t>,</w:t>
      </w:r>
      <w:r w:rsidR="00862C0A">
        <w:t xml:space="preserve"> i tillräckligt hög grad.</w:t>
      </w:r>
    </w:p>
    <w:p w14:paraId="6B95E349" w14:textId="7162B98B" w:rsidR="00055C98" w:rsidRDefault="00055C98" w:rsidP="00BE0604">
      <w:pPr>
        <w:pStyle w:val="ANormal"/>
      </w:pPr>
    </w:p>
    <w:p w14:paraId="6C8BE390" w14:textId="77777777" w:rsidR="00055C98" w:rsidRPr="0092761D" w:rsidRDefault="00055C98" w:rsidP="00055C98">
      <w:pPr>
        <w:pStyle w:val="RubrikC"/>
      </w:pPr>
      <w:bookmarkStart w:id="14" w:name="_Toc88134480"/>
      <w:r>
        <w:t>3.3 Vissa avvikelser på nivån på ordningsbotsbelopp - orsaker</w:t>
      </w:r>
      <w:bookmarkEnd w:id="14"/>
    </w:p>
    <w:p w14:paraId="4DA60C1D" w14:textId="77777777" w:rsidR="00055C98" w:rsidRDefault="00055C98" w:rsidP="00055C98">
      <w:pPr>
        <w:pStyle w:val="Rubrikmellanrum"/>
      </w:pPr>
    </w:p>
    <w:p w14:paraId="762B97AA" w14:textId="77777777" w:rsidR="00055C98" w:rsidRDefault="00055C98" w:rsidP="00055C98">
      <w:pPr>
        <w:pStyle w:val="ANormal"/>
      </w:pPr>
      <w:r>
        <w:t xml:space="preserve">I förslaget vad gäller den straffrättsliga påföljden för köp eller erbjudande mot betalning av sexuella tjänster framgår att ordningsbotsbeloppet uppgår till 200 euro. Härvid föreligger en avvikelse från motsvarande bestämmelser </w:t>
      </w:r>
      <w:r>
        <w:lastRenderedPageBreak/>
        <w:t xml:space="preserve">i </w:t>
      </w:r>
      <w:r w:rsidRPr="003A7F64">
        <w:t>lagen om ordningsbotsförseelser</w:t>
      </w:r>
      <w:r>
        <w:t xml:space="preserve"> där beloppet uppgår till 100 euro. Skälet härtill är att landskapsregeringen ser allvarligt på den här typen av förseelser och anser därför att det är viktigt att på det sätt som anges i förslaget tydligt markera mot brottslighet som förekommer som ett led i traffickingverksamhet, en verksamhet som alltid får allvarliga negativa konsekvenser, i synnerhet för de personer som tvingas in i människohandeln och därinom erbjuda sexuella tjänster till utomstående. Med hänsyn till det geografiska läget och kommunikationerna till och från Åland, med den risk för ökad droghandel och tilltagande traffickingverksamhet som därmed kan uppstå, finns det enligt landskapsregeringens uppfattning en vägande kriminalpolitisk orsak att sätta nivån på ordningsboten på i lagförslaget nedan angivet sätt, dvs. 200 euro.</w:t>
      </w:r>
    </w:p>
    <w:p w14:paraId="01663A84" w14:textId="77777777" w:rsidR="00055C98" w:rsidRDefault="00055C98" w:rsidP="00055C98">
      <w:pPr>
        <w:pStyle w:val="ANormal"/>
      </w:pPr>
    </w:p>
    <w:p w14:paraId="6E4A0FED" w14:textId="2E0C9D6C" w:rsidR="004904BA" w:rsidRDefault="00C125D3" w:rsidP="00C125D3">
      <w:pPr>
        <w:pStyle w:val="RubrikC"/>
      </w:pPr>
      <w:bookmarkStart w:id="15" w:name="_Toc88134481"/>
      <w:r>
        <w:t>3.4. S</w:t>
      </w:r>
      <w:r w:rsidR="00055C98">
        <w:t>ammanfattning</w:t>
      </w:r>
      <w:bookmarkEnd w:id="15"/>
    </w:p>
    <w:p w14:paraId="296AE873" w14:textId="77777777" w:rsidR="00C125D3" w:rsidRPr="00C125D3" w:rsidRDefault="00C125D3" w:rsidP="00C125D3">
      <w:pPr>
        <w:pStyle w:val="Rubrikmellanrum"/>
      </w:pPr>
    </w:p>
    <w:p w14:paraId="03B4F439" w14:textId="1F32D531" w:rsidR="009C5E55" w:rsidRDefault="00162C88" w:rsidP="00162C88">
      <w:pPr>
        <w:pStyle w:val="ANormal"/>
      </w:pPr>
      <w:r>
        <w:t xml:space="preserve">Slutsatsen av </w:t>
      </w:r>
      <w:r w:rsidR="007855B2">
        <w:t xml:space="preserve">de förda resonemangen ovan är </w:t>
      </w:r>
      <w:r w:rsidR="009D6794">
        <w:t xml:space="preserve">å ena sidan </w:t>
      </w:r>
      <w:r w:rsidR="007855B2">
        <w:t xml:space="preserve">att </w:t>
      </w:r>
      <w:r w:rsidR="00F30794">
        <w:t>det faller utanför den åländska behörigheten att lagstiftningsvägen definiera</w:t>
      </w:r>
      <w:r w:rsidR="007855B2">
        <w:t xml:space="preserve"> ordningsboten som </w:t>
      </w:r>
      <w:r w:rsidR="00E26B72">
        <w:t>sanktion betraktad</w:t>
      </w:r>
      <w:r w:rsidR="007855B2">
        <w:t xml:space="preserve"> och </w:t>
      </w:r>
      <w:r w:rsidR="00F30794">
        <w:t xml:space="preserve">att sedan </w:t>
      </w:r>
      <w:r w:rsidR="007855B2">
        <w:t>kategorisera</w:t>
      </w:r>
      <w:r w:rsidR="00F30794">
        <w:t xml:space="preserve"> den</w:t>
      </w:r>
      <w:r w:rsidR="007855B2">
        <w:t xml:space="preserve"> i förhållande till övriga sanktionskategorier, böter och fängelse. Det betyder i sin tur att Åland måste hålla sig innanför </w:t>
      </w:r>
      <w:r w:rsidR="00163ABD">
        <w:t>vissa</w:t>
      </w:r>
      <w:r w:rsidR="007855B2">
        <w:t xml:space="preserve"> yttre gränser för till vilket belopp ordningsboten ska fastställas. I annat fall skulle Åland ha rätt att fastställa ordningsboten till vilket </w:t>
      </w:r>
      <w:r w:rsidR="009D6794">
        <w:t>belopp som helst</w:t>
      </w:r>
      <w:r w:rsidR="00E26B72">
        <w:t>,</w:t>
      </w:r>
      <w:r w:rsidR="009D6794">
        <w:t xml:space="preserve"> men det skulle </w:t>
      </w:r>
      <w:r w:rsidR="00E26B72">
        <w:t xml:space="preserve">då kunna </w:t>
      </w:r>
      <w:r w:rsidR="009D6794">
        <w:t>leda till situationer där ordningsboten skulle vara mer kännbar än böter</w:t>
      </w:r>
      <w:r w:rsidR="00E26B72">
        <w:t>,</w:t>
      </w:r>
      <w:r w:rsidR="009D6794">
        <w:t xml:space="preserve"> vilket skulle </w:t>
      </w:r>
      <w:r w:rsidR="001B3650">
        <w:t>medföra</w:t>
      </w:r>
      <w:r w:rsidR="009D6794">
        <w:t xml:space="preserve"> att lindrighetskravet i 2a</w:t>
      </w:r>
      <w:r w:rsidR="00027757">
        <w:t> kap.</w:t>
      </w:r>
      <w:r w:rsidR="009D6794">
        <w:t xml:space="preserve"> 8</w:t>
      </w:r>
      <w:r w:rsidR="00027757">
        <w:t> §</w:t>
      </w:r>
      <w:r w:rsidR="009D6794">
        <w:t xml:space="preserve"> 1</w:t>
      </w:r>
      <w:r w:rsidR="00027757">
        <w:t> mom.</w:t>
      </w:r>
      <w:r w:rsidR="009D6794">
        <w:t xml:space="preserve"> i strafflagen åsidosätts</w:t>
      </w:r>
      <w:r w:rsidR="00E26B72">
        <w:t>.</w:t>
      </w:r>
      <w:r w:rsidR="009D6794">
        <w:t xml:space="preserve"> </w:t>
      </w:r>
      <w:r w:rsidR="00E26B72">
        <w:t>Detta skulle</w:t>
      </w:r>
      <w:r w:rsidR="009D6794">
        <w:t xml:space="preserve"> i </w:t>
      </w:r>
      <w:r w:rsidR="001B3650">
        <w:t xml:space="preserve">sin tur i </w:t>
      </w:r>
      <w:r w:rsidR="009D6794">
        <w:t xml:space="preserve">praktiken innebära </w:t>
      </w:r>
      <w:r w:rsidR="001B3650">
        <w:t xml:space="preserve">att </w:t>
      </w:r>
      <w:r w:rsidR="0035741A">
        <w:t>det</w:t>
      </w:r>
      <w:r w:rsidR="009D6794">
        <w:t xml:space="preserve"> genom landskapslag </w:t>
      </w:r>
      <w:r w:rsidR="001B3650">
        <w:t>införde</w:t>
      </w:r>
      <w:r w:rsidR="0035741A">
        <w:t>s</w:t>
      </w:r>
      <w:r w:rsidR="009D6794">
        <w:t xml:space="preserve"> en ny sanktionskategori på Åland </w:t>
      </w:r>
      <w:r w:rsidR="00E26B72">
        <w:t>(e</w:t>
      </w:r>
      <w:r w:rsidR="009C5E55">
        <w:t>n</w:t>
      </w:r>
      <w:r w:rsidR="00E26B72">
        <w:t xml:space="preserve"> ny</w:t>
      </w:r>
      <w:r w:rsidR="009C5E55">
        <w:t xml:space="preserve"> </w:t>
      </w:r>
      <w:r w:rsidR="00E26B72">
        <w:t xml:space="preserve">typ av ordningsbot som är strängare än böter) </w:t>
      </w:r>
      <w:r w:rsidR="009D6794">
        <w:t xml:space="preserve">och därmed </w:t>
      </w:r>
      <w:r w:rsidR="001B3650">
        <w:t xml:space="preserve">gör sig skyldig till </w:t>
      </w:r>
      <w:r w:rsidR="009D6794">
        <w:t>en behörighetsöverskridning</w:t>
      </w:r>
      <w:r w:rsidR="00E26B72">
        <w:t xml:space="preserve"> i strid med självstyrelselagens 27</w:t>
      </w:r>
      <w:r w:rsidR="00027757">
        <w:t> §</w:t>
      </w:r>
      <w:r w:rsidR="00E26B72">
        <w:t xml:space="preserve"> 22</w:t>
      </w:r>
      <w:r w:rsidR="00027757">
        <w:t> punkt</w:t>
      </w:r>
      <w:r w:rsidR="009D6794">
        <w:t xml:space="preserve">. Å andra sidan </w:t>
      </w:r>
      <w:r w:rsidR="00A32835">
        <w:t xml:space="preserve">är en rimlig tolkning av </w:t>
      </w:r>
      <w:r w:rsidR="009D6794">
        <w:t xml:space="preserve">ovannämnda lagutskottsbetänkande </w:t>
      </w:r>
      <w:r w:rsidR="00A32835">
        <w:t xml:space="preserve">och av förarbetena till lagen om föreläggande av böter och ordningsbot och lagen om ordningsbotsförseelser att Åland har rätt att </w:t>
      </w:r>
      <w:r w:rsidR="001B3650">
        <w:t>oberoende av hur de fastställ</w:t>
      </w:r>
      <w:r w:rsidR="00FF4C7A">
        <w:t xml:space="preserve">ts i lagen om ordningsbotsförseelser, </w:t>
      </w:r>
      <w:r w:rsidR="00A32835">
        <w:t xml:space="preserve">fastställa </w:t>
      </w:r>
      <w:r w:rsidR="001B3650">
        <w:t xml:space="preserve">nivån på </w:t>
      </w:r>
      <w:r w:rsidR="00A32835">
        <w:t>ordningsbotsbelopp</w:t>
      </w:r>
      <w:r w:rsidR="001B3650">
        <w:t>en</w:t>
      </w:r>
      <w:r w:rsidR="00A32835">
        <w:t xml:space="preserve"> för förseelser som ligger inom rättsområden</w:t>
      </w:r>
      <w:r w:rsidR="001B3650">
        <w:t>,</w:t>
      </w:r>
      <w:r w:rsidR="00A32835">
        <w:t xml:space="preserve"> varom Åland har rätt </w:t>
      </w:r>
      <w:r w:rsidR="009C5E55">
        <w:t>att lagstifta</w:t>
      </w:r>
      <w:r w:rsidR="00FF4C7A">
        <w:t>.</w:t>
      </w:r>
      <w:r w:rsidR="001B3650">
        <w:t xml:space="preserve"> </w:t>
      </w:r>
      <w:r w:rsidR="00FF4C7A">
        <w:t xml:space="preserve">Detta </w:t>
      </w:r>
      <w:r w:rsidR="009C5E55">
        <w:t xml:space="preserve">så länge </w:t>
      </w:r>
      <w:r w:rsidR="0035741A">
        <w:t>Åland</w:t>
      </w:r>
      <w:r w:rsidR="009C5E55">
        <w:t xml:space="preserve"> håller sig </w:t>
      </w:r>
      <w:r w:rsidR="00A32835">
        <w:t>inom de yttre ramarna för fast</w:t>
      </w:r>
      <w:r w:rsidR="009C5E55">
        <w:t>st</w:t>
      </w:r>
      <w:r w:rsidR="00A32835">
        <w:t>ällandet av ordningsboten</w:t>
      </w:r>
      <w:r w:rsidR="009C5E55">
        <w:t xml:space="preserve">s belopp. </w:t>
      </w:r>
      <w:r w:rsidR="00FF4C7A">
        <w:t xml:space="preserve">Rimligen bör </w:t>
      </w:r>
      <w:r w:rsidR="0035741A">
        <w:t>det på Åland</w:t>
      </w:r>
      <w:r w:rsidR="00FF4C7A">
        <w:t xml:space="preserve"> ändå inte avvika</w:t>
      </w:r>
      <w:r w:rsidR="0035741A">
        <w:t>s</w:t>
      </w:r>
      <w:r w:rsidR="00FF4C7A">
        <w:t xml:space="preserve"> alltför mycket</w:t>
      </w:r>
      <w:r w:rsidR="00163ABD">
        <w:t xml:space="preserve"> från de strax ovan nämnda lagarna</w:t>
      </w:r>
      <w:r w:rsidR="005237F7">
        <w:t>,</w:t>
      </w:r>
      <w:r w:rsidR="00FF4C7A">
        <w:t xml:space="preserve"> såvida inte </w:t>
      </w:r>
      <w:r w:rsidR="0035741A">
        <w:t>det från åländsk sida</w:t>
      </w:r>
      <w:r w:rsidR="00FF4C7A">
        <w:t xml:space="preserve"> som i förevarande fall bedöm</w:t>
      </w:r>
      <w:r w:rsidR="0035741A">
        <w:t>s</w:t>
      </w:r>
      <w:r w:rsidR="00FF4C7A">
        <w:t xml:space="preserve"> att en avvikelse är </w:t>
      </w:r>
      <w:r w:rsidR="004904BA">
        <w:t xml:space="preserve">kriminalpolitiskt </w:t>
      </w:r>
      <w:r w:rsidR="00FF4C7A">
        <w:t>motiverad</w:t>
      </w:r>
      <w:r w:rsidR="004904BA">
        <w:t xml:space="preserve"> i enlighet med de principer som framgår av grundlagsutskottets utlåtande ovan</w:t>
      </w:r>
      <w:r w:rsidR="00FF4C7A">
        <w:t xml:space="preserve">. </w:t>
      </w:r>
      <w:r w:rsidR="00295AFA">
        <w:t>Mot bakgrund av vad som anförts i föregående avsnitt bedömer l</w:t>
      </w:r>
      <w:r w:rsidR="00163ABD">
        <w:t xml:space="preserve">andskapsregeringen att </w:t>
      </w:r>
      <w:r w:rsidR="00295AFA">
        <w:t>det är kriminalpolitiskt motiverat att i den åländska lagstiftningen ta in bestämmelser enligt vilka ordningsboten ska sättas till 200 euro för härvid avsedda förseelser.</w:t>
      </w:r>
    </w:p>
    <w:p w14:paraId="7C298680" w14:textId="77777777" w:rsidR="00586F96" w:rsidRDefault="00586F96" w:rsidP="00162C88">
      <w:pPr>
        <w:pStyle w:val="ANormal"/>
      </w:pPr>
    </w:p>
    <w:p w14:paraId="0D2A994F" w14:textId="77777777" w:rsidR="00AF3004" w:rsidRPr="003160F0" w:rsidRDefault="00AF3004">
      <w:pPr>
        <w:pStyle w:val="RubrikA"/>
      </w:pPr>
      <w:r w:rsidRPr="003160F0">
        <w:br w:type="page"/>
      </w:r>
      <w:bookmarkStart w:id="16" w:name="_Toc88134482"/>
      <w:r w:rsidRPr="003160F0">
        <w:lastRenderedPageBreak/>
        <w:t>Lagtext</w:t>
      </w:r>
      <w:bookmarkEnd w:id="16"/>
    </w:p>
    <w:p w14:paraId="364818BB" w14:textId="10DBF594" w:rsidR="00AF3004" w:rsidRDefault="00AF3004">
      <w:pPr>
        <w:pStyle w:val="Rubrikmellanrum"/>
      </w:pPr>
    </w:p>
    <w:p w14:paraId="06E99E25" w14:textId="7CE9B993" w:rsidR="00AF3004" w:rsidRPr="003160F0" w:rsidRDefault="00AF3004">
      <w:pPr>
        <w:pStyle w:val="ANormal"/>
      </w:pPr>
      <w:r w:rsidRPr="003160F0">
        <w:t>Landskapsregeringen föreslår att följande lag</w:t>
      </w:r>
      <w:r w:rsidR="00BD14C6">
        <w:t>ar</w:t>
      </w:r>
      <w:r w:rsidRPr="003160F0">
        <w:t xml:space="preserve"> antas.</w:t>
      </w:r>
    </w:p>
    <w:p w14:paraId="4B64AD9C" w14:textId="69D6DEA9" w:rsidR="00AF3004" w:rsidRDefault="00AF3004">
      <w:pPr>
        <w:pStyle w:val="ANormal"/>
      </w:pPr>
    </w:p>
    <w:p w14:paraId="7328E13E" w14:textId="38090C9D" w:rsidR="00BD14C6" w:rsidRPr="003160F0" w:rsidRDefault="00BD14C6">
      <w:pPr>
        <w:pStyle w:val="ANormal"/>
      </w:pPr>
      <w:r>
        <w:t>1.</w:t>
      </w:r>
    </w:p>
    <w:p w14:paraId="6FD883B3" w14:textId="74C27F68" w:rsidR="00AF3004" w:rsidRPr="003160F0" w:rsidRDefault="00AF3004">
      <w:pPr>
        <w:pStyle w:val="LagHuvRubr"/>
      </w:pPr>
      <w:bookmarkStart w:id="17" w:name="_Toc88134483"/>
      <w:bookmarkStart w:id="18" w:name="_Hlk74662172"/>
      <w:r w:rsidRPr="003160F0">
        <w:t>L A N D S K A P S L A G</w:t>
      </w:r>
      <w:r w:rsidRPr="003160F0">
        <w:br/>
        <w:t>om</w:t>
      </w:r>
      <w:r w:rsidR="000751FA" w:rsidRPr="003160F0">
        <w:t xml:space="preserve"> </w:t>
      </w:r>
      <w:r w:rsidR="003160F0" w:rsidRPr="003160F0">
        <w:t>ä</w:t>
      </w:r>
      <w:r w:rsidR="00A1550F">
        <w:t>ndring av ordningslagen för landskapet Åland</w:t>
      </w:r>
      <w:bookmarkEnd w:id="17"/>
    </w:p>
    <w:p w14:paraId="604163C9" w14:textId="77777777" w:rsidR="00AF3004" w:rsidRPr="003160F0" w:rsidRDefault="00AF3004">
      <w:pPr>
        <w:pStyle w:val="ANormal"/>
      </w:pPr>
    </w:p>
    <w:p w14:paraId="479DF64D" w14:textId="4246CAA6" w:rsidR="00AF3004" w:rsidRDefault="00AF3004">
      <w:pPr>
        <w:pStyle w:val="ANormal"/>
      </w:pPr>
      <w:r w:rsidRPr="003160F0">
        <w:tab/>
        <w:t xml:space="preserve">I enlighet med lagtingets beslut </w:t>
      </w:r>
      <w:r w:rsidRPr="00A1550F">
        <w:rPr>
          <w:b/>
          <w:bCs/>
        </w:rPr>
        <w:t>f</w:t>
      </w:r>
      <w:r w:rsidR="00A1550F" w:rsidRPr="00A1550F">
        <w:rPr>
          <w:b/>
          <w:bCs/>
        </w:rPr>
        <w:t>ogas</w:t>
      </w:r>
      <w:r w:rsidR="00A1550F">
        <w:rPr>
          <w:b/>
          <w:bCs/>
        </w:rPr>
        <w:t xml:space="preserve"> </w:t>
      </w:r>
      <w:r w:rsidR="00A1550F">
        <w:t>till 16</w:t>
      </w:r>
      <w:r w:rsidR="00027757">
        <w:t> §</w:t>
      </w:r>
      <w:r w:rsidR="00A1550F">
        <w:t xml:space="preserve"> 1</w:t>
      </w:r>
      <w:r w:rsidR="00027757">
        <w:t> mom.</w:t>
      </w:r>
      <w:r w:rsidR="00A1550F">
        <w:t xml:space="preserve"> </w:t>
      </w:r>
      <w:r w:rsidR="007B4C51">
        <w:t xml:space="preserve">ordningslagen (2010:23) för landskapet Åland, </w:t>
      </w:r>
      <w:r w:rsidR="00A1550F">
        <w:t>sådant det lyder i landskapslagen 2016/18</w:t>
      </w:r>
      <w:r w:rsidR="00C40FBC">
        <w:t xml:space="preserve"> en ny 9</w:t>
      </w:r>
      <w:r w:rsidR="00027757">
        <w:t> punkt</w:t>
      </w:r>
      <w:r w:rsidR="00C40FBC">
        <w:t xml:space="preserve"> varvid gällande 9–11</w:t>
      </w:r>
      <w:r w:rsidR="00027757">
        <w:t> punkt</w:t>
      </w:r>
      <w:r w:rsidR="00C40FBC">
        <w:t>er blir 10–12</w:t>
      </w:r>
      <w:r w:rsidR="00027757">
        <w:t> punkt</w:t>
      </w:r>
      <w:r w:rsidR="00C40FBC">
        <w:t>er, till 18a</w:t>
      </w:r>
      <w:r w:rsidR="00027757">
        <w:t> §</w:t>
      </w:r>
      <w:r w:rsidR="00C40FBC">
        <w:t xml:space="preserve"> 5</w:t>
      </w:r>
      <w:r w:rsidR="00027757">
        <w:t> mom.</w:t>
      </w:r>
      <w:r w:rsidR="00C40FBC">
        <w:t xml:space="preserve"> </w:t>
      </w:r>
      <w:r w:rsidR="00D142DC">
        <w:t xml:space="preserve">sådant det lyder i landskapslagen 2017/64 </w:t>
      </w:r>
      <w:r w:rsidR="00C40FBC">
        <w:t>en ny 1</w:t>
      </w:r>
      <w:r w:rsidR="00027757">
        <w:t> punkt</w:t>
      </w:r>
      <w:r w:rsidR="00C40FBC">
        <w:t xml:space="preserve"> varvid gällande 1–2</w:t>
      </w:r>
      <w:r w:rsidR="00027757">
        <w:t> punkt</w:t>
      </w:r>
      <w:r w:rsidR="00C40FBC">
        <w:t>er blir 2–3</w:t>
      </w:r>
      <w:r w:rsidR="00027757">
        <w:t> punkt</w:t>
      </w:r>
      <w:r w:rsidR="00C40FBC">
        <w:t>er samt till lagen en ny 18b</w:t>
      </w:r>
      <w:r w:rsidR="00027757">
        <w:t> §</w:t>
      </w:r>
      <w:r w:rsidR="00C40FBC">
        <w:t xml:space="preserve"> som följer:</w:t>
      </w:r>
      <w:bookmarkEnd w:id="18"/>
    </w:p>
    <w:p w14:paraId="49BCE829" w14:textId="77777777" w:rsidR="00DC3EF1" w:rsidRPr="00A1550F" w:rsidRDefault="00DC3EF1">
      <w:pPr>
        <w:pStyle w:val="ANormal"/>
      </w:pPr>
    </w:p>
    <w:p w14:paraId="2CD40D75" w14:textId="4E1B81BF" w:rsidR="00DC3EF1" w:rsidRDefault="00A1550F" w:rsidP="00097834">
      <w:pPr>
        <w:pStyle w:val="LagParagraf"/>
        <w:rPr>
          <w:lang w:val="sv-FI"/>
        </w:rPr>
      </w:pPr>
      <w:r w:rsidRPr="005C34B1">
        <w:rPr>
          <w:lang w:val="sv-FI"/>
        </w:rPr>
        <w:t>16</w:t>
      </w:r>
      <w:r w:rsidR="00027757">
        <w:rPr>
          <w:lang w:val="sv-FI"/>
        </w:rPr>
        <w:t> §</w:t>
      </w:r>
    </w:p>
    <w:p w14:paraId="1DA64FB9" w14:textId="7C8F9F02" w:rsidR="00A1550F" w:rsidRPr="005C34B1" w:rsidRDefault="00A1550F" w:rsidP="00097834">
      <w:pPr>
        <w:pStyle w:val="LagPararubrik"/>
        <w:rPr>
          <w:lang w:val="sv-FI"/>
        </w:rPr>
      </w:pPr>
      <w:r w:rsidRPr="005C34B1">
        <w:rPr>
          <w:lang w:val="sv-FI"/>
        </w:rPr>
        <w:t>Ordningsförseelse</w:t>
      </w:r>
    </w:p>
    <w:p w14:paraId="104D40E1" w14:textId="54E88CF2" w:rsidR="00A1550F" w:rsidRDefault="00097834" w:rsidP="00097834">
      <w:pPr>
        <w:pStyle w:val="ANormal"/>
      </w:pPr>
      <w:r>
        <w:tab/>
      </w:r>
      <w:r w:rsidR="00A1550F" w:rsidRPr="00097834">
        <w:t>Den som uppsåtligen</w:t>
      </w:r>
    </w:p>
    <w:p w14:paraId="0C05BB97" w14:textId="77777777" w:rsidR="00097834" w:rsidRDefault="00097834">
      <w:pPr>
        <w:pStyle w:val="ANormal"/>
      </w:pPr>
      <w:r>
        <w:t>- - - - - - - - - - - - - - - - - - - - - - - - - - - - - - - - - - - - - - - - - - - - - - - - - - - -</w:t>
      </w:r>
    </w:p>
    <w:p w14:paraId="61BDA601" w14:textId="008D50C8" w:rsidR="00A1550F" w:rsidRDefault="00097834" w:rsidP="00097834">
      <w:pPr>
        <w:pStyle w:val="ANormal"/>
      </w:pPr>
      <w:r>
        <w:tab/>
      </w:r>
      <w:r w:rsidR="00A1550F" w:rsidRPr="00097834">
        <w:t>9) i strid med förbudet i 10</w:t>
      </w:r>
      <w:r w:rsidR="00027757">
        <w:t> §</w:t>
      </w:r>
      <w:r w:rsidR="00A1550F" w:rsidRPr="00097834">
        <w:t xml:space="preserve"> denna lag innehar föremål och ämnen som kan användas för att skada någon annan,</w:t>
      </w:r>
    </w:p>
    <w:p w14:paraId="78FE5213" w14:textId="77777777" w:rsidR="00097834" w:rsidRDefault="00097834">
      <w:pPr>
        <w:pStyle w:val="ANormal"/>
      </w:pPr>
      <w:r>
        <w:t>- - - - - - - - - - - - - - - - - - - - - - - - - - - - - - - - - - - - - - - - - - - - - - - - - - - -</w:t>
      </w:r>
    </w:p>
    <w:p w14:paraId="2F202C71" w14:textId="43E46197" w:rsidR="00A1550F" w:rsidRPr="00097834" w:rsidRDefault="00A1550F" w:rsidP="00097834">
      <w:pPr>
        <w:pStyle w:val="ANormal"/>
      </w:pPr>
      <w:r w:rsidRPr="00097834">
        <w:t>ska, om inte strängare straff för gärningen bestäms någon annanstans i lag, för ordningsförseelse dömas till böter. Straffåtgärder behöver inte vidtas för alkoholförtäring som avses i 4</w:t>
      </w:r>
      <w:r w:rsidR="00027757">
        <w:t> §</w:t>
      </w:r>
      <w:r w:rsidRPr="00097834">
        <w:t xml:space="preserve"> om gärningen med hänsyn till omständigheterna anses ringa och allmänt intresse inte anses kräva att åtal väcks.</w:t>
      </w:r>
    </w:p>
    <w:p w14:paraId="68294C33" w14:textId="4F9FA008" w:rsidR="00097834" w:rsidRDefault="00097834">
      <w:pPr>
        <w:pStyle w:val="ANormal"/>
      </w:pPr>
      <w:r>
        <w:t>- - - - - - - - - - - - - - - - - - - - - - - - - - - - - - - - - - - - - - - - - - - - - - - - - - - -</w:t>
      </w:r>
    </w:p>
    <w:p w14:paraId="39CB39EF" w14:textId="447A564C" w:rsidR="00097834" w:rsidRDefault="00097834">
      <w:pPr>
        <w:pStyle w:val="ANormal"/>
      </w:pPr>
    </w:p>
    <w:p w14:paraId="244D7E99" w14:textId="05E2C485" w:rsidR="00097834" w:rsidRDefault="002D2871" w:rsidP="002D2871">
      <w:pPr>
        <w:pStyle w:val="LagParagraf"/>
      </w:pPr>
      <w:r>
        <w:t>18a</w:t>
      </w:r>
      <w:r w:rsidR="00027757">
        <w:t> §</w:t>
      </w:r>
    </w:p>
    <w:p w14:paraId="026F33C9" w14:textId="5EC478D6" w:rsidR="002D2871" w:rsidRDefault="002D2871" w:rsidP="002D2871">
      <w:pPr>
        <w:pStyle w:val="LagPararubrik"/>
      </w:pPr>
      <w:r w:rsidRPr="002D2871">
        <w:t>Ordningsbotens storlek för vissa förseelser</w:t>
      </w:r>
    </w:p>
    <w:p w14:paraId="23365109" w14:textId="77777777" w:rsidR="002D2871" w:rsidRDefault="002D2871">
      <w:pPr>
        <w:pStyle w:val="ANormal"/>
      </w:pPr>
      <w:r>
        <w:t>- - - - - - - - - - - - - - - - - - - - - - - - - - - - - - - - - - - - - - - - - - - - - - - - - - - -</w:t>
      </w:r>
    </w:p>
    <w:p w14:paraId="25D649EE" w14:textId="11E852BA" w:rsidR="00A31C79" w:rsidRDefault="00A31C79" w:rsidP="00A31C79">
      <w:pPr>
        <w:pStyle w:val="ANormal"/>
      </w:pPr>
      <w:r>
        <w:tab/>
        <w:t>Den som bryter mot bestämmelserna om annan verksamhet som orsakar störning i 7</w:t>
      </w:r>
      <w:r w:rsidR="00027757">
        <w:t> §</w:t>
      </w:r>
      <w:r>
        <w:t xml:space="preserve"> kan föreläggas en ordningsbot på</w:t>
      </w:r>
    </w:p>
    <w:p w14:paraId="325C8A67" w14:textId="2ECEFA54" w:rsidR="002D2871" w:rsidRDefault="00A31C79" w:rsidP="00A31C79">
      <w:pPr>
        <w:pStyle w:val="ANormal"/>
      </w:pPr>
      <w:r>
        <w:tab/>
        <w:t xml:space="preserve">1) </w:t>
      </w:r>
      <w:r w:rsidR="002A62C7">
        <w:t>2</w:t>
      </w:r>
      <w:r>
        <w:t>00 euro för köp eller erbjudande mot betalning av sexuella tjänster strid mot förbudet i 7</w:t>
      </w:r>
      <w:r w:rsidR="00027757">
        <w:t> §</w:t>
      </w:r>
      <w:r>
        <w:t xml:space="preserve"> 1</w:t>
      </w:r>
      <w:r w:rsidR="00027757">
        <w:t> mom.</w:t>
      </w:r>
      <w:r>
        <w:t>,</w:t>
      </w:r>
    </w:p>
    <w:p w14:paraId="50AA3BA3" w14:textId="77777777" w:rsidR="00A31C79" w:rsidRDefault="00A31C79">
      <w:pPr>
        <w:pStyle w:val="ANormal"/>
      </w:pPr>
      <w:r>
        <w:t>- - - - - - - - - - - - - - - - - - - - - - - - - - - - - - - - - - - - - - - - - - - - - - - - - - - -</w:t>
      </w:r>
    </w:p>
    <w:p w14:paraId="7D7A1CA7" w14:textId="724332B3" w:rsidR="00A31C79" w:rsidRDefault="00A31C79" w:rsidP="00A31C79">
      <w:pPr>
        <w:pStyle w:val="ANormal"/>
      </w:pPr>
    </w:p>
    <w:p w14:paraId="4338B339" w14:textId="081FC4DC" w:rsidR="00A31C79" w:rsidRPr="00A31C79" w:rsidRDefault="00B0664F" w:rsidP="00A31C79">
      <w:pPr>
        <w:pStyle w:val="LagParagraf"/>
      </w:pPr>
      <w:hyperlink r:id="rId12" w:anchor="a986-2016" w:tooltip="Linkki voimaantulosäännökseen" w:history="1">
        <w:r w:rsidR="00A31C79" w:rsidRPr="00A31C79">
          <w:t>18b</w:t>
        </w:r>
        <w:r w:rsidR="00027757">
          <w:t> §</w:t>
        </w:r>
      </w:hyperlink>
    </w:p>
    <w:p w14:paraId="71405AFC" w14:textId="77777777" w:rsidR="00A31C79" w:rsidRPr="00A31C79" w:rsidRDefault="00A31C79" w:rsidP="00A31C79">
      <w:pPr>
        <w:pStyle w:val="LagPararubrik"/>
      </w:pPr>
      <w:r w:rsidRPr="00A31C79">
        <w:t>Föremål och ämnen som lämpar sig för att skada andra med</w:t>
      </w:r>
    </w:p>
    <w:p w14:paraId="4CEF681D" w14:textId="66CDBBF7" w:rsidR="00A31C79" w:rsidRPr="00A31C79" w:rsidRDefault="00A31C79" w:rsidP="00A31C79">
      <w:pPr>
        <w:pStyle w:val="ANormal"/>
      </w:pPr>
      <w:r>
        <w:tab/>
      </w:r>
      <w:r w:rsidRPr="00A31C79">
        <w:t>För ringa innehav enligt 41</w:t>
      </w:r>
      <w:r w:rsidR="00027757">
        <w:t> kap.</w:t>
      </w:r>
      <w:r w:rsidRPr="00A31C79">
        <w:t xml:space="preserve"> 6</w:t>
      </w:r>
      <w:r w:rsidR="00027757">
        <w:t> §</w:t>
      </w:r>
      <w:r w:rsidRPr="00A31C79">
        <w:t xml:space="preserve"> i strafflagen av föremål eller ämne som lämpar sig för att skada andra med och för ringa överlåtelse enligt 7</w:t>
      </w:r>
      <w:r w:rsidR="00027757">
        <w:t> §</w:t>
      </w:r>
      <w:r w:rsidRPr="00A31C79">
        <w:t xml:space="preserve"> i det kapitlet till en minderårig av sådana föremål föreläggs en ordningsbot på 70 euro.</w:t>
      </w:r>
    </w:p>
    <w:p w14:paraId="16FCF105" w14:textId="37E3735C" w:rsidR="00A31C79" w:rsidRDefault="00A31C79" w:rsidP="00A31C79">
      <w:pPr>
        <w:pStyle w:val="ANormal"/>
        <w:rPr>
          <w:lang w:val="sv-FI"/>
        </w:rPr>
      </w:pPr>
    </w:p>
    <w:p w14:paraId="01390C1D" w14:textId="45CFD6B5" w:rsidR="00AB68CC" w:rsidRDefault="00B0664F">
      <w:pPr>
        <w:pStyle w:val="ANormal"/>
        <w:jc w:val="center"/>
      </w:pPr>
      <w:hyperlink w:anchor="_top" w:tooltip="Klicka för att gå till toppen av dokumentet" w:history="1">
        <w:r w:rsidR="00AB68CC">
          <w:rPr>
            <w:rStyle w:val="Hyperlnk"/>
          </w:rPr>
          <w:t>__________________</w:t>
        </w:r>
      </w:hyperlink>
    </w:p>
    <w:p w14:paraId="2BCD6218" w14:textId="04925C67" w:rsidR="00AB68CC" w:rsidRDefault="00AB68CC" w:rsidP="00A31C79">
      <w:pPr>
        <w:pStyle w:val="ANormal"/>
        <w:rPr>
          <w:lang w:val="sv-FI"/>
        </w:rPr>
      </w:pPr>
    </w:p>
    <w:p w14:paraId="7DEF80CE" w14:textId="5ADE1017" w:rsidR="00AB68CC" w:rsidRDefault="00AB68CC" w:rsidP="00A31C79">
      <w:pPr>
        <w:pStyle w:val="ANormal"/>
        <w:rPr>
          <w:lang w:val="sv-FI"/>
        </w:rPr>
      </w:pPr>
      <w:r>
        <w:rPr>
          <w:lang w:val="sv-FI"/>
        </w:rPr>
        <w:tab/>
        <w:t>Denna lag träder i kraft den</w:t>
      </w:r>
    </w:p>
    <w:p w14:paraId="141C3AC5" w14:textId="1A074713" w:rsidR="00AB68CC" w:rsidRDefault="00AB68CC" w:rsidP="00A31C79">
      <w:pPr>
        <w:pStyle w:val="ANormal"/>
        <w:rPr>
          <w:lang w:val="sv-FI"/>
        </w:rPr>
      </w:pPr>
    </w:p>
    <w:p w14:paraId="0796AB4F" w14:textId="516CACBA" w:rsidR="00AB68CC" w:rsidRDefault="00B0664F">
      <w:pPr>
        <w:pStyle w:val="ANormal"/>
        <w:jc w:val="center"/>
      </w:pPr>
      <w:hyperlink w:anchor="_top" w:tooltip="Klicka för att gå till toppen av dokumentet" w:history="1">
        <w:r w:rsidR="00AB68CC">
          <w:rPr>
            <w:rStyle w:val="Hyperlnk"/>
          </w:rPr>
          <w:t>__________________</w:t>
        </w:r>
      </w:hyperlink>
    </w:p>
    <w:p w14:paraId="243E5D86" w14:textId="2D813B8F" w:rsidR="00AB68CC" w:rsidRDefault="00AB68CC" w:rsidP="00A31C79">
      <w:pPr>
        <w:pStyle w:val="ANormal"/>
        <w:rPr>
          <w:lang w:val="sv-FI"/>
        </w:rPr>
      </w:pPr>
    </w:p>
    <w:p w14:paraId="228ACFC4" w14:textId="77777777" w:rsidR="00BD14C6" w:rsidRDefault="00BD14C6">
      <w:pPr>
        <w:autoSpaceDE/>
        <w:autoSpaceDN/>
        <w:adjustRightInd/>
        <w:spacing w:line="240" w:lineRule="auto"/>
        <w:textAlignment w:val="auto"/>
        <w:rPr>
          <w:rFonts w:ascii="Times New Roman" w:eastAsia="Times New Roman" w:hAnsi="Times New Roman" w:cs="Times New Roman"/>
          <w:sz w:val="22"/>
          <w:lang w:val="sv-FI" w:eastAsia="sv-SE"/>
        </w:rPr>
      </w:pPr>
      <w:r>
        <w:rPr>
          <w:lang w:val="sv-FI"/>
        </w:rPr>
        <w:br w:type="page"/>
      </w:r>
    </w:p>
    <w:p w14:paraId="51D699DD" w14:textId="34119B97" w:rsidR="00BD14C6" w:rsidRDefault="00BD14C6" w:rsidP="00A31C79">
      <w:pPr>
        <w:pStyle w:val="ANormal"/>
        <w:rPr>
          <w:lang w:val="sv-FI"/>
        </w:rPr>
      </w:pPr>
      <w:r>
        <w:rPr>
          <w:lang w:val="sv-FI"/>
        </w:rPr>
        <w:lastRenderedPageBreak/>
        <w:t>2.</w:t>
      </w:r>
    </w:p>
    <w:p w14:paraId="5675ABA6" w14:textId="5B7BFBE1" w:rsidR="00BD14C6" w:rsidRPr="003160F0" w:rsidRDefault="00BD14C6" w:rsidP="00BD14C6">
      <w:pPr>
        <w:pStyle w:val="LagHuvRubr"/>
      </w:pPr>
      <w:bookmarkStart w:id="19" w:name="_Toc88134484"/>
      <w:r w:rsidRPr="003160F0">
        <w:t>L A N D S K A P S L A G</w:t>
      </w:r>
      <w:r w:rsidRPr="003160F0">
        <w:br/>
        <w:t>om ä</w:t>
      </w:r>
      <w:r>
        <w:t xml:space="preserve">ndring av </w:t>
      </w:r>
      <w:r w:rsidR="006238F8" w:rsidRPr="006238F8">
        <w:t>11</w:t>
      </w:r>
      <w:r w:rsidR="00027757">
        <w:t> §</w:t>
      </w:r>
      <w:r w:rsidR="006238F8" w:rsidRPr="006238F8">
        <w:t xml:space="preserve"> landskapslagen om tillämpning på Åland av lagen om privata säkerhetstjänster</w:t>
      </w:r>
      <w:bookmarkEnd w:id="19"/>
    </w:p>
    <w:p w14:paraId="77F74659" w14:textId="6C46A119" w:rsidR="00BD14C6" w:rsidRDefault="00BD14C6" w:rsidP="00A31C79">
      <w:pPr>
        <w:pStyle w:val="ANormal"/>
      </w:pPr>
    </w:p>
    <w:p w14:paraId="6C9F208F" w14:textId="4DA7FEC4" w:rsidR="00BD14C6" w:rsidRDefault="00BD14C6" w:rsidP="00A31C79">
      <w:pPr>
        <w:pStyle w:val="ANormal"/>
      </w:pPr>
      <w:r w:rsidRPr="003160F0">
        <w:tab/>
        <w:t xml:space="preserve">I enlighet med lagtingets beslut </w:t>
      </w:r>
      <w:r>
        <w:rPr>
          <w:b/>
          <w:bCs/>
        </w:rPr>
        <w:t xml:space="preserve">ändras </w:t>
      </w:r>
      <w:r>
        <w:t>11</w:t>
      </w:r>
      <w:r w:rsidR="00027757">
        <w:t> §</w:t>
      </w:r>
      <w:r>
        <w:t xml:space="preserve"> 1</w:t>
      </w:r>
      <w:r w:rsidR="00027757">
        <w:t> mom.</w:t>
      </w:r>
      <w:r>
        <w:t xml:space="preserve"> </w:t>
      </w:r>
      <w:r w:rsidR="00EC722E">
        <w:t>l</w:t>
      </w:r>
      <w:r w:rsidR="00EC722E" w:rsidRPr="00EC722E">
        <w:t>andskapslag</w:t>
      </w:r>
      <w:r w:rsidR="00EC722E">
        <w:t>en</w:t>
      </w:r>
      <w:r w:rsidR="00EC722E" w:rsidRPr="00EC722E">
        <w:t xml:space="preserve"> (2021:5) om tillämpning på Åland av lagen om privata säkerhetstjänster</w:t>
      </w:r>
      <w:r w:rsidR="00EC722E">
        <w:t xml:space="preserve"> </w:t>
      </w:r>
      <w:r>
        <w:t>som följer:</w:t>
      </w:r>
    </w:p>
    <w:p w14:paraId="71B0FA42" w14:textId="2D7DBC8D" w:rsidR="00EC722E" w:rsidRDefault="00EC722E" w:rsidP="00A31C79">
      <w:pPr>
        <w:pStyle w:val="ANormal"/>
      </w:pPr>
    </w:p>
    <w:p w14:paraId="00878D55" w14:textId="50936792" w:rsidR="00EC722E" w:rsidRPr="00EC722E" w:rsidRDefault="00EC722E" w:rsidP="00EC722E">
      <w:pPr>
        <w:pStyle w:val="LagParagraf"/>
        <w:rPr>
          <w:lang w:val="sv-FI" w:eastAsia="sv-FI"/>
        </w:rPr>
      </w:pPr>
      <w:r>
        <w:t>11</w:t>
      </w:r>
      <w:r w:rsidR="00027757">
        <w:t> §</w:t>
      </w:r>
    </w:p>
    <w:p w14:paraId="386A0E9E" w14:textId="0A1C737F" w:rsidR="00EC722E" w:rsidRDefault="00EC722E" w:rsidP="00EC722E">
      <w:pPr>
        <w:pStyle w:val="LagPararubrik"/>
        <w:rPr>
          <w:lang w:val="sv-FI" w:eastAsia="sv-FI"/>
        </w:rPr>
      </w:pPr>
      <w:r>
        <w:t>Övergångsbestämmelser</w:t>
      </w:r>
    </w:p>
    <w:p w14:paraId="57BF9CA3" w14:textId="410DC63C" w:rsidR="00EC722E" w:rsidRDefault="00EC722E" w:rsidP="00EC722E">
      <w:pPr>
        <w:pStyle w:val="ANormal"/>
      </w:pPr>
      <w:r>
        <w:tab/>
      </w:r>
      <w:r w:rsidRPr="00EC722E">
        <w:t xml:space="preserve">Den som när denna lag träder i kraft innehar en sådan auktorisation av bevakningsföretag i enlighet med vad som följer av den i </w:t>
      </w:r>
      <w:r>
        <w:t>10</w:t>
      </w:r>
      <w:r w:rsidR="00027757">
        <w:t> §</w:t>
      </w:r>
      <w:r w:rsidRPr="00EC722E">
        <w:t xml:space="preserve"> </w:t>
      </w:r>
      <w:r w:rsidR="00BD53BE">
        <w:t>1</w:t>
      </w:r>
      <w:r w:rsidR="00027757">
        <w:t> mom.</w:t>
      </w:r>
      <w:r w:rsidRPr="00EC722E">
        <w:t xml:space="preserve"> angivna landskapslagen kan genom en anmälan till landskapsregeringen, som ska göras inom sex månader från denna lags ikraftträdande, meddela att den fortsätter sin verksamhet som innehavare av näringstillstånd för säkerhetsbranschen. Landskapsregeringen beviljar då innehavaren av auktorisation av bevakningsföretag näringstillstånd för säkerhetsbranschen avgiftsfritt.</w:t>
      </w:r>
    </w:p>
    <w:p w14:paraId="7D5A6360" w14:textId="77777777" w:rsidR="00EC722E" w:rsidRDefault="00EC722E">
      <w:pPr>
        <w:pStyle w:val="ANormal"/>
      </w:pPr>
      <w:r>
        <w:t>- - - - - - - - - - - - - - - - - - - - - - - - - - - - - - - - - - - - - - - - - - - - - - - - - - - -</w:t>
      </w:r>
    </w:p>
    <w:p w14:paraId="01D268C5" w14:textId="77777777" w:rsidR="00EC722E" w:rsidRPr="00EC722E" w:rsidRDefault="00EC722E" w:rsidP="00EC722E">
      <w:pPr>
        <w:pStyle w:val="ANormal"/>
      </w:pPr>
    </w:p>
    <w:p w14:paraId="35EF4DD5" w14:textId="512B46A4" w:rsidR="00EC722E" w:rsidRDefault="00B0664F" w:rsidP="00EC722E">
      <w:pPr>
        <w:pStyle w:val="ANormal"/>
        <w:jc w:val="center"/>
      </w:pPr>
      <w:hyperlink w:anchor="_top" w:tooltip="Klicka för att gå till toppen av dokumentet" w:history="1">
        <w:r w:rsidR="00EC722E">
          <w:rPr>
            <w:rStyle w:val="Hyperlnk"/>
          </w:rPr>
          <w:t>__________________</w:t>
        </w:r>
      </w:hyperlink>
    </w:p>
    <w:p w14:paraId="3889B54D" w14:textId="77777777" w:rsidR="00EC722E" w:rsidRDefault="00EC722E" w:rsidP="00EC722E">
      <w:pPr>
        <w:pStyle w:val="ANormal"/>
        <w:rPr>
          <w:lang w:val="sv-FI"/>
        </w:rPr>
      </w:pPr>
    </w:p>
    <w:p w14:paraId="15FD2B69" w14:textId="77777777" w:rsidR="00EC722E" w:rsidRDefault="00EC722E" w:rsidP="00EC722E">
      <w:pPr>
        <w:pStyle w:val="ANormal"/>
        <w:rPr>
          <w:lang w:val="sv-FI"/>
        </w:rPr>
      </w:pPr>
      <w:r>
        <w:rPr>
          <w:lang w:val="sv-FI"/>
        </w:rPr>
        <w:tab/>
        <w:t>Denna lag träder i kraft den</w:t>
      </w:r>
    </w:p>
    <w:p w14:paraId="2C7705DB" w14:textId="77777777" w:rsidR="00EC722E" w:rsidRDefault="00EC722E" w:rsidP="00EC722E">
      <w:pPr>
        <w:pStyle w:val="ANormal"/>
        <w:rPr>
          <w:lang w:val="sv-FI"/>
        </w:rPr>
      </w:pPr>
    </w:p>
    <w:p w14:paraId="6D286A90" w14:textId="0441F113" w:rsidR="00EC722E" w:rsidRDefault="00B0664F" w:rsidP="00EC722E">
      <w:pPr>
        <w:pStyle w:val="ANormal"/>
        <w:jc w:val="center"/>
      </w:pPr>
      <w:hyperlink w:anchor="_top" w:tooltip="Klicka för att gå till toppen av dokumentet" w:history="1">
        <w:r w:rsidR="00EC722E">
          <w:rPr>
            <w:rStyle w:val="Hyperlnk"/>
          </w:rPr>
          <w:t>__________________</w:t>
        </w:r>
      </w:hyperlink>
    </w:p>
    <w:p w14:paraId="428D0582" w14:textId="77777777" w:rsidR="00EC722E" w:rsidRDefault="00EC722E" w:rsidP="00EC722E">
      <w:pPr>
        <w:pStyle w:val="ANormal"/>
        <w:rPr>
          <w:lang w:val="sv-FI"/>
        </w:rPr>
      </w:pPr>
    </w:p>
    <w:p w14:paraId="4BB72964" w14:textId="02DB5643" w:rsidR="00EC722E" w:rsidRDefault="00EC722E" w:rsidP="00A31C79">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EC722E" w:rsidRPr="003160F0" w14:paraId="0CFF2BDE" w14:textId="77777777" w:rsidTr="00B96F0F">
        <w:trPr>
          <w:cantSplit/>
        </w:trPr>
        <w:tc>
          <w:tcPr>
            <w:tcW w:w="7931" w:type="dxa"/>
            <w:gridSpan w:val="2"/>
          </w:tcPr>
          <w:p w14:paraId="428F42B7" w14:textId="0C87AF0B" w:rsidR="00EC722E" w:rsidRPr="003160F0" w:rsidRDefault="00EC722E" w:rsidP="00B96F0F">
            <w:pPr>
              <w:pStyle w:val="ANormal"/>
              <w:keepNext/>
            </w:pPr>
            <w:r w:rsidRPr="003160F0">
              <w:t xml:space="preserve">Mariehamn </w:t>
            </w:r>
            <w:r w:rsidR="00BF0CE4">
              <w:t>den 18 november 2021</w:t>
            </w:r>
          </w:p>
        </w:tc>
      </w:tr>
      <w:tr w:rsidR="00EC722E" w:rsidRPr="003160F0" w14:paraId="724EAA53" w14:textId="77777777" w:rsidTr="00B96F0F">
        <w:tc>
          <w:tcPr>
            <w:tcW w:w="4454" w:type="dxa"/>
            <w:vAlign w:val="bottom"/>
          </w:tcPr>
          <w:p w14:paraId="34429EC5" w14:textId="77777777" w:rsidR="00EC722E" w:rsidRPr="003160F0" w:rsidRDefault="00EC722E" w:rsidP="00B96F0F">
            <w:pPr>
              <w:pStyle w:val="ANormal"/>
              <w:keepNext/>
            </w:pPr>
          </w:p>
          <w:p w14:paraId="7AD1AB1A" w14:textId="77777777" w:rsidR="00EC722E" w:rsidRPr="003160F0" w:rsidRDefault="00EC722E" w:rsidP="00B96F0F">
            <w:pPr>
              <w:pStyle w:val="ANormal"/>
              <w:keepNext/>
            </w:pPr>
          </w:p>
          <w:p w14:paraId="589E05D8" w14:textId="77777777" w:rsidR="00EC722E" w:rsidRPr="003160F0" w:rsidRDefault="00EC722E" w:rsidP="00B96F0F">
            <w:pPr>
              <w:pStyle w:val="ANormal"/>
              <w:keepNext/>
            </w:pPr>
            <w:r w:rsidRPr="003160F0">
              <w:t>L a n t r å d</w:t>
            </w:r>
          </w:p>
        </w:tc>
        <w:tc>
          <w:tcPr>
            <w:tcW w:w="3477" w:type="dxa"/>
            <w:vAlign w:val="bottom"/>
          </w:tcPr>
          <w:p w14:paraId="415323FC" w14:textId="77777777" w:rsidR="00EC722E" w:rsidRPr="003160F0" w:rsidRDefault="00EC722E" w:rsidP="00B96F0F">
            <w:pPr>
              <w:pStyle w:val="ANormal"/>
              <w:keepNext/>
            </w:pPr>
          </w:p>
          <w:p w14:paraId="2D983F55" w14:textId="77777777" w:rsidR="00EC722E" w:rsidRPr="003160F0" w:rsidRDefault="00EC722E" w:rsidP="00B96F0F">
            <w:pPr>
              <w:pStyle w:val="ANormal"/>
              <w:keepNext/>
            </w:pPr>
          </w:p>
          <w:p w14:paraId="44C26FFA" w14:textId="62E28FE8" w:rsidR="00EC722E" w:rsidRPr="003160F0" w:rsidRDefault="00BF0CE4" w:rsidP="00B96F0F">
            <w:pPr>
              <w:pStyle w:val="ANormal"/>
              <w:keepNext/>
            </w:pPr>
            <w:r>
              <w:t xml:space="preserve">Veronica </w:t>
            </w:r>
            <w:proofErr w:type="spellStart"/>
            <w:r>
              <w:t>Thörnroos</w:t>
            </w:r>
            <w:proofErr w:type="spellEnd"/>
          </w:p>
        </w:tc>
      </w:tr>
      <w:tr w:rsidR="00EC722E" w:rsidRPr="003160F0" w14:paraId="33876C18" w14:textId="77777777" w:rsidTr="00B96F0F">
        <w:tc>
          <w:tcPr>
            <w:tcW w:w="4454" w:type="dxa"/>
            <w:vAlign w:val="bottom"/>
          </w:tcPr>
          <w:p w14:paraId="4EE9308E" w14:textId="77777777" w:rsidR="00EC722E" w:rsidRPr="003160F0" w:rsidRDefault="00EC722E" w:rsidP="00B96F0F">
            <w:pPr>
              <w:pStyle w:val="ANormal"/>
              <w:keepNext/>
            </w:pPr>
          </w:p>
          <w:p w14:paraId="62F8A1E8" w14:textId="77777777" w:rsidR="00EC722E" w:rsidRPr="003160F0" w:rsidRDefault="00EC722E" w:rsidP="00B96F0F">
            <w:pPr>
              <w:pStyle w:val="ANormal"/>
              <w:keepNext/>
            </w:pPr>
          </w:p>
          <w:p w14:paraId="776837D1" w14:textId="77777777" w:rsidR="00EC722E" w:rsidRPr="003160F0" w:rsidRDefault="00EC722E" w:rsidP="00B96F0F">
            <w:pPr>
              <w:pStyle w:val="ANormal"/>
              <w:keepNext/>
            </w:pPr>
            <w:r w:rsidRPr="003160F0">
              <w:t xml:space="preserve">Föredragande </w:t>
            </w:r>
            <w:r>
              <w:t>minister</w:t>
            </w:r>
          </w:p>
        </w:tc>
        <w:tc>
          <w:tcPr>
            <w:tcW w:w="3477" w:type="dxa"/>
            <w:vAlign w:val="bottom"/>
          </w:tcPr>
          <w:p w14:paraId="74323466" w14:textId="77777777" w:rsidR="00EC722E" w:rsidRPr="003160F0" w:rsidRDefault="00EC722E" w:rsidP="00B96F0F">
            <w:pPr>
              <w:pStyle w:val="ANormal"/>
              <w:keepNext/>
            </w:pPr>
          </w:p>
          <w:p w14:paraId="4511276A" w14:textId="77777777" w:rsidR="00EC722E" w:rsidRPr="003160F0" w:rsidRDefault="00EC722E" w:rsidP="00B96F0F">
            <w:pPr>
              <w:pStyle w:val="ANormal"/>
              <w:keepNext/>
            </w:pPr>
          </w:p>
          <w:p w14:paraId="3E21D8D0" w14:textId="39BA7386" w:rsidR="00EC722E" w:rsidRPr="003160F0" w:rsidRDefault="00BF0CE4" w:rsidP="00B96F0F">
            <w:pPr>
              <w:pStyle w:val="ANormal"/>
              <w:keepNext/>
            </w:pPr>
            <w:r>
              <w:t>Harry Jansson</w:t>
            </w:r>
          </w:p>
        </w:tc>
      </w:tr>
    </w:tbl>
    <w:p w14:paraId="33890389" w14:textId="07E611E0" w:rsidR="00EC722E" w:rsidRDefault="00EC722E" w:rsidP="008B6D06">
      <w:pPr>
        <w:pStyle w:val="ANormal"/>
      </w:pPr>
    </w:p>
    <w:p w14:paraId="20488137" w14:textId="1891CF5C" w:rsidR="00586F96" w:rsidRDefault="00586F96">
      <w:pPr>
        <w:autoSpaceDE/>
        <w:autoSpaceDN/>
        <w:adjustRightInd/>
        <w:spacing w:line="240" w:lineRule="auto"/>
        <w:textAlignment w:val="auto"/>
        <w:rPr>
          <w:rFonts w:ascii="Times New Roman" w:eastAsia="Times New Roman" w:hAnsi="Times New Roman" w:cs="Times New Roman"/>
          <w:sz w:val="22"/>
          <w:lang w:eastAsia="sv-SE"/>
        </w:rPr>
      </w:pPr>
      <w:r>
        <w:br w:type="page"/>
      </w:r>
    </w:p>
    <w:p w14:paraId="2CCCAEA0" w14:textId="585CC237" w:rsidR="00586F96" w:rsidRDefault="00586F96" w:rsidP="00586F96">
      <w:pPr>
        <w:pStyle w:val="RubrikA"/>
      </w:pPr>
      <w:bookmarkStart w:id="20" w:name="_Toc88134485"/>
      <w:r>
        <w:lastRenderedPageBreak/>
        <w:t>Parallelltexter</w:t>
      </w:r>
      <w:bookmarkEnd w:id="20"/>
    </w:p>
    <w:p w14:paraId="79939CDE" w14:textId="2EF5F3ED" w:rsidR="00586F96" w:rsidRDefault="00586F96" w:rsidP="00586F96">
      <w:pPr>
        <w:pStyle w:val="Rubrikmellanrum"/>
      </w:pPr>
    </w:p>
    <w:p w14:paraId="2C9B8791" w14:textId="28662537" w:rsidR="00586F96" w:rsidRPr="00586F96" w:rsidRDefault="00586F96" w:rsidP="00586F96">
      <w:pPr>
        <w:pStyle w:val="ArendeUnderRubrik"/>
      </w:pPr>
      <w:r>
        <w:t>Parallelltexter till landskapsregeringens lagförslag nr 2/</w:t>
      </w:r>
      <w:proofErr w:type="gramStart"/>
      <w:r>
        <w:t>2021-2022</w:t>
      </w:r>
      <w:proofErr w:type="gramEnd"/>
    </w:p>
    <w:sectPr w:rsidR="00586F96" w:rsidRPr="00586F96">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5BCD" w14:textId="77777777" w:rsidR="00D60255" w:rsidRDefault="00D60255">
      <w:r>
        <w:separator/>
      </w:r>
    </w:p>
  </w:endnote>
  <w:endnote w:type="continuationSeparator" w:id="0">
    <w:p w14:paraId="56C75818" w14:textId="77777777" w:rsidR="00D60255" w:rsidRDefault="00D6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4C7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B75C" w14:textId="13DD34A7" w:rsidR="00AF3004" w:rsidRPr="001F11C2" w:rsidRDefault="001F11C2">
    <w:pPr>
      <w:pStyle w:val="Sidfot"/>
      <w:rPr>
        <w:lang w:val="sv-FI"/>
      </w:rPr>
    </w:pPr>
    <w:r>
      <w:rPr>
        <w:lang w:val="sv-FI"/>
      </w:rPr>
      <w:t>LF0220212022.docx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8820"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B5EC" w14:textId="77777777" w:rsidR="00D60255" w:rsidRDefault="00D60255">
      <w:r>
        <w:separator/>
      </w:r>
    </w:p>
  </w:footnote>
  <w:footnote w:type="continuationSeparator" w:id="0">
    <w:p w14:paraId="355F6731" w14:textId="77777777" w:rsidR="00D60255" w:rsidRDefault="00D60255">
      <w:r>
        <w:continuationSeparator/>
      </w:r>
    </w:p>
  </w:footnote>
  <w:footnote w:id="1">
    <w:p w14:paraId="7A4B2820" w14:textId="2913CEDB" w:rsidR="009E2131" w:rsidRPr="009E2131" w:rsidRDefault="009E2131" w:rsidP="009E2131">
      <w:pPr>
        <w:pStyle w:val="Fotnotstext"/>
        <w:jc w:val="both"/>
        <w:rPr>
          <w:rFonts w:ascii="Times New Roman" w:hAnsi="Times New Roman" w:cs="Times New Roman"/>
          <w:lang w:val="sv-FI"/>
        </w:rPr>
      </w:pPr>
      <w:r>
        <w:rPr>
          <w:rStyle w:val="Fotnotsreferens"/>
        </w:rPr>
        <w:footnoteRef/>
      </w:r>
      <w:r>
        <w:t xml:space="preserve"> </w:t>
      </w:r>
      <w:r w:rsidRPr="009E2131">
        <w:rPr>
          <w:rFonts w:ascii="Times New Roman" w:hAnsi="Times New Roman" w:cs="Times New Roman"/>
        </w:rPr>
        <w:t>I 111</w:t>
      </w:r>
      <w:r w:rsidR="00027757">
        <w:rPr>
          <w:rFonts w:ascii="Times New Roman" w:hAnsi="Times New Roman" w:cs="Times New Roman"/>
        </w:rPr>
        <w:t> §</w:t>
      </w:r>
      <w:r w:rsidRPr="009E2131">
        <w:rPr>
          <w:rFonts w:ascii="Times New Roman" w:hAnsi="Times New Roman" w:cs="Times New Roman"/>
        </w:rPr>
        <w:t xml:space="preserve"> 2</w:t>
      </w:r>
      <w:r w:rsidR="00027757">
        <w:rPr>
          <w:rFonts w:ascii="Times New Roman" w:hAnsi="Times New Roman" w:cs="Times New Roman"/>
        </w:rPr>
        <w:t> mom.</w:t>
      </w:r>
      <w:r w:rsidRPr="009E2131">
        <w:rPr>
          <w:rFonts w:ascii="Times New Roman" w:hAnsi="Times New Roman" w:cs="Times New Roman"/>
        </w:rPr>
        <w:t xml:space="preserve"> i lagen om privata säkerhetstjänster föreskrivs att </w:t>
      </w:r>
      <w:r w:rsidRPr="009E2131">
        <w:rPr>
          <w:rFonts w:ascii="Times New Roman" w:hAnsi="Times New Roman" w:cs="Times New Roman"/>
          <w:i/>
          <w:iCs/>
        </w:rPr>
        <w:t>”Polisstyrelsen fastställer formuläret för blanketter som används vid förfaranden enligt denna lag och formuläret för väktarkortet, ordningsvaktskortet och kortet för utförare av säkerhetsskyddsuppgifter samt vilket utbildningsmaterial som ska användas vid utbildningen av ordningsvakter. Polisstyrelsen meddelar närmare föreskrifter om undervisningsämnen, innehållet i undervisningen och timfördelningen i fråga om de utbildningar för väktare och ordningsvakt, den utbildning och repetitionsutbildning i användning av maktmedelsredskap samt de utbildningar för utbildare i användning av maktmedel, skytteinstruktörer och utbildare av ordningsvakter och hur den skicklighet i hanteringen av skjutvapen och skjutskicklighet ska visas, om vilka föreskrivs i denna lag och i inrikesministeriets förordningar som utfärdats med stöd av den. Polisyrkeshögskolan fastställer kraven i lydnadskontrollen för hundar som används i bevaknings- och ordningsövervakningsuppgifter.”</w:t>
      </w:r>
    </w:p>
  </w:footnote>
  <w:footnote w:id="2">
    <w:p w14:paraId="04E9B1F4" w14:textId="60C86B5D" w:rsidR="00BE0604" w:rsidRPr="00A06183" w:rsidRDefault="00BE0604" w:rsidP="00A06183">
      <w:pPr>
        <w:pStyle w:val="Fotnotstext"/>
        <w:jc w:val="both"/>
        <w:rPr>
          <w:rFonts w:ascii="Times New Roman" w:hAnsi="Times New Roman" w:cs="Times New Roman"/>
        </w:rPr>
      </w:pPr>
      <w:r>
        <w:rPr>
          <w:rStyle w:val="Fotnotsreferens"/>
        </w:rPr>
        <w:footnoteRef/>
      </w:r>
      <w:r>
        <w:t xml:space="preserve"> </w:t>
      </w:r>
      <w:r w:rsidR="00A06183">
        <w:rPr>
          <w:rFonts w:ascii="Times New Roman" w:hAnsi="Times New Roman" w:cs="Times New Roman"/>
        </w:rPr>
        <w:t xml:space="preserve">I 2010 års lag om föreläggande av ordningsbot föreskrivs i dess ikraftträdelsebestämmelse att </w:t>
      </w:r>
      <w:r w:rsidR="00A06183" w:rsidRPr="00A06183">
        <w:rPr>
          <w:rFonts w:ascii="Times New Roman" w:hAnsi="Times New Roman" w:cs="Times New Roman"/>
          <w:i/>
          <w:iCs/>
        </w:rPr>
        <w:t>”Om ikraftträdandet av denna lag föreskrivs särskilt genom lag.”</w:t>
      </w:r>
      <w:r w:rsidR="00A06183">
        <w:rPr>
          <w:rFonts w:ascii="Times New Roman" w:hAnsi="Times New Roman" w:cs="Times New Roman"/>
        </w:rPr>
        <w:t xml:space="preserve"> vilket sedan skedde år 2016 </w:t>
      </w:r>
      <w:r w:rsidR="003470E1">
        <w:rPr>
          <w:rFonts w:ascii="Times New Roman" w:hAnsi="Times New Roman" w:cs="Times New Roman"/>
        </w:rPr>
        <w:t>genom l</w:t>
      </w:r>
      <w:r w:rsidR="003470E1" w:rsidRPr="003470E1">
        <w:rPr>
          <w:rFonts w:ascii="Times New Roman" w:hAnsi="Times New Roman" w:cs="Times New Roman"/>
        </w:rPr>
        <w:t>ag om införande av lagstiftning för en reform av handläggningen av brottmål utanför domstolarna</w:t>
      </w:r>
      <w:r w:rsidR="003470E1">
        <w:rPr>
          <w:rFonts w:ascii="Times New Roman" w:hAnsi="Times New Roman" w:cs="Times New Roman"/>
        </w:rPr>
        <w:t xml:space="preserve"> (FFS 983/2016)</w:t>
      </w:r>
      <w:r w:rsidR="00A0618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AB41"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580933C"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095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4253"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5"/>
    <w:rsid w:val="00000F30"/>
    <w:rsid w:val="00011329"/>
    <w:rsid w:val="00027757"/>
    <w:rsid w:val="00055C98"/>
    <w:rsid w:val="00057557"/>
    <w:rsid w:val="0006243F"/>
    <w:rsid w:val="000751FA"/>
    <w:rsid w:val="00075DC4"/>
    <w:rsid w:val="00097834"/>
    <w:rsid w:val="000C0501"/>
    <w:rsid w:val="000D1A10"/>
    <w:rsid w:val="000E3636"/>
    <w:rsid w:val="000E43DC"/>
    <w:rsid w:val="001241B3"/>
    <w:rsid w:val="00144637"/>
    <w:rsid w:val="00145A6F"/>
    <w:rsid w:val="00153948"/>
    <w:rsid w:val="00162C88"/>
    <w:rsid w:val="00163ABD"/>
    <w:rsid w:val="00185DF9"/>
    <w:rsid w:val="001916A4"/>
    <w:rsid w:val="001A35D9"/>
    <w:rsid w:val="001B23B8"/>
    <w:rsid w:val="001B23BB"/>
    <w:rsid w:val="001B3650"/>
    <w:rsid w:val="001F11C2"/>
    <w:rsid w:val="001F4C28"/>
    <w:rsid w:val="00202894"/>
    <w:rsid w:val="002239D7"/>
    <w:rsid w:val="00224A9F"/>
    <w:rsid w:val="00225E62"/>
    <w:rsid w:val="0026388F"/>
    <w:rsid w:val="00284249"/>
    <w:rsid w:val="00295AFA"/>
    <w:rsid w:val="002A27B4"/>
    <w:rsid w:val="002A62C7"/>
    <w:rsid w:val="002C2A3A"/>
    <w:rsid w:val="002C6D16"/>
    <w:rsid w:val="002D2871"/>
    <w:rsid w:val="00314C5A"/>
    <w:rsid w:val="00315D70"/>
    <w:rsid w:val="003160F0"/>
    <w:rsid w:val="0033221F"/>
    <w:rsid w:val="00340A8B"/>
    <w:rsid w:val="00342226"/>
    <w:rsid w:val="00342FC4"/>
    <w:rsid w:val="003470E1"/>
    <w:rsid w:val="0035741A"/>
    <w:rsid w:val="0037299F"/>
    <w:rsid w:val="00375396"/>
    <w:rsid w:val="00381C79"/>
    <w:rsid w:val="00385ADB"/>
    <w:rsid w:val="003A3EFE"/>
    <w:rsid w:val="003A79C4"/>
    <w:rsid w:val="003A7F64"/>
    <w:rsid w:val="003D02D9"/>
    <w:rsid w:val="003E4DB9"/>
    <w:rsid w:val="00411E88"/>
    <w:rsid w:val="00424E56"/>
    <w:rsid w:val="00426176"/>
    <w:rsid w:val="0043348E"/>
    <w:rsid w:val="004467F6"/>
    <w:rsid w:val="00447195"/>
    <w:rsid w:val="00464E03"/>
    <w:rsid w:val="00470312"/>
    <w:rsid w:val="00470343"/>
    <w:rsid w:val="00483C95"/>
    <w:rsid w:val="004904BA"/>
    <w:rsid w:val="004A6BA1"/>
    <w:rsid w:val="004D290F"/>
    <w:rsid w:val="00521323"/>
    <w:rsid w:val="005237F7"/>
    <w:rsid w:val="00531EC0"/>
    <w:rsid w:val="00573884"/>
    <w:rsid w:val="00586F96"/>
    <w:rsid w:val="00587481"/>
    <w:rsid w:val="00592632"/>
    <w:rsid w:val="005F194C"/>
    <w:rsid w:val="005F1DF9"/>
    <w:rsid w:val="005F58A6"/>
    <w:rsid w:val="005F5A06"/>
    <w:rsid w:val="006238F8"/>
    <w:rsid w:val="00673195"/>
    <w:rsid w:val="00682ECD"/>
    <w:rsid w:val="006B1CE6"/>
    <w:rsid w:val="006B633C"/>
    <w:rsid w:val="006C5EC7"/>
    <w:rsid w:val="007013A2"/>
    <w:rsid w:val="007152C8"/>
    <w:rsid w:val="00722128"/>
    <w:rsid w:val="00734752"/>
    <w:rsid w:val="00753712"/>
    <w:rsid w:val="007855B2"/>
    <w:rsid w:val="007905DC"/>
    <w:rsid w:val="007B4C51"/>
    <w:rsid w:val="007E06A7"/>
    <w:rsid w:val="007E1A79"/>
    <w:rsid w:val="007E25C9"/>
    <w:rsid w:val="007F69C5"/>
    <w:rsid w:val="0080034F"/>
    <w:rsid w:val="008044FA"/>
    <w:rsid w:val="0082484E"/>
    <w:rsid w:val="00826C25"/>
    <w:rsid w:val="00827ACF"/>
    <w:rsid w:val="008450DA"/>
    <w:rsid w:val="00862C0A"/>
    <w:rsid w:val="008645CF"/>
    <w:rsid w:val="00886E8E"/>
    <w:rsid w:val="008B45E1"/>
    <w:rsid w:val="008B6D06"/>
    <w:rsid w:val="008C737E"/>
    <w:rsid w:val="008D0E26"/>
    <w:rsid w:val="0092761D"/>
    <w:rsid w:val="00927FBB"/>
    <w:rsid w:val="009312AF"/>
    <w:rsid w:val="00936EB7"/>
    <w:rsid w:val="0097308F"/>
    <w:rsid w:val="00980FC1"/>
    <w:rsid w:val="00981A5F"/>
    <w:rsid w:val="00987390"/>
    <w:rsid w:val="009A7AEE"/>
    <w:rsid w:val="009C5E55"/>
    <w:rsid w:val="009D086A"/>
    <w:rsid w:val="009D6794"/>
    <w:rsid w:val="009E2131"/>
    <w:rsid w:val="009E2EEC"/>
    <w:rsid w:val="00A00B52"/>
    <w:rsid w:val="00A06183"/>
    <w:rsid w:val="00A1550F"/>
    <w:rsid w:val="00A31C79"/>
    <w:rsid w:val="00A32351"/>
    <w:rsid w:val="00A32835"/>
    <w:rsid w:val="00A370C9"/>
    <w:rsid w:val="00A8791F"/>
    <w:rsid w:val="00A94EE9"/>
    <w:rsid w:val="00A95FEC"/>
    <w:rsid w:val="00A96B84"/>
    <w:rsid w:val="00AA4269"/>
    <w:rsid w:val="00AB33DB"/>
    <w:rsid w:val="00AB4C4F"/>
    <w:rsid w:val="00AB68CC"/>
    <w:rsid w:val="00AC2600"/>
    <w:rsid w:val="00AD0CD9"/>
    <w:rsid w:val="00AD3F63"/>
    <w:rsid w:val="00AE0712"/>
    <w:rsid w:val="00AF3004"/>
    <w:rsid w:val="00B03981"/>
    <w:rsid w:val="00B0664F"/>
    <w:rsid w:val="00B33690"/>
    <w:rsid w:val="00B900D7"/>
    <w:rsid w:val="00BA3184"/>
    <w:rsid w:val="00BB2B96"/>
    <w:rsid w:val="00BD14C6"/>
    <w:rsid w:val="00BD4F4E"/>
    <w:rsid w:val="00BD53BE"/>
    <w:rsid w:val="00BE0604"/>
    <w:rsid w:val="00BF0CE4"/>
    <w:rsid w:val="00C01289"/>
    <w:rsid w:val="00C0245A"/>
    <w:rsid w:val="00C125D3"/>
    <w:rsid w:val="00C26175"/>
    <w:rsid w:val="00C40FBC"/>
    <w:rsid w:val="00C4596C"/>
    <w:rsid w:val="00C4757D"/>
    <w:rsid w:val="00C65D35"/>
    <w:rsid w:val="00C73A11"/>
    <w:rsid w:val="00C74BB3"/>
    <w:rsid w:val="00C74BB4"/>
    <w:rsid w:val="00CA7B16"/>
    <w:rsid w:val="00CB1241"/>
    <w:rsid w:val="00CC03DC"/>
    <w:rsid w:val="00CC58EA"/>
    <w:rsid w:val="00CF778A"/>
    <w:rsid w:val="00D118A2"/>
    <w:rsid w:val="00D142DC"/>
    <w:rsid w:val="00D27D0B"/>
    <w:rsid w:val="00D41343"/>
    <w:rsid w:val="00D60255"/>
    <w:rsid w:val="00D942C8"/>
    <w:rsid w:val="00DC3EF1"/>
    <w:rsid w:val="00DD4606"/>
    <w:rsid w:val="00DD5E39"/>
    <w:rsid w:val="00DF00F6"/>
    <w:rsid w:val="00E26B72"/>
    <w:rsid w:val="00E36297"/>
    <w:rsid w:val="00E50C12"/>
    <w:rsid w:val="00E81646"/>
    <w:rsid w:val="00EC152F"/>
    <w:rsid w:val="00EC722E"/>
    <w:rsid w:val="00ED3D6E"/>
    <w:rsid w:val="00ED41DE"/>
    <w:rsid w:val="00F0678E"/>
    <w:rsid w:val="00F261EA"/>
    <w:rsid w:val="00F30794"/>
    <w:rsid w:val="00F46FC3"/>
    <w:rsid w:val="00F55028"/>
    <w:rsid w:val="00F60D6C"/>
    <w:rsid w:val="00F90EB3"/>
    <w:rsid w:val="00F96999"/>
    <w:rsid w:val="00FB206D"/>
    <w:rsid w:val="00FD6449"/>
    <w:rsid w:val="00FF29BE"/>
    <w:rsid w:val="00FF4C7A"/>
    <w:rsid w:val="00FF512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72D23"/>
  <w15:chartTrackingRefBased/>
  <w15:docId w15:val="{9D9FB058-4398-4E56-B3B0-B8F14DA6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0F"/>
    <w:pPr>
      <w:autoSpaceDE w:val="0"/>
      <w:autoSpaceDN w:val="0"/>
      <w:adjustRightInd w:val="0"/>
      <w:spacing w:line="300" w:lineRule="auto"/>
      <w:textAlignment w:val="center"/>
    </w:pPr>
    <w:rPr>
      <w:rFonts w:asciiTheme="minorHAnsi" w:eastAsiaTheme="minorHAnsi" w:hAnsiTheme="minorHAnsi" w:cs="Open Sans"/>
      <w:lang w:val="sv-SE" w:eastAsia="en-US"/>
    </w:rPr>
  </w:style>
  <w:style w:type="paragraph" w:styleId="Rubrik1">
    <w:name w:val="heading 1"/>
    <w:basedOn w:val="Normal"/>
    <w:next w:val="Normal"/>
    <w:qFormat/>
    <w:pPr>
      <w:keepNext/>
      <w:numPr>
        <w:numId w:val="37"/>
      </w:numPr>
      <w:spacing w:before="240" w:after="60"/>
      <w:ind w:left="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2Char">
    <w:name w:val="Rubrik 2 Char"/>
    <w:basedOn w:val="Standardstycketeckensnitt"/>
    <w:link w:val="Rubrik2"/>
    <w:rsid w:val="00284249"/>
    <w:rPr>
      <w:rFonts w:ascii="Arial" w:eastAsiaTheme="minorHAnsi" w:hAnsi="Arial" w:cs="Arial"/>
      <w:b/>
      <w:bCs/>
      <w:i/>
      <w:iCs/>
      <w:sz w:val="28"/>
      <w:szCs w:val="28"/>
      <w:lang w:val="sv-SE" w:eastAsia="en-US"/>
    </w:rPr>
  </w:style>
  <w:style w:type="paragraph" w:styleId="Ingetavstnd">
    <w:name w:val="No Spacing"/>
    <w:uiPriority w:val="1"/>
    <w:qFormat/>
    <w:rsid w:val="00284249"/>
    <w:rPr>
      <w:rFonts w:asciiTheme="minorHAnsi" w:eastAsiaTheme="minorHAnsi" w:hAnsiTheme="minorHAnsi" w:cstheme="minorBidi"/>
      <w:sz w:val="22"/>
      <w:szCs w:val="22"/>
      <w:lang w:eastAsia="en-US"/>
    </w:rPr>
  </w:style>
  <w:style w:type="paragraph" w:styleId="Normalwebb">
    <w:name w:val="Normal (Web)"/>
    <w:basedOn w:val="Normal"/>
    <w:uiPriority w:val="99"/>
    <w:semiHidden/>
    <w:unhideWhenUsed/>
    <w:rsid w:val="001A35D9"/>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paragraph" w:styleId="Fotnotstext">
    <w:name w:val="footnote text"/>
    <w:basedOn w:val="Normal"/>
    <w:link w:val="FotnotstextChar"/>
    <w:uiPriority w:val="99"/>
    <w:semiHidden/>
    <w:unhideWhenUsed/>
    <w:rsid w:val="009E2131"/>
    <w:pPr>
      <w:spacing w:line="240" w:lineRule="auto"/>
    </w:pPr>
  </w:style>
  <w:style w:type="character" w:customStyle="1" w:styleId="FotnotstextChar">
    <w:name w:val="Fotnotstext Char"/>
    <w:basedOn w:val="Standardstycketeckensnitt"/>
    <w:link w:val="Fotnotstext"/>
    <w:uiPriority w:val="99"/>
    <w:semiHidden/>
    <w:rsid w:val="009E2131"/>
    <w:rPr>
      <w:rFonts w:asciiTheme="minorHAnsi" w:eastAsiaTheme="minorHAnsi" w:hAnsiTheme="minorHAnsi" w:cs="Open Sans"/>
      <w:lang w:val="sv-SE" w:eastAsia="en-US"/>
    </w:rPr>
  </w:style>
  <w:style w:type="character" w:styleId="Fotnotsreferens">
    <w:name w:val="footnote reference"/>
    <w:basedOn w:val="Standardstycketeckensnitt"/>
    <w:uiPriority w:val="99"/>
    <w:semiHidden/>
    <w:unhideWhenUsed/>
    <w:rsid w:val="009E2131"/>
    <w:rPr>
      <w:vertAlign w:val="superscript"/>
    </w:rPr>
  </w:style>
  <w:style w:type="character" w:styleId="Olstomnmnande">
    <w:name w:val="Unresolved Mention"/>
    <w:basedOn w:val="Standardstycketeckensnitt"/>
    <w:uiPriority w:val="99"/>
    <w:semiHidden/>
    <w:unhideWhenUsed/>
    <w:rsid w:val="0037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52824">
      <w:bodyDiv w:val="1"/>
      <w:marLeft w:val="0"/>
      <w:marRight w:val="0"/>
      <w:marTop w:val="0"/>
      <w:marBottom w:val="0"/>
      <w:divBdr>
        <w:top w:val="none" w:sz="0" w:space="0" w:color="auto"/>
        <w:left w:val="none" w:sz="0" w:space="0" w:color="auto"/>
        <w:bottom w:val="none" w:sz="0" w:space="0" w:color="auto"/>
        <w:right w:val="none" w:sz="0" w:space="0" w:color="auto"/>
      </w:divBdr>
    </w:div>
    <w:div w:id="886525921">
      <w:bodyDiv w:val="1"/>
      <w:marLeft w:val="0"/>
      <w:marRight w:val="0"/>
      <w:marTop w:val="0"/>
      <w:marBottom w:val="0"/>
      <w:divBdr>
        <w:top w:val="none" w:sz="0" w:space="0" w:color="auto"/>
        <w:left w:val="none" w:sz="0" w:space="0" w:color="auto"/>
        <w:bottom w:val="none" w:sz="0" w:space="0" w:color="auto"/>
        <w:right w:val="none" w:sz="0" w:space="0" w:color="auto"/>
      </w:divBdr>
      <w:divsChild>
        <w:div w:id="147509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lex.fi/sv/laki/ajantasa/2016/201609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6BA1-932D-4931-AD97-BA5FAFB5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TotalTime>
  <Pages>10</Pages>
  <Words>3362</Words>
  <Characters>19498</Characters>
  <Application>Microsoft Office Word</Application>
  <DocSecurity>0</DocSecurity>
  <Lines>162</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22815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2</cp:revision>
  <cp:lastPrinted>2021-11-18T13:37:00Z</cp:lastPrinted>
  <dcterms:created xsi:type="dcterms:W3CDTF">2021-11-18T13:39:00Z</dcterms:created>
  <dcterms:modified xsi:type="dcterms:W3CDTF">2021-11-18T13:39:00Z</dcterms:modified>
</cp:coreProperties>
</file>