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7"/>
        <w:gridCol w:w="4439"/>
        <w:gridCol w:w="1720"/>
        <w:gridCol w:w="2565"/>
      </w:tblGrid>
      <w:tr w:rsidR="000E14E2" w14:paraId="139C8336" w14:textId="77777777" w:rsidTr="00864FA6">
        <w:trPr>
          <w:cantSplit/>
          <w:trHeight w:val="20"/>
        </w:trPr>
        <w:tc>
          <w:tcPr>
            <w:tcW w:w="858" w:type="dxa"/>
          </w:tcPr>
          <w:p w14:paraId="1ED738AC" w14:textId="77777777" w:rsidR="000E14E2" w:rsidRDefault="000E14E2">
            <w:pPr>
              <w:pStyle w:val="xLedtext"/>
              <w:keepNext/>
              <w:rPr>
                <w:noProof/>
              </w:rPr>
            </w:pPr>
          </w:p>
        </w:tc>
        <w:tc>
          <w:tcPr>
            <w:tcW w:w="8723" w:type="dxa"/>
            <w:gridSpan w:val="3"/>
            <w:vAlign w:val="bottom"/>
          </w:tcPr>
          <w:p w14:paraId="41A5E059" w14:textId="77777777" w:rsidR="000E14E2" w:rsidRDefault="00CA4FAF">
            <w:pPr>
              <w:pStyle w:val="xMellanrum"/>
            </w:pPr>
            <w:r>
              <w:rPr>
                <w:noProof/>
              </w:rPr>
              <w:drawing>
                <wp:inline distT="0" distB="0" distL="0" distR="0" wp14:anchorId="013CB9F5" wp14:editId="11B6A660">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864FA6" w14:paraId="32903962" w14:textId="77777777" w:rsidTr="000E14E2">
        <w:trPr>
          <w:cantSplit/>
          <w:trHeight w:val="299"/>
        </w:trPr>
        <w:tc>
          <w:tcPr>
            <w:tcW w:w="5300" w:type="dxa"/>
            <w:gridSpan w:val="2"/>
            <w:vMerge w:val="restart"/>
          </w:tcPr>
          <w:p w14:paraId="76627007" w14:textId="77777777" w:rsidR="00864FA6" w:rsidRPr="005D4D1E" w:rsidRDefault="00CA4FAF" w:rsidP="00701FE5">
            <w:pPr>
              <w:pStyle w:val="xAvsandare1"/>
              <w:rPr>
                <w:b w:val="0"/>
              </w:rPr>
            </w:pPr>
            <w:r>
              <w:rPr>
                <w:noProof/>
              </w:rPr>
              <w:drawing>
                <wp:inline distT="0" distB="0" distL="0" distR="0" wp14:anchorId="27197776" wp14:editId="1708ACE5">
                  <wp:extent cx="1809750" cy="466725"/>
                  <wp:effectExtent l="0" t="0" r="0" b="0"/>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466725"/>
                          </a:xfrm>
                          <a:prstGeom prst="rect">
                            <a:avLst/>
                          </a:prstGeom>
                          <a:noFill/>
                          <a:ln>
                            <a:noFill/>
                          </a:ln>
                        </pic:spPr>
                      </pic:pic>
                    </a:graphicData>
                  </a:graphic>
                </wp:inline>
              </w:drawing>
            </w:r>
            <w:r w:rsidR="005D4D1E">
              <w:t xml:space="preserve">       </w:t>
            </w:r>
          </w:p>
        </w:tc>
        <w:tc>
          <w:tcPr>
            <w:tcW w:w="4288" w:type="dxa"/>
            <w:gridSpan w:val="2"/>
            <w:vAlign w:val="bottom"/>
          </w:tcPr>
          <w:p w14:paraId="3970AC56" w14:textId="74927B39" w:rsidR="00864FA6" w:rsidRDefault="00A5270F" w:rsidP="00850D2A">
            <w:pPr>
              <w:pStyle w:val="xDokTypNr"/>
            </w:pPr>
            <w:r>
              <w:t xml:space="preserve">Svar på </w:t>
            </w:r>
            <w:r w:rsidR="008E3C19">
              <w:t>granskningsrapport</w:t>
            </w:r>
          </w:p>
        </w:tc>
      </w:tr>
      <w:tr w:rsidR="00864FA6" w14:paraId="2EADB952" w14:textId="77777777" w:rsidTr="00864FA6">
        <w:trPr>
          <w:cantSplit/>
          <w:trHeight w:val="238"/>
        </w:trPr>
        <w:tc>
          <w:tcPr>
            <w:tcW w:w="5296" w:type="dxa"/>
            <w:gridSpan w:val="2"/>
            <w:vMerge/>
          </w:tcPr>
          <w:p w14:paraId="61F62BC8" w14:textId="77777777" w:rsidR="00864FA6" w:rsidRDefault="00864FA6">
            <w:pPr>
              <w:pStyle w:val="xLedtext"/>
            </w:pPr>
          </w:p>
        </w:tc>
        <w:tc>
          <w:tcPr>
            <w:tcW w:w="1721" w:type="dxa"/>
            <w:vAlign w:val="bottom"/>
          </w:tcPr>
          <w:p w14:paraId="3BFA86ED" w14:textId="77777777" w:rsidR="00864FA6" w:rsidRDefault="00864FA6">
            <w:pPr>
              <w:pStyle w:val="xLedtext"/>
            </w:pPr>
            <w:r>
              <w:t>Datum</w:t>
            </w:r>
          </w:p>
        </w:tc>
        <w:tc>
          <w:tcPr>
            <w:tcW w:w="2564" w:type="dxa"/>
            <w:vAlign w:val="bottom"/>
          </w:tcPr>
          <w:p w14:paraId="151701D3" w14:textId="77777777" w:rsidR="00864FA6" w:rsidRDefault="00864FA6" w:rsidP="00F343BD">
            <w:pPr>
              <w:pStyle w:val="xLedtext"/>
            </w:pPr>
          </w:p>
        </w:tc>
      </w:tr>
      <w:tr w:rsidR="00864FA6" w14:paraId="2FA8F9D3" w14:textId="77777777" w:rsidTr="00864FA6">
        <w:trPr>
          <w:cantSplit/>
          <w:trHeight w:val="238"/>
        </w:trPr>
        <w:tc>
          <w:tcPr>
            <w:tcW w:w="5296" w:type="dxa"/>
            <w:gridSpan w:val="2"/>
            <w:vMerge/>
          </w:tcPr>
          <w:p w14:paraId="59AB4512" w14:textId="77777777" w:rsidR="00864FA6" w:rsidRDefault="00864FA6">
            <w:pPr>
              <w:pStyle w:val="xAvsandare2"/>
            </w:pPr>
          </w:p>
        </w:tc>
        <w:tc>
          <w:tcPr>
            <w:tcW w:w="1721" w:type="dxa"/>
            <w:vAlign w:val="center"/>
          </w:tcPr>
          <w:p w14:paraId="1A85ABEB" w14:textId="021B78A0" w:rsidR="00864FA6" w:rsidRDefault="001E0FCE" w:rsidP="00A5270F">
            <w:pPr>
              <w:pStyle w:val="xDatum1"/>
            </w:pPr>
            <w:r>
              <w:t>20</w:t>
            </w:r>
            <w:r w:rsidR="007437FB">
              <w:t>2</w:t>
            </w:r>
            <w:r w:rsidR="00AD408A">
              <w:t>2</w:t>
            </w:r>
            <w:r>
              <w:t>-</w:t>
            </w:r>
            <w:r w:rsidR="00141C6C">
              <w:t>06-02</w:t>
            </w:r>
          </w:p>
        </w:tc>
        <w:tc>
          <w:tcPr>
            <w:tcW w:w="2564" w:type="dxa"/>
            <w:vAlign w:val="center"/>
          </w:tcPr>
          <w:p w14:paraId="15210AD3" w14:textId="77777777" w:rsidR="00864FA6" w:rsidRDefault="00864FA6">
            <w:pPr>
              <w:pStyle w:val="xBeteckning1"/>
            </w:pPr>
          </w:p>
        </w:tc>
      </w:tr>
      <w:tr w:rsidR="00850D2A" w14:paraId="27DCE02E" w14:textId="77777777" w:rsidTr="007437FB">
        <w:trPr>
          <w:cantSplit/>
          <w:trHeight w:val="331"/>
        </w:trPr>
        <w:tc>
          <w:tcPr>
            <w:tcW w:w="5296" w:type="dxa"/>
            <w:gridSpan w:val="2"/>
          </w:tcPr>
          <w:p w14:paraId="0084DDD6" w14:textId="0E41FBED" w:rsidR="00850D2A" w:rsidRPr="00BF07DC" w:rsidRDefault="00850D2A">
            <w:pPr>
              <w:pStyle w:val="xLedtext"/>
              <w:rPr>
                <w:sz w:val="20"/>
                <w:szCs w:val="20"/>
              </w:rPr>
            </w:pPr>
          </w:p>
        </w:tc>
        <w:tc>
          <w:tcPr>
            <w:tcW w:w="1721" w:type="dxa"/>
            <w:vAlign w:val="bottom"/>
          </w:tcPr>
          <w:p w14:paraId="043F077A" w14:textId="77777777" w:rsidR="00850D2A" w:rsidRDefault="00850D2A">
            <w:pPr>
              <w:pStyle w:val="xLedtext"/>
            </w:pPr>
          </w:p>
        </w:tc>
        <w:tc>
          <w:tcPr>
            <w:tcW w:w="2564" w:type="dxa"/>
            <w:vAlign w:val="bottom"/>
          </w:tcPr>
          <w:p w14:paraId="010E97A9" w14:textId="77777777" w:rsidR="00850D2A" w:rsidRDefault="00850D2A">
            <w:pPr>
              <w:pStyle w:val="xLedtext"/>
            </w:pPr>
          </w:p>
        </w:tc>
      </w:tr>
      <w:tr w:rsidR="00850D2A" w14:paraId="7E77E864" w14:textId="77777777" w:rsidTr="007437FB">
        <w:trPr>
          <w:cantSplit/>
          <w:trHeight w:val="80"/>
        </w:trPr>
        <w:tc>
          <w:tcPr>
            <w:tcW w:w="5296" w:type="dxa"/>
            <w:gridSpan w:val="2"/>
            <w:tcBorders>
              <w:bottom w:val="single" w:sz="4" w:space="0" w:color="auto"/>
            </w:tcBorders>
          </w:tcPr>
          <w:p w14:paraId="5F911E9A" w14:textId="21442DB2" w:rsidR="00850D2A" w:rsidRDefault="00A62441">
            <w:pPr>
              <w:pStyle w:val="xAvsandare3"/>
            </w:pPr>
            <w:r>
              <w:t xml:space="preserve"> </w:t>
            </w:r>
            <w:r w:rsidR="0062656A">
              <w:t xml:space="preserve">  </w:t>
            </w:r>
          </w:p>
        </w:tc>
        <w:tc>
          <w:tcPr>
            <w:tcW w:w="1721" w:type="dxa"/>
            <w:tcBorders>
              <w:bottom w:val="single" w:sz="4" w:space="0" w:color="auto"/>
            </w:tcBorders>
            <w:vAlign w:val="center"/>
          </w:tcPr>
          <w:p w14:paraId="5D4FDE4F" w14:textId="77777777" w:rsidR="00850D2A" w:rsidRDefault="00850D2A">
            <w:pPr>
              <w:pStyle w:val="xDatum2"/>
            </w:pPr>
          </w:p>
        </w:tc>
        <w:tc>
          <w:tcPr>
            <w:tcW w:w="2564" w:type="dxa"/>
            <w:tcBorders>
              <w:bottom w:val="single" w:sz="4" w:space="0" w:color="auto"/>
            </w:tcBorders>
            <w:vAlign w:val="center"/>
          </w:tcPr>
          <w:p w14:paraId="5C10757B" w14:textId="77777777" w:rsidR="00850D2A" w:rsidRDefault="00850D2A">
            <w:pPr>
              <w:pStyle w:val="xBeteckning2"/>
            </w:pPr>
          </w:p>
        </w:tc>
      </w:tr>
      <w:tr w:rsidR="000E14E2" w14:paraId="1D5C2EE8" w14:textId="77777777" w:rsidTr="00864FA6">
        <w:trPr>
          <w:cantSplit/>
          <w:trHeight w:val="238"/>
        </w:trPr>
        <w:tc>
          <w:tcPr>
            <w:tcW w:w="858" w:type="dxa"/>
            <w:tcBorders>
              <w:top w:val="single" w:sz="4" w:space="0" w:color="auto"/>
            </w:tcBorders>
            <w:vAlign w:val="bottom"/>
          </w:tcPr>
          <w:p w14:paraId="591B3611" w14:textId="77777777" w:rsidR="000E14E2" w:rsidRDefault="000E14E2">
            <w:pPr>
              <w:pStyle w:val="xLedtext"/>
            </w:pPr>
          </w:p>
        </w:tc>
        <w:tc>
          <w:tcPr>
            <w:tcW w:w="4438" w:type="dxa"/>
            <w:tcBorders>
              <w:top w:val="single" w:sz="4" w:space="0" w:color="auto"/>
            </w:tcBorders>
            <w:vAlign w:val="bottom"/>
          </w:tcPr>
          <w:p w14:paraId="03F62031" w14:textId="77777777" w:rsidR="000E14E2" w:rsidRDefault="000E14E2">
            <w:pPr>
              <w:pStyle w:val="xLedtext"/>
            </w:pPr>
          </w:p>
        </w:tc>
        <w:tc>
          <w:tcPr>
            <w:tcW w:w="4285" w:type="dxa"/>
            <w:gridSpan w:val="2"/>
            <w:tcBorders>
              <w:top w:val="single" w:sz="4" w:space="0" w:color="auto"/>
            </w:tcBorders>
            <w:vAlign w:val="bottom"/>
          </w:tcPr>
          <w:p w14:paraId="143DAE80" w14:textId="77777777" w:rsidR="000E14E2" w:rsidRDefault="000E14E2">
            <w:pPr>
              <w:pStyle w:val="xLedtext"/>
            </w:pPr>
          </w:p>
        </w:tc>
      </w:tr>
      <w:tr w:rsidR="000E14E2" w14:paraId="7EADC6A7" w14:textId="77777777" w:rsidTr="00864FA6">
        <w:trPr>
          <w:cantSplit/>
          <w:trHeight w:val="238"/>
        </w:trPr>
        <w:tc>
          <w:tcPr>
            <w:tcW w:w="858" w:type="dxa"/>
          </w:tcPr>
          <w:p w14:paraId="74803BEA" w14:textId="77777777" w:rsidR="000E14E2" w:rsidRDefault="000E14E2">
            <w:pPr>
              <w:pStyle w:val="xCelltext"/>
            </w:pPr>
          </w:p>
        </w:tc>
        <w:tc>
          <w:tcPr>
            <w:tcW w:w="4438" w:type="dxa"/>
            <w:vMerge w:val="restart"/>
          </w:tcPr>
          <w:p w14:paraId="768784B4" w14:textId="77777777" w:rsidR="000E14E2" w:rsidRDefault="000E14E2">
            <w:pPr>
              <w:pStyle w:val="xMottagare1"/>
            </w:pPr>
            <w:r>
              <w:t>Till Ålands lagting</w:t>
            </w:r>
          </w:p>
        </w:tc>
        <w:tc>
          <w:tcPr>
            <w:tcW w:w="4285" w:type="dxa"/>
            <w:gridSpan w:val="2"/>
            <w:vMerge w:val="restart"/>
          </w:tcPr>
          <w:p w14:paraId="47FAE19B" w14:textId="77777777" w:rsidR="000E14E2" w:rsidRDefault="000E14E2">
            <w:pPr>
              <w:pStyle w:val="xMottagare1"/>
              <w:tabs>
                <w:tab w:val="left" w:pos="2349"/>
              </w:tabs>
            </w:pPr>
          </w:p>
        </w:tc>
      </w:tr>
      <w:tr w:rsidR="000E14E2" w14:paraId="7FBC44B6" w14:textId="77777777" w:rsidTr="00864FA6">
        <w:trPr>
          <w:cantSplit/>
          <w:trHeight w:val="238"/>
        </w:trPr>
        <w:tc>
          <w:tcPr>
            <w:tcW w:w="858" w:type="dxa"/>
          </w:tcPr>
          <w:p w14:paraId="6BAB0294" w14:textId="77777777" w:rsidR="000E14E2" w:rsidRDefault="000E14E2">
            <w:pPr>
              <w:pStyle w:val="xCelltext"/>
            </w:pPr>
          </w:p>
        </w:tc>
        <w:tc>
          <w:tcPr>
            <w:tcW w:w="4438" w:type="dxa"/>
            <w:vMerge/>
            <w:vAlign w:val="center"/>
          </w:tcPr>
          <w:p w14:paraId="1A8EE92B" w14:textId="77777777" w:rsidR="000E14E2" w:rsidRDefault="000E14E2">
            <w:pPr>
              <w:pStyle w:val="xCelltext"/>
            </w:pPr>
          </w:p>
        </w:tc>
        <w:tc>
          <w:tcPr>
            <w:tcW w:w="4285" w:type="dxa"/>
            <w:gridSpan w:val="2"/>
            <w:vMerge/>
            <w:vAlign w:val="center"/>
          </w:tcPr>
          <w:p w14:paraId="7793E4C5" w14:textId="77777777" w:rsidR="000E14E2" w:rsidRDefault="000E14E2">
            <w:pPr>
              <w:pStyle w:val="xCelltext"/>
            </w:pPr>
          </w:p>
        </w:tc>
      </w:tr>
      <w:tr w:rsidR="000E14E2" w14:paraId="72AD5F15" w14:textId="77777777" w:rsidTr="00864FA6">
        <w:trPr>
          <w:cantSplit/>
          <w:trHeight w:val="238"/>
        </w:trPr>
        <w:tc>
          <w:tcPr>
            <w:tcW w:w="858" w:type="dxa"/>
          </w:tcPr>
          <w:p w14:paraId="74A4F0BA" w14:textId="77777777" w:rsidR="000E14E2" w:rsidRDefault="000E14E2">
            <w:pPr>
              <w:pStyle w:val="xCelltext"/>
            </w:pPr>
          </w:p>
        </w:tc>
        <w:tc>
          <w:tcPr>
            <w:tcW w:w="4438" w:type="dxa"/>
            <w:vMerge/>
            <w:vAlign w:val="center"/>
          </w:tcPr>
          <w:p w14:paraId="76B3FE16" w14:textId="77777777" w:rsidR="000E14E2" w:rsidRDefault="000E14E2">
            <w:pPr>
              <w:pStyle w:val="xCelltext"/>
            </w:pPr>
          </w:p>
        </w:tc>
        <w:tc>
          <w:tcPr>
            <w:tcW w:w="4285" w:type="dxa"/>
            <w:gridSpan w:val="2"/>
            <w:vMerge/>
            <w:vAlign w:val="center"/>
          </w:tcPr>
          <w:p w14:paraId="72278F32" w14:textId="77777777" w:rsidR="000E14E2" w:rsidRDefault="000E14E2">
            <w:pPr>
              <w:pStyle w:val="xCelltext"/>
            </w:pPr>
          </w:p>
        </w:tc>
      </w:tr>
      <w:tr w:rsidR="000E14E2" w14:paraId="539030E2" w14:textId="77777777" w:rsidTr="00864FA6">
        <w:trPr>
          <w:cantSplit/>
          <w:trHeight w:val="238"/>
        </w:trPr>
        <w:tc>
          <w:tcPr>
            <w:tcW w:w="858" w:type="dxa"/>
          </w:tcPr>
          <w:p w14:paraId="00259474" w14:textId="77777777" w:rsidR="000E14E2" w:rsidRDefault="000E14E2">
            <w:pPr>
              <w:pStyle w:val="xCelltext"/>
            </w:pPr>
          </w:p>
        </w:tc>
        <w:tc>
          <w:tcPr>
            <w:tcW w:w="4438" w:type="dxa"/>
            <w:vMerge/>
            <w:vAlign w:val="center"/>
          </w:tcPr>
          <w:p w14:paraId="3CBCE84E" w14:textId="77777777" w:rsidR="000E14E2" w:rsidRDefault="000E14E2">
            <w:pPr>
              <w:pStyle w:val="xCelltext"/>
            </w:pPr>
          </w:p>
        </w:tc>
        <w:tc>
          <w:tcPr>
            <w:tcW w:w="4285" w:type="dxa"/>
            <w:gridSpan w:val="2"/>
            <w:vMerge/>
            <w:vAlign w:val="center"/>
          </w:tcPr>
          <w:p w14:paraId="3628BABA" w14:textId="77777777" w:rsidR="000E14E2" w:rsidRDefault="000E14E2">
            <w:pPr>
              <w:pStyle w:val="xCelltext"/>
            </w:pPr>
          </w:p>
        </w:tc>
      </w:tr>
      <w:tr w:rsidR="000E14E2" w14:paraId="36AF4DCC" w14:textId="77777777" w:rsidTr="00864FA6">
        <w:trPr>
          <w:cantSplit/>
          <w:trHeight w:val="238"/>
        </w:trPr>
        <w:tc>
          <w:tcPr>
            <w:tcW w:w="858" w:type="dxa"/>
          </w:tcPr>
          <w:p w14:paraId="5DB03A99" w14:textId="77777777" w:rsidR="000E14E2" w:rsidRDefault="000E14E2">
            <w:pPr>
              <w:pStyle w:val="xCelltext"/>
            </w:pPr>
          </w:p>
        </w:tc>
        <w:tc>
          <w:tcPr>
            <w:tcW w:w="4438" w:type="dxa"/>
            <w:vMerge/>
            <w:vAlign w:val="center"/>
          </w:tcPr>
          <w:p w14:paraId="4CC4DA05" w14:textId="77777777" w:rsidR="000E14E2" w:rsidRDefault="000E14E2">
            <w:pPr>
              <w:pStyle w:val="xCelltext"/>
            </w:pPr>
          </w:p>
        </w:tc>
        <w:tc>
          <w:tcPr>
            <w:tcW w:w="4285" w:type="dxa"/>
            <w:gridSpan w:val="2"/>
            <w:vMerge/>
            <w:vAlign w:val="center"/>
          </w:tcPr>
          <w:p w14:paraId="36ECD4DF" w14:textId="77777777" w:rsidR="000E14E2" w:rsidRDefault="000E14E2">
            <w:pPr>
              <w:pStyle w:val="xCelltext"/>
            </w:pPr>
          </w:p>
        </w:tc>
      </w:tr>
    </w:tbl>
    <w:p w14:paraId="7E485C54" w14:textId="77777777" w:rsidR="000E14E2" w:rsidRDefault="000E14E2">
      <w:pPr>
        <w:rPr>
          <w:b/>
          <w:bCs/>
        </w:rPr>
        <w:sectPr w:rsidR="000E14E2">
          <w:footerReference w:type="even" r:id="rId10"/>
          <w:footerReference w:type="default" r:id="rId11"/>
          <w:footerReference w:type="first" r:id="rId12"/>
          <w:pgSz w:w="11906" w:h="16838" w:code="9"/>
          <w:pgMar w:top="567" w:right="1134" w:bottom="1134" w:left="1191" w:header="624" w:footer="851" w:gutter="0"/>
          <w:cols w:space="708"/>
          <w:docGrid w:linePitch="360"/>
        </w:sectPr>
      </w:pPr>
    </w:p>
    <w:p w14:paraId="390AFED3" w14:textId="77777777" w:rsidR="00A5270F" w:rsidRDefault="00A5270F">
      <w:pPr>
        <w:pStyle w:val="ArendeRubrik"/>
      </w:pPr>
    </w:p>
    <w:p w14:paraId="75DEA550" w14:textId="77777777" w:rsidR="00A5270F" w:rsidRDefault="00A5270F">
      <w:pPr>
        <w:pStyle w:val="ArendeRubrik"/>
      </w:pPr>
    </w:p>
    <w:p w14:paraId="7978E4E5" w14:textId="77777777" w:rsidR="00A5270F" w:rsidRDefault="00A5270F" w:rsidP="00A5270F">
      <w:pPr>
        <w:pStyle w:val="ArendeRubrik"/>
        <w:jc w:val="both"/>
      </w:pPr>
    </w:p>
    <w:p w14:paraId="2DF228B1" w14:textId="543D970C" w:rsidR="00A5270F" w:rsidRDefault="004C4D97" w:rsidP="00A5270F">
      <w:pPr>
        <w:pStyle w:val="ArendeRubrik"/>
        <w:jc w:val="both"/>
      </w:pPr>
      <w:r>
        <w:t xml:space="preserve">Svar på </w:t>
      </w:r>
      <w:r w:rsidR="00507D72">
        <w:t xml:space="preserve"> </w:t>
      </w:r>
    </w:p>
    <w:p w14:paraId="3E0FDFC0" w14:textId="046E97E5" w:rsidR="004C4D97" w:rsidRPr="004C4D97" w:rsidRDefault="008E3C19" w:rsidP="004C4D97">
      <w:pPr>
        <w:pStyle w:val="ArendeUnderRubrik"/>
      </w:pPr>
      <w:r>
        <w:t>GR</w:t>
      </w:r>
      <w:r w:rsidR="00451AF2">
        <w:t xml:space="preserve"> </w:t>
      </w:r>
      <w:r w:rsidR="00141C6C">
        <w:t>1</w:t>
      </w:r>
      <w:r w:rsidR="009B100D">
        <w:t>/</w:t>
      </w:r>
      <w:proofErr w:type="gramStart"/>
      <w:r w:rsidR="009B100D">
        <w:t>20</w:t>
      </w:r>
      <w:r w:rsidR="00AD408A">
        <w:t>21</w:t>
      </w:r>
      <w:r w:rsidR="009B100D">
        <w:t>-20</w:t>
      </w:r>
      <w:r w:rsidR="007437FB">
        <w:t>2</w:t>
      </w:r>
      <w:r w:rsidR="00AD408A">
        <w:t>2</w:t>
      </w:r>
      <w:proofErr w:type="gramEnd"/>
    </w:p>
    <w:p w14:paraId="02078D3D" w14:textId="77777777" w:rsidR="00A5270F" w:rsidRDefault="00A5270F" w:rsidP="00A5270F">
      <w:pPr>
        <w:pStyle w:val="ANormal"/>
      </w:pPr>
    </w:p>
    <w:p w14:paraId="0C4DD6C1" w14:textId="7A639298" w:rsidR="002A460A" w:rsidRPr="00487FAE" w:rsidRDefault="002A460A" w:rsidP="002A460A">
      <w:pPr>
        <w:jc w:val="both"/>
        <w:rPr>
          <w:sz w:val="22"/>
          <w:szCs w:val="22"/>
        </w:rPr>
      </w:pPr>
      <w:r w:rsidRPr="00487FAE">
        <w:rPr>
          <w:sz w:val="22"/>
          <w:szCs w:val="22"/>
        </w:rPr>
        <w:t xml:space="preserve">Lagtinget har i enlighet med 7 § landskapslagen (2013:25) om Landskapsrevisionen delgivit landskapsregeringen en </w:t>
      </w:r>
      <w:r w:rsidR="006B0EC1">
        <w:rPr>
          <w:sz w:val="22"/>
          <w:szCs w:val="22"/>
        </w:rPr>
        <w:t>granskningsrapport</w:t>
      </w:r>
      <w:r w:rsidRPr="00487FAE">
        <w:rPr>
          <w:sz w:val="22"/>
          <w:szCs w:val="22"/>
        </w:rPr>
        <w:t xml:space="preserve"> med resultaten från effektivitetsrevisionen av hanteringen av PAF-medel inom förvaltningen.</w:t>
      </w:r>
    </w:p>
    <w:p w14:paraId="21346502" w14:textId="77777777" w:rsidR="002A460A" w:rsidRPr="00487FAE" w:rsidRDefault="002A460A" w:rsidP="002A460A">
      <w:pPr>
        <w:jc w:val="both"/>
        <w:rPr>
          <w:sz w:val="22"/>
          <w:szCs w:val="22"/>
        </w:rPr>
      </w:pPr>
    </w:p>
    <w:p w14:paraId="7213CEB9" w14:textId="77777777" w:rsidR="002A460A" w:rsidRPr="00487FAE" w:rsidRDefault="002A460A" w:rsidP="002A460A">
      <w:pPr>
        <w:jc w:val="both"/>
        <w:rPr>
          <w:sz w:val="22"/>
          <w:szCs w:val="22"/>
        </w:rPr>
      </w:pPr>
      <w:r w:rsidRPr="00487FAE">
        <w:rPr>
          <w:sz w:val="22"/>
          <w:szCs w:val="22"/>
        </w:rPr>
        <w:t xml:space="preserve">Landskapsregeringen meddelar med anledning av detta vilka åtgärder man avser vidta med anledning av </w:t>
      </w:r>
      <w:r>
        <w:rPr>
          <w:sz w:val="22"/>
          <w:szCs w:val="22"/>
        </w:rPr>
        <w:t>rapporten</w:t>
      </w:r>
      <w:r w:rsidRPr="00487FAE">
        <w:rPr>
          <w:sz w:val="22"/>
          <w:szCs w:val="22"/>
        </w:rPr>
        <w:t>.</w:t>
      </w:r>
    </w:p>
    <w:p w14:paraId="71231830" w14:textId="411936E7" w:rsidR="00C9702E" w:rsidRPr="00141C6C" w:rsidRDefault="00C9702E" w:rsidP="00AD408A">
      <w:pPr>
        <w:jc w:val="both"/>
        <w:rPr>
          <w:sz w:val="22"/>
          <w:szCs w:val="22"/>
        </w:rPr>
      </w:pPr>
    </w:p>
    <w:tbl>
      <w:tblPr>
        <w:tblW w:w="7931" w:type="dxa"/>
        <w:tblCellMar>
          <w:left w:w="0" w:type="dxa"/>
          <w:right w:w="0" w:type="dxa"/>
        </w:tblCellMar>
        <w:tblLook w:val="0000" w:firstRow="0" w:lastRow="0" w:firstColumn="0" w:lastColumn="0" w:noHBand="0" w:noVBand="0"/>
      </w:tblPr>
      <w:tblGrid>
        <w:gridCol w:w="4454"/>
        <w:gridCol w:w="3477"/>
      </w:tblGrid>
      <w:tr w:rsidR="00141C6C" w:rsidRPr="00141C6C" w14:paraId="1674456A" w14:textId="77777777" w:rsidTr="00D23FA5">
        <w:trPr>
          <w:cantSplit/>
        </w:trPr>
        <w:tc>
          <w:tcPr>
            <w:tcW w:w="7931" w:type="dxa"/>
            <w:gridSpan w:val="2"/>
          </w:tcPr>
          <w:p w14:paraId="5BC7A23F" w14:textId="77777777" w:rsidR="00AD408A" w:rsidRPr="00141C6C" w:rsidRDefault="00AD408A" w:rsidP="0005248B">
            <w:pPr>
              <w:pStyle w:val="ANormal"/>
              <w:keepNext/>
            </w:pPr>
          </w:p>
          <w:p w14:paraId="6A63EC7C" w14:textId="3D09DA73" w:rsidR="00A5270F" w:rsidRPr="00141C6C" w:rsidRDefault="00A71258" w:rsidP="0005248B">
            <w:pPr>
              <w:pStyle w:val="ANormal"/>
              <w:keepNext/>
            </w:pPr>
            <w:r w:rsidRPr="00141C6C">
              <w:t xml:space="preserve">Mariehamn den </w:t>
            </w:r>
            <w:r w:rsidR="00141C6C">
              <w:t>2 juni</w:t>
            </w:r>
            <w:r w:rsidRPr="00141C6C">
              <w:t xml:space="preserve"> </w:t>
            </w:r>
            <w:r w:rsidR="00C02D58" w:rsidRPr="00141C6C">
              <w:t>20</w:t>
            </w:r>
            <w:r w:rsidR="007437FB" w:rsidRPr="00141C6C">
              <w:t>2</w:t>
            </w:r>
            <w:r w:rsidR="00AD408A" w:rsidRPr="00141C6C">
              <w:t>2</w:t>
            </w:r>
          </w:p>
        </w:tc>
      </w:tr>
      <w:tr w:rsidR="00141C6C" w:rsidRPr="00141C6C" w14:paraId="27AA099F" w14:textId="77777777" w:rsidTr="00D23FA5">
        <w:tc>
          <w:tcPr>
            <w:tcW w:w="4454" w:type="dxa"/>
            <w:vAlign w:val="bottom"/>
          </w:tcPr>
          <w:p w14:paraId="0597AA5C" w14:textId="77777777" w:rsidR="00A5270F" w:rsidRPr="00141C6C" w:rsidRDefault="00A5270F" w:rsidP="00D23FA5">
            <w:pPr>
              <w:pStyle w:val="ANormal"/>
              <w:keepNext/>
            </w:pPr>
          </w:p>
          <w:p w14:paraId="266F3D67" w14:textId="77777777" w:rsidR="00A5270F" w:rsidRPr="00141C6C" w:rsidRDefault="00A5270F" w:rsidP="00D23FA5">
            <w:pPr>
              <w:pStyle w:val="ANormal"/>
              <w:keepNext/>
            </w:pPr>
          </w:p>
          <w:p w14:paraId="149351D1" w14:textId="77777777" w:rsidR="00A5270F" w:rsidRPr="00141C6C" w:rsidRDefault="00A5270F" w:rsidP="00D23FA5">
            <w:pPr>
              <w:pStyle w:val="ANormal"/>
              <w:keepNext/>
            </w:pPr>
          </w:p>
          <w:p w14:paraId="72B677A5" w14:textId="5266CEB9" w:rsidR="00A5270F" w:rsidRPr="00141C6C" w:rsidRDefault="003B2E72" w:rsidP="00D23FA5">
            <w:pPr>
              <w:pStyle w:val="ANormal"/>
              <w:keepNext/>
            </w:pPr>
            <w:proofErr w:type="spellStart"/>
            <w:r w:rsidRPr="00141C6C">
              <w:t>Lantråd</w:t>
            </w:r>
            <w:proofErr w:type="spellEnd"/>
          </w:p>
        </w:tc>
        <w:tc>
          <w:tcPr>
            <w:tcW w:w="3477" w:type="dxa"/>
            <w:vAlign w:val="bottom"/>
          </w:tcPr>
          <w:p w14:paraId="5D18E209" w14:textId="77777777" w:rsidR="00A5270F" w:rsidRPr="00141C6C" w:rsidRDefault="00A5270F" w:rsidP="00D23FA5">
            <w:pPr>
              <w:pStyle w:val="ANormal"/>
              <w:keepNext/>
            </w:pPr>
          </w:p>
          <w:p w14:paraId="1EA45F18" w14:textId="77777777" w:rsidR="00A5270F" w:rsidRPr="00141C6C" w:rsidRDefault="00A5270F" w:rsidP="00D23FA5">
            <w:pPr>
              <w:pStyle w:val="ANormal"/>
              <w:keepNext/>
            </w:pPr>
          </w:p>
          <w:p w14:paraId="22E0DDCF" w14:textId="0C883C15" w:rsidR="00A5270F" w:rsidRPr="00141C6C" w:rsidRDefault="007437FB" w:rsidP="00D23FA5">
            <w:pPr>
              <w:pStyle w:val="ANormal"/>
              <w:keepNext/>
            </w:pPr>
            <w:r w:rsidRPr="00141C6C">
              <w:t>Veronica Thörnroos</w:t>
            </w:r>
          </w:p>
        </w:tc>
      </w:tr>
      <w:tr w:rsidR="00141C6C" w:rsidRPr="00141C6C" w14:paraId="79E8423F" w14:textId="77777777" w:rsidTr="00D23FA5">
        <w:tc>
          <w:tcPr>
            <w:tcW w:w="4454" w:type="dxa"/>
            <w:vAlign w:val="bottom"/>
          </w:tcPr>
          <w:p w14:paraId="681184C3" w14:textId="77777777" w:rsidR="00A53B95" w:rsidRPr="00141C6C" w:rsidRDefault="00A53B95" w:rsidP="00D23FA5">
            <w:pPr>
              <w:pStyle w:val="ANormal"/>
              <w:keepNext/>
            </w:pPr>
          </w:p>
          <w:p w14:paraId="5BF928B9" w14:textId="77777777" w:rsidR="00A53B95" w:rsidRPr="00141C6C" w:rsidRDefault="00A53B95" w:rsidP="00D23FA5">
            <w:pPr>
              <w:pStyle w:val="ANormal"/>
              <w:keepNext/>
            </w:pPr>
          </w:p>
          <w:p w14:paraId="7F98861A" w14:textId="77777777" w:rsidR="00A53B95" w:rsidRPr="00141C6C" w:rsidRDefault="00A53B95" w:rsidP="00D23FA5">
            <w:pPr>
              <w:pStyle w:val="ANormal"/>
              <w:keepNext/>
            </w:pPr>
          </w:p>
          <w:p w14:paraId="413FCDD0" w14:textId="009C19DB" w:rsidR="00A5270F" w:rsidRPr="00141C6C" w:rsidRDefault="00945914" w:rsidP="00D23FA5">
            <w:pPr>
              <w:pStyle w:val="ANormal"/>
              <w:keepNext/>
            </w:pPr>
            <w:proofErr w:type="spellStart"/>
            <w:r w:rsidRPr="00141C6C">
              <w:t>Vicelantråd</w:t>
            </w:r>
            <w:proofErr w:type="spellEnd"/>
            <w:r w:rsidRPr="00141C6C">
              <w:t xml:space="preserve"> </w:t>
            </w:r>
          </w:p>
        </w:tc>
        <w:tc>
          <w:tcPr>
            <w:tcW w:w="3477" w:type="dxa"/>
            <w:vAlign w:val="bottom"/>
          </w:tcPr>
          <w:p w14:paraId="47C76F1E" w14:textId="77777777" w:rsidR="00A5270F" w:rsidRPr="00141C6C" w:rsidRDefault="00A5270F" w:rsidP="00D23FA5">
            <w:pPr>
              <w:pStyle w:val="ANormal"/>
              <w:keepNext/>
            </w:pPr>
          </w:p>
          <w:p w14:paraId="48FEA179" w14:textId="77777777" w:rsidR="00A5270F" w:rsidRPr="00141C6C" w:rsidRDefault="00A5270F" w:rsidP="00D23FA5">
            <w:pPr>
              <w:pStyle w:val="ANormal"/>
              <w:keepNext/>
            </w:pPr>
          </w:p>
          <w:p w14:paraId="6B85750C" w14:textId="3D4C9146" w:rsidR="00A5270F" w:rsidRPr="00141C6C" w:rsidRDefault="007437FB" w:rsidP="00C02D58">
            <w:pPr>
              <w:pStyle w:val="ANormal"/>
              <w:keepNext/>
            </w:pPr>
            <w:r w:rsidRPr="00141C6C">
              <w:t>Harry Jansson</w:t>
            </w:r>
            <w:r w:rsidR="00C02D58" w:rsidRPr="00141C6C">
              <w:t xml:space="preserve"> </w:t>
            </w:r>
          </w:p>
        </w:tc>
      </w:tr>
    </w:tbl>
    <w:p w14:paraId="5E425283" w14:textId="77777777" w:rsidR="006E7F82" w:rsidRPr="00A77AB6" w:rsidRDefault="006E7F82">
      <w:pPr>
        <w:pStyle w:val="ArendeRubrik"/>
      </w:pPr>
    </w:p>
    <w:p w14:paraId="61ED9B33" w14:textId="77777777" w:rsidR="00207182" w:rsidRPr="00516F8F" w:rsidRDefault="006E7F82" w:rsidP="00516F8F">
      <w:pPr>
        <w:rPr>
          <w:rFonts w:ascii="Arial" w:hAnsi="Arial" w:cs="Arial"/>
          <w:b/>
          <w:bCs/>
          <w:sz w:val="26"/>
          <w:szCs w:val="20"/>
        </w:rPr>
      </w:pPr>
      <w:r w:rsidRPr="00A77AB6">
        <w:br w:type="page"/>
      </w:r>
    </w:p>
    <w:p w14:paraId="403B09A3" w14:textId="4AC4D0C4" w:rsidR="00882E6D" w:rsidRPr="00141C6C" w:rsidRDefault="004E757E" w:rsidP="00882E6D">
      <w:pPr>
        <w:pStyle w:val="RubrikA"/>
        <w:rPr>
          <w:b/>
          <w:bCs/>
          <w:i/>
          <w:iCs/>
        </w:rPr>
      </w:pPr>
      <w:r w:rsidRPr="004E757E">
        <w:rPr>
          <w:lang w:eastAsia="sv-FI"/>
        </w:rPr>
        <w:lastRenderedPageBreak/>
        <w:t>Granskning av hantering av PAF-medel inom landskapsförvaltningen</w:t>
      </w:r>
    </w:p>
    <w:p w14:paraId="33ED93FF" w14:textId="77777777" w:rsidR="00882E6D" w:rsidRDefault="00882E6D" w:rsidP="00882E6D">
      <w:pPr>
        <w:pStyle w:val="RubrikB"/>
        <w:rPr>
          <w:lang w:eastAsia="sv-FI"/>
        </w:rPr>
      </w:pPr>
    </w:p>
    <w:p w14:paraId="16C883E5" w14:textId="77777777" w:rsidR="0013661C" w:rsidRDefault="0013661C" w:rsidP="0013661C">
      <w:pPr>
        <w:pStyle w:val="ANormal"/>
        <w:rPr>
          <w:lang w:eastAsia="sv-FI"/>
        </w:rPr>
      </w:pPr>
      <w:r>
        <w:rPr>
          <w:lang w:eastAsia="sv-FI"/>
        </w:rPr>
        <w:t>Syftet med granskningen är att belysa hanteringen av PAF-medel inom landskapsförvaltningen. Detta innefattar ansökningsprocessen, ansökningskriterier, stödens fördelning, den ekonomiska betydelsen, budgetering och bokföring.</w:t>
      </w:r>
    </w:p>
    <w:p w14:paraId="25789526" w14:textId="77777777" w:rsidR="0013661C" w:rsidRDefault="0013661C" w:rsidP="0013661C">
      <w:pPr>
        <w:pStyle w:val="ANormal"/>
        <w:rPr>
          <w:lang w:eastAsia="sv-FI"/>
        </w:rPr>
      </w:pPr>
    </w:p>
    <w:p w14:paraId="645F1D5D" w14:textId="1DFEAC0C" w:rsidR="00882E6D" w:rsidRPr="0013661C" w:rsidRDefault="0013661C" w:rsidP="0013661C">
      <w:pPr>
        <w:pStyle w:val="ANormal"/>
        <w:rPr>
          <w:b/>
          <w:bCs/>
          <w:lang w:eastAsia="sv-FI"/>
        </w:rPr>
      </w:pPr>
      <w:r w:rsidRPr="0013661C">
        <w:rPr>
          <w:b/>
          <w:bCs/>
          <w:lang w:eastAsia="sv-FI"/>
        </w:rPr>
        <w:t>De viktigaste slutsatserna och rekommendationerna i granskningsrapporten är följande:</w:t>
      </w:r>
    </w:p>
    <w:p w14:paraId="21AEA5FD" w14:textId="77777777" w:rsidR="00882E6D" w:rsidRDefault="00882E6D" w:rsidP="00882E6D">
      <w:pPr>
        <w:pStyle w:val="ANormal"/>
        <w:rPr>
          <w:lang w:eastAsia="sv-FI"/>
        </w:rPr>
      </w:pPr>
    </w:p>
    <w:p w14:paraId="3EAA3E67" w14:textId="77777777" w:rsidR="0013661C" w:rsidRPr="0013661C" w:rsidRDefault="0013661C" w:rsidP="0013661C">
      <w:pPr>
        <w:pStyle w:val="ANormal"/>
        <w:rPr>
          <w:b/>
          <w:bCs/>
          <w:i/>
          <w:iCs/>
          <w:lang w:eastAsia="sv-FI"/>
        </w:rPr>
      </w:pPr>
      <w:r w:rsidRPr="0013661C">
        <w:rPr>
          <w:b/>
          <w:bCs/>
          <w:i/>
          <w:iCs/>
          <w:lang w:eastAsia="sv-FI"/>
        </w:rPr>
        <w:t>Rekommendation – Kriteriedokumentet som ligger till grund för fördelningen borde genomgås årligen och vid behov uppdateras. I dokumentet borde en standardisering av egenfinansiering samt en gemensam kompletteringstid för samtliga sektorer införas.</w:t>
      </w:r>
    </w:p>
    <w:p w14:paraId="44229667" w14:textId="2428CF7C" w:rsidR="00882E6D" w:rsidRPr="00CE7AD7" w:rsidRDefault="0013661C" w:rsidP="0013661C">
      <w:pPr>
        <w:pStyle w:val="ANormal"/>
        <w:rPr>
          <w:b/>
          <w:bCs/>
          <w:i/>
          <w:iCs/>
          <w:lang w:eastAsia="sv-FI"/>
        </w:rPr>
      </w:pPr>
      <w:r w:rsidRPr="0013661C">
        <w:rPr>
          <w:b/>
          <w:bCs/>
          <w:i/>
          <w:iCs/>
          <w:lang w:eastAsia="sv-FI"/>
        </w:rPr>
        <w:t>Rekommendation – Enbart föreningar som inkommer med kompletta ansökningar borde kunna erhålla PAF­ medel. I dagsläget finns en diskrepans mellan uppsatta kriterier och verkligheten, vilket betyder att föreningar med icke kompletta ansökningar erhåller PAF-medel.</w:t>
      </w:r>
    </w:p>
    <w:p w14:paraId="7DF0CFCC" w14:textId="77777777" w:rsidR="00882E6D" w:rsidRDefault="00882E6D" w:rsidP="00882E6D">
      <w:pPr>
        <w:pStyle w:val="ANormal"/>
        <w:rPr>
          <w:lang w:eastAsia="sv-FI"/>
        </w:rPr>
      </w:pPr>
    </w:p>
    <w:p w14:paraId="1A60B1E8" w14:textId="3250DA06" w:rsidR="00882E6D" w:rsidRDefault="0013661C" w:rsidP="00882E6D">
      <w:pPr>
        <w:pStyle w:val="ANormal"/>
        <w:rPr>
          <w:lang w:eastAsia="sv-FI"/>
        </w:rPr>
      </w:pPr>
      <w:r w:rsidRPr="0013661C">
        <w:rPr>
          <w:lang w:eastAsia="sv-FI"/>
        </w:rPr>
        <w:t>Landskapsregeringens planerade åtgärder</w:t>
      </w:r>
      <w:r w:rsidR="00882E6D">
        <w:rPr>
          <w:lang w:eastAsia="sv-FI"/>
        </w:rPr>
        <w:t>:</w:t>
      </w:r>
    </w:p>
    <w:p w14:paraId="30C9928A" w14:textId="77777777" w:rsidR="0013661C" w:rsidRDefault="0013661C" w:rsidP="0013661C">
      <w:pPr>
        <w:pStyle w:val="ANormal"/>
        <w:numPr>
          <w:ilvl w:val="0"/>
          <w:numId w:val="14"/>
        </w:numPr>
        <w:rPr>
          <w:lang w:eastAsia="sv-FI"/>
        </w:rPr>
      </w:pPr>
      <w:r>
        <w:rPr>
          <w:lang w:eastAsia="sv-FI"/>
        </w:rPr>
        <w:t>Landskapsregeringen instämmer i att de principer som ligger till grund för fördelningen av medel bör ses över med viss regelbundenhet. Att revidera principerna så ofta som varje år medför emellertid en viss oförutsägbarhet för ansökande föreningar. En översyn bör därför lämpligen göras vart fjärde år i samband med val då förändrade prioriteringar kan bli aktuella. Nästa översyn sker således år 2023.</w:t>
      </w:r>
    </w:p>
    <w:p w14:paraId="0A95E13C" w14:textId="4007951F" w:rsidR="00882E6D" w:rsidRDefault="0013661C" w:rsidP="0013661C">
      <w:pPr>
        <w:pStyle w:val="ANormal"/>
        <w:numPr>
          <w:ilvl w:val="0"/>
          <w:numId w:val="14"/>
        </w:numPr>
        <w:rPr>
          <w:lang w:eastAsia="sv-FI"/>
        </w:rPr>
      </w:pPr>
      <w:r>
        <w:rPr>
          <w:lang w:eastAsia="sv-FI"/>
        </w:rPr>
        <w:t>Landskapsregeringen avser att vid nästa revidering av principerna förtydliga kravet på egenfinansiering samt ange ett slutdatum för möjligheten att komplettera ansökningshandlingarna.</w:t>
      </w:r>
    </w:p>
    <w:p w14:paraId="51DD48E5" w14:textId="77777777" w:rsidR="00E820AB" w:rsidRPr="00E820AB" w:rsidRDefault="00E820AB" w:rsidP="00882E6D">
      <w:pPr>
        <w:pStyle w:val="ANormal"/>
        <w:rPr>
          <w:lang w:eastAsia="sv-FI"/>
        </w:rPr>
      </w:pPr>
    </w:p>
    <w:p w14:paraId="0F3D42BE" w14:textId="63265D7C" w:rsidR="00882E6D" w:rsidRPr="004E757E" w:rsidRDefault="004E757E" w:rsidP="00882E6D">
      <w:pPr>
        <w:pStyle w:val="ANormal"/>
        <w:rPr>
          <w:b/>
          <w:bCs/>
          <w:i/>
          <w:iCs/>
          <w:lang w:eastAsia="sv-FI"/>
        </w:rPr>
      </w:pPr>
      <w:r w:rsidRPr="004E757E">
        <w:rPr>
          <w:b/>
          <w:bCs/>
          <w:i/>
          <w:iCs/>
          <w:lang w:eastAsia="sv-FI"/>
        </w:rPr>
        <w:t>Rekommendation – En blankett för resultatuppföljning borde införas. Transparensen gällande vilka ändamål som finansieras och vilka resultat som åstadkommits skulle öka. En sådan blankett skulle också minska arbetsbelastningen som uppstår under hösten för handläggarna.</w:t>
      </w:r>
    </w:p>
    <w:p w14:paraId="537A6D10" w14:textId="77777777" w:rsidR="00E820AB" w:rsidRDefault="00E820AB" w:rsidP="00882E6D">
      <w:pPr>
        <w:pStyle w:val="ANormal"/>
      </w:pPr>
    </w:p>
    <w:p w14:paraId="3C363DF4" w14:textId="217653D2" w:rsidR="00882E6D" w:rsidRDefault="004E757E" w:rsidP="00882E6D">
      <w:pPr>
        <w:pStyle w:val="ANormal"/>
      </w:pPr>
      <w:r w:rsidRPr="007F2267">
        <w:t>Landskapsregeringens planerade åtgärder:</w:t>
      </w:r>
    </w:p>
    <w:p w14:paraId="49EA3085" w14:textId="05993E60" w:rsidR="00FB5C87" w:rsidRDefault="00BE48B5" w:rsidP="004E757E">
      <w:pPr>
        <w:pStyle w:val="ANormal"/>
        <w:numPr>
          <w:ilvl w:val="0"/>
          <w:numId w:val="14"/>
        </w:numPr>
        <w:rPr>
          <w:lang w:eastAsia="sv-FI"/>
        </w:rPr>
      </w:pPr>
      <w:r w:rsidRPr="00DC303E">
        <w:t>En sådan blankett fanns för ett antal år sedan men upplevdes då alltför krånglig av föreningarna. Landskapsregeringen avser att</w:t>
      </w:r>
      <w:r>
        <w:t>,</w:t>
      </w:r>
      <w:r w:rsidRPr="00DC303E">
        <w:t xml:space="preserve"> inför nästa översyn av stödprinciperna</w:t>
      </w:r>
      <w:r>
        <w:t>,</w:t>
      </w:r>
      <w:r w:rsidRPr="00DC303E">
        <w:t xml:space="preserve"> utreda hur en blankett som förenklar både för föreningar och handläggare inom landskapsregeringen kan utformas. I detta arbete ingår att studera den blankett som Finland använder vid fördelningen av Veikkaus medel samt möjligheten att differentiera rapporteringskraven på föreningarna utifrån deras storlek och omsättning.</w:t>
      </w:r>
    </w:p>
    <w:p w14:paraId="76C16C62" w14:textId="77777777" w:rsidR="00E820AB" w:rsidRPr="00E820AB" w:rsidRDefault="00E820AB" w:rsidP="004E757E">
      <w:pPr>
        <w:pStyle w:val="ANormal"/>
        <w:rPr>
          <w:lang w:eastAsia="sv-FI"/>
        </w:rPr>
      </w:pPr>
    </w:p>
    <w:p w14:paraId="366D2730" w14:textId="1AB6ED7C" w:rsidR="004E757E" w:rsidRPr="004E757E" w:rsidRDefault="00BE48B5" w:rsidP="004E757E">
      <w:pPr>
        <w:pStyle w:val="ANormal"/>
        <w:rPr>
          <w:b/>
          <w:bCs/>
          <w:i/>
          <w:iCs/>
          <w:lang w:eastAsia="sv-FI"/>
        </w:rPr>
      </w:pPr>
      <w:r w:rsidRPr="00BE48B5">
        <w:rPr>
          <w:b/>
          <w:bCs/>
          <w:i/>
          <w:iCs/>
          <w:lang w:eastAsia="sv-FI"/>
        </w:rPr>
        <w:t>Rekommendation – att stickprovsgranskningar på mottagande föreningar görs årligen. Föreningar som mottagit både mindre och större belopp borde granskas genom stickprov för att säkerställa att alla kan bli föremål för granskning.</w:t>
      </w:r>
    </w:p>
    <w:p w14:paraId="14851BC1" w14:textId="75C1BB38" w:rsidR="004E757E" w:rsidRDefault="004E757E" w:rsidP="004E757E">
      <w:pPr>
        <w:pStyle w:val="ANormal"/>
      </w:pPr>
      <w:r w:rsidRPr="007F2267">
        <w:t>Landskapsregeringens planerade åtgärder:</w:t>
      </w:r>
    </w:p>
    <w:p w14:paraId="5186813F" w14:textId="4D694343" w:rsidR="004E757E" w:rsidRDefault="00BE48B5" w:rsidP="004E757E">
      <w:pPr>
        <w:pStyle w:val="ANormal"/>
        <w:numPr>
          <w:ilvl w:val="0"/>
          <w:numId w:val="14"/>
        </w:numPr>
        <w:rPr>
          <w:lang w:eastAsia="sv-FI"/>
        </w:rPr>
      </w:pPr>
      <w:r w:rsidRPr="00BE48B5">
        <w:rPr>
          <w:lang w:eastAsia="sv-FI"/>
        </w:rPr>
        <w:t>Landskapsregeringen anser i lik</w:t>
      </w:r>
      <w:r w:rsidR="00D4079D">
        <w:rPr>
          <w:lang w:eastAsia="sv-FI"/>
        </w:rPr>
        <w:t>h</w:t>
      </w:r>
      <w:r w:rsidRPr="00BE48B5">
        <w:rPr>
          <w:lang w:eastAsia="sv-FI"/>
        </w:rPr>
        <w:t xml:space="preserve">et med revisionen att stickprovgranskningar är angelägna, inte minst har de en preventiv effekt. För närvarande görs sådana vart tionde år och de har hittills inte visat på </w:t>
      </w:r>
      <w:r w:rsidRPr="00BE48B5">
        <w:rPr>
          <w:lang w:eastAsia="sv-FI"/>
        </w:rPr>
        <w:lastRenderedPageBreak/>
        <w:t>någon förekomst av oegentligheter, misshushållning av resurser eller liknande. Att genomföra stickprovsgranskningar årligen bedöms alltför kostsamt och ta mycket tid i anspråk av handläggarna, men ambitionen är att de framöver åtminstone ska ske vart fjärde år.</w:t>
      </w:r>
    </w:p>
    <w:p w14:paraId="4936529E" w14:textId="77777777" w:rsidR="00E820AB" w:rsidRDefault="00E820AB" w:rsidP="004E757E">
      <w:pPr>
        <w:pStyle w:val="ANormal"/>
      </w:pPr>
    </w:p>
    <w:p w14:paraId="502CDB35" w14:textId="4892F7B9" w:rsidR="004E757E" w:rsidRPr="00E820AB" w:rsidRDefault="00BE48B5" w:rsidP="004E757E">
      <w:pPr>
        <w:pStyle w:val="ANormal"/>
        <w:rPr>
          <w:b/>
          <w:bCs/>
          <w:i/>
          <w:iCs/>
        </w:rPr>
      </w:pPr>
      <w:r w:rsidRPr="00E820AB">
        <w:rPr>
          <w:b/>
          <w:bCs/>
          <w:i/>
          <w:iCs/>
        </w:rPr>
        <w:t>Landskapsrevisionen lämnar ett antal rekommendationer gällande ansökningsprocessen</w:t>
      </w:r>
      <w:r w:rsidR="004E757E" w:rsidRPr="00E820AB">
        <w:rPr>
          <w:b/>
          <w:bCs/>
          <w:i/>
          <w:iCs/>
        </w:rPr>
        <w:t>:</w:t>
      </w:r>
    </w:p>
    <w:p w14:paraId="2BF1CCAC" w14:textId="77777777" w:rsidR="00BE48B5" w:rsidRPr="00E820AB" w:rsidRDefault="00BE48B5" w:rsidP="00BE48B5">
      <w:pPr>
        <w:pStyle w:val="ANormal"/>
        <w:numPr>
          <w:ilvl w:val="0"/>
          <w:numId w:val="14"/>
        </w:numPr>
        <w:rPr>
          <w:b/>
          <w:bCs/>
          <w:i/>
          <w:iCs/>
          <w:lang w:eastAsia="sv-FI"/>
        </w:rPr>
      </w:pPr>
      <w:r w:rsidRPr="00E820AB">
        <w:rPr>
          <w:b/>
          <w:bCs/>
          <w:i/>
          <w:iCs/>
          <w:lang w:eastAsia="sv-FI"/>
        </w:rPr>
        <w:t>Det finns en diskrepans mellan blanketterna och kravet på bilagor. I kriterierna framgår det att en rad med dokument är obligatoriska, men i blanketten framgår inte detta utan enbart en frågeställning om föreningarna har det eller inte. Det förekommer att föreningar inte lämnar in bilagor eller har lämnat in dem tidigare än vid ansökningstillfälle. Blanketten kan utvecklas i detta avseende.</w:t>
      </w:r>
    </w:p>
    <w:p w14:paraId="7645A671" w14:textId="77777777" w:rsidR="00BE48B5" w:rsidRPr="00E820AB" w:rsidRDefault="00BE48B5" w:rsidP="00BE48B5">
      <w:pPr>
        <w:pStyle w:val="ANormal"/>
        <w:numPr>
          <w:ilvl w:val="0"/>
          <w:numId w:val="14"/>
        </w:numPr>
        <w:rPr>
          <w:b/>
          <w:bCs/>
          <w:i/>
          <w:iCs/>
          <w:lang w:eastAsia="sv-FI"/>
        </w:rPr>
      </w:pPr>
      <w:r w:rsidRPr="00E820AB">
        <w:rPr>
          <w:b/>
          <w:bCs/>
          <w:i/>
          <w:iCs/>
          <w:lang w:eastAsia="sv-FI"/>
        </w:rPr>
        <w:t>En annan förbättringspotential gällande blanketten vore ett krav att uppge hur mycket bidrag som sökts och erhållits från andra bidragsgivare, vilket skulle öka transparensen gällande behovet av PAF-medel.</w:t>
      </w:r>
    </w:p>
    <w:p w14:paraId="690F3396" w14:textId="77777777" w:rsidR="00BE48B5" w:rsidRPr="00E820AB" w:rsidRDefault="00BE48B5" w:rsidP="00BE48B5">
      <w:pPr>
        <w:pStyle w:val="ANormal"/>
        <w:numPr>
          <w:ilvl w:val="0"/>
          <w:numId w:val="14"/>
        </w:numPr>
        <w:rPr>
          <w:b/>
          <w:bCs/>
          <w:i/>
          <w:iCs/>
          <w:lang w:eastAsia="sv-FI"/>
        </w:rPr>
      </w:pPr>
      <w:r w:rsidRPr="00E820AB">
        <w:rPr>
          <w:b/>
          <w:bCs/>
          <w:i/>
          <w:iCs/>
          <w:lang w:eastAsia="sv-FI"/>
        </w:rPr>
        <w:t>Handläggare inom sektorerna tar emot bokslut med varierande kvalitet, vilket gör deras arbete mer tidskrävande. En förbättrande åtgärd skulle vara att sökandes bokslut skulle följa Bokföringsförordningens bestämmelser. I och med det skulle inlämnade bilagor vara mer uniforma och handläggarnas arbete skulle förenklas.</w:t>
      </w:r>
    </w:p>
    <w:p w14:paraId="073AE91F" w14:textId="77777777" w:rsidR="00BE48B5" w:rsidRPr="00E820AB" w:rsidRDefault="00BE48B5" w:rsidP="00BE48B5">
      <w:pPr>
        <w:pStyle w:val="ANormal"/>
        <w:numPr>
          <w:ilvl w:val="0"/>
          <w:numId w:val="14"/>
        </w:numPr>
        <w:rPr>
          <w:b/>
          <w:bCs/>
          <w:i/>
          <w:iCs/>
          <w:lang w:eastAsia="sv-FI"/>
        </w:rPr>
      </w:pPr>
      <w:r w:rsidRPr="00E820AB">
        <w:rPr>
          <w:b/>
          <w:bCs/>
          <w:i/>
          <w:iCs/>
          <w:lang w:eastAsia="sv-FI"/>
        </w:rPr>
        <w:t>Det borde införas krav på utformning och kvalitet på likviditetsspecifikationer. Inlämnad specifikation borde vara ett officiellt utdrag från banken och/eller underskrivet av den ekonomiansvarige på föreningen.</w:t>
      </w:r>
    </w:p>
    <w:p w14:paraId="7A0E05C0" w14:textId="77777777" w:rsidR="00BE48B5" w:rsidRPr="00E820AB" w:rsidRDefault="00BE48B5" w:rsidP="00BE48B5">
      <w:pPr>
        <w:pStyle w:val="ANormal"/>
        <w:numPr>
          <w:ilvl w:val="0"/>
          <w:numId w:val="14"/>
        </w:numPr>
        <w:rPr>
          <w:b/>
          <w:bCs/>
          <w:i/>
          <w:iCs/>
          <w:lang w:eastAsia="sv-FI"/>
        </w:rPr>
      </w:pPr>
      <w:r w:rsidRPr="00E820AB">
        <w:rPr>
          <w:b/>
          <w:bCs/>
          <w:i/>
          <w:iCs/>
          <w:lang w:eastAsia="sv-FI"/>
        </w:rPr>
        <w:t>Utöver detta skulle blanketten kunna innehålla ekonomisk nyckelinformation från budget och bokslut, vilket skulle förenkla för handläggarna och skapa mer överskådlighet över ekonomin. Det skulle också minska fokus från de ekonomiska frågorna och öka fokus på handläggarnas sakkunskap vid handläggningen.</w:t>
      </w:r>
    </w:p>
    <w:p w14:paraId="06FF9F7F" w14:textId="77777777" w:rsidR="00BE48B5" w:rsidRPr="00E820AB" w:rsidRDefault="00BE48B5" w:rsidP="00BE48B5">
      <w:pPr>
        <w:pStyle w:val="ANormal"/>
        <w:numPr>
          <w:ilvl w:val="0"/>
          <w:numId w:val="14"/>
        </w:numPr>
        <w:rPr>
          <w:b/>
          <w:bCs/>
          <w:i/>
          <w:iCs/>
          <w:lang w:eastAsia="sv-FI"/>
        </w:rPr>
      </w:pPr>
      <w:r w:rsidRPr="00E820AB">
        <w:rPr>
          <w:b/>
          <w:bCs/>
          <w:i/>
          <w:iCs/>
          <w:lang w:eastAsia="sv-FI"/>
        </w:rPr>
        <w:t>Blanketten som används vid ansökan är universal och skall passa en bredd av olika föreningar, vilket skapar svårigheter vid ifyllnaden av information för vissa sektorer. Ett lösningsförslag är att skapa en anpassad blankett för den sektor där sådana behov finns.</w:t>
      </w:r>
    </w:p>
    <w:p w14:paraId="63E25F09" w14:textId="179691A6" w:rsidR="004E757E" w:rsidRPr="00E820AB" w:rsidRDefault="00BE48B5" w:rsidP="00BE48B5">
      <w:pPr>
        <w:pStyle w:val="ANormal"/>
        <w:numPr>
          <w:ilvl w:val="0"/>
          <w:numId w:val="14"/>
        </w:numPr>
        <w:rPr>
          <w:b/>
          <w:bCs/>
          <w:i/>
          <w:iCs/>
          <w:lang w:eastAsia="sv-FI"/>
        </w:rPr>
      </w:pPr>
      <w:r w:rsidRPr="00E820AB">
        <w:rPr>
          <w:b/>
          <w:bCs/>
          <w:i/>
          <w:iCs/>
          <w:lang w:eastAsia="sv-FI"/>
        </w:rPr>
        <w:t>En annan förbättringsåtgärd vore att specificera hur egenfinansiering skall beräknas och på vilka dokument den skall beräknas. En sådan specificering skulle bidra med ökad transparens och mer klarhet för handläggarna i deras arbete, men också för föreningarna när det gäller regelverket.</w:t>
      </w:r>
    </w:p>
    <w:p w14:paraId="7E64D3DA" w14:textId="77777777" w:rsidR="004E757E" w:rsidRPr="00E820AB" w:rsidRDefault="004E757E" w:rsidP="004E757E">
      <w:pPr>
        <w:pStyle w:val="ANormal"/>
      </w:pPr>
    </w:p>
    <w:p w14:paraId="7D204E7F" w14:textId="0B2CC575" w:rsidR="004E757E" w:rsidRDefault="004E757E" w:rsidP="004E757E">
      <w:pPr>
        <w:pStyle w:val="ANormal"/>
      </w:pPr>
      <w:r w:rsidRPr="007F2267">
        <w:t>Landskapsregeringens planerade åtgärder:</w:t>
      </w:r>
    </w:p>
    <w:p w14:paraId="5B706B86" w14:textId="2EFD6A05" w:rsidR="004E757E" w:rsidRDefault="00BE48B5" w:rsidP="004E757E">
      <w:pPr>
        <w:pStyle w:val="ANormal"/>
        <w:numPr>
          <w:ilvl w:val="0"/>
          <w:numId w:val="14"/>
        </w:numPr>
        <w:rPr>
          <w:lang w:eastAsia="sv-FI"/>
        </w:rPr>
      </w:pPr>
      <w:r w:rsidRPr="00BE48B5">
        <w:rPr>
          <w:lang w:eastAsia="sv-FI"/>
        </w:rPr>
        <w:t>Landskapsregeringen kommer bland annat mot bakgrund av revisionens rekommendationer ovan att se över och revidera ansökningsblanketterna inför höstens ansökningstillfälle. Arbetet med att förbättra blanketterna sker kontinuerligt.</w:t>
      </w:r>
    </w:p>
    <w:p w14:paraId="26D1EBA1" w14:textId="77777777" w:rsidR="00E820AB" w:rsidRPr="00E820AB" w:rsidRDefault="00E820AB" w:rsidP="004E757E">
      <w:pPr>
        <w:pStyle w:val="ANormal"/>
      </w:pPr>
    </w:p>
    <w:p w14:paraId="02D9EA98" w14:textId="440C4C24" w:rsidR="004E757E" w:rsidRPr="004E757E" w:rsidRDefault="00773F69" w:rsidP="004E757E">
      <w:pPr>
        <w:pStyle w:val="ANormal"/>
        <w:rPr>
          <w:b/>
          <w:bCs/>
          <w:i/>
          <w:iCs/>
          <w:lang w:eastAsia="sv-FI"/>
        </w:rPr>
      </w:pPr>
      <w:r w:rsidRPr="00773F69">
        <w:rPr>
          <w:b/>
          <w:bCs/>
          <w:i/>
          <w:iCs/>
          <w:lang w:eastAsia="sv-FI"/>
        </w:rPr>
        <w:t>Slutsats – Reserverade PAF-medel uppgår i bokslutet 2020 till ca 52,7 miljoner euro. PAF hade även betalat in 10 miljoner i förskott. Landskapets likviditet vid bokslutet 2020 var ca 30 miljoner euro. Detta innebär att landskapet har använt 32,7 miljoner euro till utgifter som inte varit avsedda att finansieras med PAF-medel.</w:t>
      </w:r>
    </w:p>
    <w:p w14:paraId="5B435C26" w14:textId="77777777" w:rsidR="00E820AB" w:rsidRDefault="00E820AB" w:rsidP="004E757E">
      <w:pPr>
        <w:pStyle w:val="ANormal"/>
      </w:pPr>
    </w:p>
    <w:p w14:paraId="7D0986CE" w14:textId="14494E09" w:rsidR="004E757E" w:rsidRDefault="004E757E" w:rsidP="004E757E">
      <w:pPr>
        <w:pStyle w:val="ANormal"/>
      </w:pPr>
      <w:r w:rsidRPr="007F2267">
        <w:t>Landskapsregeringens planerade åtgärder:</w:t>
      </w:r>
    </w:p>
    <w:p w14:paraId="1444B298" w14:textId="3AE21B14" w:rsidR="00FB5C87" w:rsidRDefault="001C38CE" w:rsidP="00A871A3">
      <w:pPr>
        <w:pStyle w:val="ANormal"/>
        <w:numPr>
          <w:ilvl w:val="0"/>
          <w:numId w:val="14"/>
        </w:numPr>
      </w:pPr>
      <w:r>
        <w:rPr>
          <w:lang w:eastAsia="sv-FI"/>
        </w:rPr>
        <w:t xml:space="preserve">Landskapsregeringens hantering av PAF-medel följer den praxis som finns sedan många år tillbaka. </w:t>
      </w:r>
      <w:r w:rsidR="00A871A3" w:rsidRPr="00773F69">
        <w:rPr>
          <w:lang w:eastAsia="sv-FI"/>
        </w:rPr>
        <w:t xml:space="preserve">Landskapsregeringen delar </w:t>
      </w:r>
      <w:r w:rsidR="009F51C2">
        <w:rPr>
          <w:lang w:eastAsia="sv-FI"/>
        </w:rPr>
        <w:t xml:space="preserve">därför </w:t>
      </w:r>
      <w:r w:rsidR="00A871A3" w:rsidRPr="00773F69">
        <w:rPr>
          <w:lang w:eastAsia="sv-FI"/>
        </w:rPr>
        <w:lastRenderedPageBreak/>
        <w:t>inte bedömningen att 32,7 miljoner har använts till utgifter som inte varit avsedda att finansieras med PAF-medel. Budget- och bokföringsmässigt separeras PAF-medel från annan verksamhet</w:t>
      </w:r>
      <w:r w:rsidR="00A871A3">
        <w:rPr>
          <w:lang w:eastAsia="sv-FI"/>
        </w:rPr>
        <w:t>. Dock separeras inte PAF-medel likviditetsmässigt från landskapets övriga likviditet</w:t>
      </w:r>
      <w:r w:rsidR="007978CB">
        <w:rPr>
          <w:lang w:eastAsia="sv-FI"/>
        </w:rPr>
        <w:t xml:space="preserve"> (kassamedel)</w:t>
      </w:r>
      <w:r w:rsidR="00A871A3">
        <w:rPr>
          <w:lang w:eastAsia="sv-FI"/>
        </w:rPr>
        <w:t xml:space="preserve">. Detta medför att de likvida medlen inte motsvarar det belopp som utgör reserverade PAF-medel. </w:t>
      </w:r>
      <w:r w:rsidR="007978CB">
        <w:rPr>
          <w:lang w:eastAsia="sv-FI"/>
        </w:rPr>
        <w:t xml:space="preserve">Landskapsregeringens bedömning är att det inte vore god ekonomisk </w:t>
      </w:r>
      <w:proofErr w:type="gramStart"/>
      <w:r w:rsidR="007978CB">
        <w:rPr>
          <w:lang w:eastAsia="sv-FI"/>
        </w:rPr>
        <w:t xml:space="preserve">förvaltning </w:t>
      </w:r>
      <w:r w:rsidR="00A871A3">
        <w:rPr>
          <w:lang w:eastAsia="sv-FI"/>
        </w:rPr>
        <w:t xml:space="preserve"> att</w:t>
      </w:r>
      <w:proofErr w:type="gramEnd"/>
      <w:r w:rsidR="00A871A3">
        <w:rPr>
          <w:lang w:eastAsia="sv-FI"/>
        </w:rPr>
        <w:t xml:space="preserve"> uppta kostsamma lån för att balansera budgeten och upprätthålla en tillräcklig likviditet, samtidigt som likvida medel som härrör från den avkastning som PAF inbetalat finns tillgängliga</w:t>
      </w:r>
    </w:p>
    <w:sectPr w:rsidR="00FB5C87" w:rsidSect="00507D72">
      <w:headerReference w:type="default" r:id="rId13"/>
      <w:footerReference w:type="default" r:id="rId14"/>
      <w:headerReference w:type="first" r:id="rId15"/>
      <w:type w:val="continuous"/>
      <w:pgSz w:w="11906" w:h="16838" w:code="9"/>
      <w:pgMar w:top="1134" w:right="3175" w:bottom="1247" w:left="2041" w:header="737" w:footer="737"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23A9A" w14:textId="77777777" w:rsidR="00934404" w:rsidRDefault="00934404">
      <w:r>
        <w:separator/>
      </w:r>
    </w:p>
  </w:endnote>
  <w:endnote w:type="continuationSeparator" w:id="0">
    <w:p w14:paraId="2DC1F0CF" w14:textId="77777777" w:rsidR="00934404" w:rsidRDefault="0093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526EC" w14:textId="77777777" w:rsidR="006404BC" w:rsidRDefault="006404BC" w:rsidP="006404BC">
    <w:pPr>
      <w:pStyle w:val="Sidfot"/>
      <w:pBdr>
        <w:top w:val="single" w:sz="18" w:space="1" w:color="8EBE96"/>
      </w:pBdr>
      <w:tabs>
        <w:tab w:val="left" w:pos="709"/>
        <w:tab w:val="left" w:pos="3686"/>
        <w:tab w:val="left" w:pos="6804"/>
        <w:tab w:val="left" w:pos="8364"/>
      </w:tabs>
      <w:ind w:left="-500" w:right="-530"/>
      <w:rPr>
        <w:rFonts w:ascii="Open Sans SemiBold" w:hAnsi="Open Sans SemiBold" w:cs="Open Sans SemiBold"/>
        <w:sz w:val="16"/>
      </w:rPr>
    </w:pPr>
    <w:r w:rsidRPr="00813F4C">
      <w:rPr>
        <w:rFonts w:ascii="Open Sans SemiBold" w:hAnsi="Open Sans SemiBold" w:cs="Open Sans SemiBold"/>
        <w:sz w:val="16"/>
      </w:rPr>
      <w:t>Ordförande</w:t>
    </w:r>
    <w:r w:rsidRPr="00813F4C">
      <w:rPr>
        <w:rFonts w:ascii="Open Sans SemiBold" w:hAnsi="Open Sans SemiBold" w:cs="Open Sans SemiBold"/>
        <w:sz w:val="16"/>
      </w:rPr>
      <w:tab/>
    </w:r>
    <w:r>
      <w:rPr>
        <w:rFonts w:ascii="Open Sans SemiBold" w:hAnsi="Open Sans SemiBold" w:cs="Open Sans SemiBold"/>
        <w:sz w:val="16"/>
      </w:rPr>
      <w:tab/>
    </w:r>
    <w:r w:rsidRPr="00813F4C">
      <w:rPr>
        <w:rFonts w:ascii="Open Sans SemiBold" w:hAnsi="Open Sans SemiBold" w:cs="Open Sans SemiBold"/>
        <w:sz w:val="16"/>
      </w:rPr>
      <w:t>Föredragande</w:t>
    </w:r>
    <w:proofErr w:type="gramStart"/>
    <w:r w:rsidRPr="00813F4C">
      <w:rPr>
        <w:rFonts w:ascii="Open Sans SemiBold" w:hAnsi="Open Sans SemiBold" w:cs="Open Sans SemiBold"/>
        <w:sz w:val="16"/>
      </w:rPr>
      <w:tab/>
      <w:t xml:space="preserve">  Protokolljusterare</w:t>
    </w:r>
    <w:proofErr w:type="gramEnd"/>
  </w:p>
  <w:p w14:paraId="3B12A3BE" w14:textId="77777777" w:rsidR="006404BC" w:rsidRDefault="006404BC" w:rsidP="00CC2824">
    <w:pPr>
      <w:pStyle w:val="Sidfot"/>
    </w:pPr>
  </w:p>
  <w:p w14:paraId="5DB1854F" w14:textId="77777777" w:rsidR="006404BC" w:rsidRDefault="006404BC" w:rsidP="00CC2824">
    <w:pPr>
      <w:pStyle w:val="Sidfot"/>
    </w:pPr>
  </w:p>
  <w:p w14:paraId="77BD7D73" w14:textId="77777777" w:rsidR="006404BC" w:rsidRDefault="006404BC" w:rsidP="00CC2824">
    <w:pPr>
      <w:pStyle w:val="Sidfot"/>
    </w:pPr>
  </w:p>
  <w:p w14:paraId="1B48623B" w14:textId="77777777" w:rsidR="006404BC" w:rsidRDefault="006404BC" w:rsidP="00CC2824">
    <w:pPr>
      <w:pStyle w:val="Sidfot"/>
    </w:pPr>
  </w:p>
  <w:p w14:paraId="75BA055E" w14:textId="48C323FE" w:rsidR="00C864CF" w:rsidRDefault="005A18C5" w:rsidP="00CC2824">
    <w:pPr>
      <w:pStyle w:val="Sidfot"/>
    </w:pPr>
    <w:r w:rsidRPr="00CC2824">
      <w:t xml:space="preserve"> </w:t>
    </w:r>
  </w:p>
  <w:p w14:paraId="0148B592" w14:textId="77777777" w:rsidR="006404BC" w:rsidRPr="00CC2824" w:rsidRDefault="006404BC" w:rsidP="00CC282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2C1A" w14:textId="54794152" w:rsidR="00C864CF" w:rsidRDefault="0088709C">
    <w:pPr>
      <w:pStyle w:val="Sidfot"/>
      <w:rPr>
        <w:lang w:val="fi-FI"/>
      </w:rPr>
    </w:pPr>
    <w:r>
      <w:rPr>
        <w:lang w:val="fi-FI"/>
      </w:rPr>
      <w:t>GR 1/</w:t>
    </w:r>
    <w:proofErr w:type="gramStart"/>
    <w:r>
      <w:rPr>
        <w:lang w:val="fi-FI"/>
      </w:rPr>
      <w:t>2021-2022</w:t>
    </w:r>
    <w:proofErr w:type="gramEnd"/>
    <w:r>
      <w:rPr>
        <w:lang w:val="fi-FI"/>
      </w:rPr>
      <w: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63F9C" w14:textId="5C5C98B4" w:rsidR="0037670B" w:rsidRDefault="005A18C5" w:rsidP="0037670B">
    <w:pPr>
      <w:pStyle w:val="Sidfot"/>
      <w:tabs>
        <w:tab w:val="left" w:pos="8966"/>
      </w:tabs>
    </w:pPr>
    <w:r>
      <w:tab/>
    </w:r>
    <w: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1F81" w14:textId="77777777" w:rsidR="00B82FD6" w:rsidRPr="00B23198" w:rsidRDefault="001473A3" w:rsidP="00C739AC">
    <w:pPr>
      <w:pStyle w:val="Sidfot"/>
      <w:tabs>
        <w:tab w:val="left" w:pos="1418"/>
        <w:tab w:val="left" w:pos="1860"/>
        <w:tab w:val="left" w:pos="3119"/>
        <w:tab w:val="left" w:pos="4536"/>
        <w:tab w:val="left" w:pos="5954"/>
        <w:tab w:val="left" w:pos="8364"/>
      </w:tabs>
      <w:ind w:right="-530"/>
      <w:rPr>
        <w:rFonts w:ascii="Open Sans" w:hAnsi="Open Sans" w:cs="Open San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1A217" w14:textId="77777777" w:rsidR="00934404" w:rsidRDefault="00934404">
      <w:r>
        <w:separator/>
      </w:r>
    </w:p>
  </w:footnote>
  <w:footnote w:type="continuationSeparator" w:id="0">
    <w:p w14:paraId="39CB5EF6" w14:textId="77777777" w:rsidR="00934404" w:rsidRDefault="00934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4EF0" w14:textId="193D413B" w:rsidR="00B82FD6" w:rsidRPr="008A6407" w:rsidRDefault="001473A3" w:rsidP="00DC18A0">
    <w:pPr>
      <w:pStyle w:val="Sidhuvud"/>
      <w:ind w:left="-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3588" w14:textId="77777777" w:rsidR="007D649D" w:rsidRDefault="007D649D" w:rsidP="007D649D">
    <w:pPr>
      <w:tabs>
        <w:tab w:val="left" w:pos="6237"/>
      </w:tabs>
    </w:pPr>
    <w:r>
      <w:rPr>
        <w:noProof/>
        <w:lang w:val="sv-FI" w:eastAsia="sv-FI"/>
      </w:rPr>
      <w:drawing>
        <wp:anchor distT="0" distB="0" distL="114300" distR="114300" simplePos="0" relativeHeight="251661312" behindDoc="0" locked="0" layoutInCell="1" allowOverlap="1" wp14:anchorId="6249D292" wp14:editId="4520033B">
          <wp:simplePos x="0" y="0"/>
          <wp:positionH relativeFrom="column">
            <wp:posOffset>-635</wp:posOffset>
          </wp:positionH>
          <wp:positionV relativeFrom="paragraph">
            <wp:posOffset>3810</wp:posOffset>
          </wp:positionV>
          <wp:extent cx="2715768" cy="752856"/>
          <wp:effectExtent l="0" t="0" r="0" b="9525"/>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ÅHS-logo-liggande-fä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5768" cy="752856"/>
                  </a:xfrm>
                  <a:prstGeom prst="rect">
                    <a:avLst/>
                  </a:prstGeom>
                </pic:spPr>
              </pic:pic>
            </a:graphicData>
          </a:graphic>
        </wp:anchor>
      </w:drawing>
    </w:r>
  </w:p>
  <w:p w14:paraId="1D7A8790" w14:textId="77777777" w:rsidR="007D649D" w:rsidRDefault="007D649D" w:rsidP="007D649D">
    <w:pPr>
      <w:tabs>
        <w:tab w:val="left" w:pos="6237"/>
      </w:tabs>
    </w:pPr>
  </w:p>
  <w:p w14:paraId="00AF5B2F" w14:textId="53CE94C2" w:rsidR="007D649D" w:rsidRPr="00830F68" w:rsidRDefault="00CA234D" w:rsidP="00E20E55">
    <w:pPr>
      <w:tabs>
        <w:tab w:val="left" w:pos="1245"/>
        <w:tab w:val="left" w:pos="6237"/>
      </w:tabs>
      <w:rPr>
        <w:rFonts w:ascii="Open Sans" w:hAnsi="Open Sans" w:cs="Open Sans"/>
        <w:b/>
        <w:bCs/>
        <w:sz w:val="22"/>
        <w:szCs w:val="22"/>
      </w:rPr>
    </w:pPr>
    <w:r>
      <w:rPr>
        <w:rFonts w:ascii="Open Sans" w:hAnsi="Open Sans" w:cs="Open Sans"/>
        <w:b/>
        <w:bCs/>
        <w:sz w:val="22"/>
        <w:szCs w:val="22"/>
      </w:rPr>
      <w:tab/>
    </w:r>
    <w:r w:rsidR="00E20E55">
      <w:rPr>
        <w:rFonts w:ascii="Open Sans" w:hAnsi="Open Sans" w:cs="Open Sans"/>
        <w:b/>
        <w:bCs/>
        <w:sz w:val="22"/>
        <w:szCs w:val="22"/>
      </w:rPr>
      <w:tab/>
    </w:r>
  </w:p>
  <w:p w14:paraId="257C8160" w14:textId="6E9623F6" w:rsidR="00D4759C" w:rsidRDefault="001473A3">
    <w:pPr>
      <w:pStyle w:val="Sidhuvud"/>
    </w:pPr>
  </w:p>
  <w:p w14:paraId="10EE8CA1" w14:textId="2A95C47F" w:rsidR="007D649D" w:rsidRDefault="007D649D">
    <w:pPr>
      <w:pStyle w:val="Sidhuvud"/>
    </w:pPr>
  </w:p>
  <w:p w14:paraId="4EA004F7" w14:textId="77777777" w:rsidR="007D649D" w:rsidRDefault="007D649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646810E"/>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077A0ED6"/>
    <w:multiLevelType w:val="hybridMultilevel"/>
    <w:tmpl w:val="A4FE2A96"/>
    <w:lvl w:ilvl="0" w:tplc="3BB886EC">
      <w:numFmt w:val="bullet"/>
      <w:lvlText w:val="-"/>
      <w:lvlJc w:val="left"/>
      <w:pPr>
        <w:ind w:left="2968" w:hanging="360"/>
      </w:pPr>
      <w:rPr>
        <w:rFonts w:ascii="Open Sans" w:eastAsia="Times New Roman" w:hAnsi="Open Sans" w:cs="Open Sans" w:hint="default"/>
      </w:rPr>
    </w:lvl>
    <w:lvl w:ilvl="1" w:tplc="081D0003" w:tentative="1">
      <w:start w:val="1"/>
      <w:numFmt w:val="bullet"/>
      <w:lvlText w:val="o"/>
      <w:lvlJc w:val="left"/>
      <w:pPr>
        <w:ind w:left="3688" w:hanging="360"/>
      </w:pPr>
      <w:rPr>
        <w:rFonts w:ascii="Courier New" w:hAnsi="Courier New" w:cs="Courier New" w:hint="default"/>
      </w:rPr>
    </w:lvl>
    <w:lvl w:ilvl="2" w:tplc="081D0005" w:tentative="1">
      <w:start w:val="1"/>
      <w:numFmt w:val="bullet"/>
      <w:lvlText w:val=""/>
      <w:lvlJc w:val="left"/>
      <w:pPr>
        <w:ind w:left="4408" w:hanging="360"/>
      </w:pPr>
      <w:rPr>
        <w:rFonts w:ascii="Wingdings" w:hAnsi="Wingdings" w:hint="default"/>
      </w:rPr>
    </w:lvl>
    <w:lvl w:ilvl="3" w:tplc="081D0001" w:tentative="1">
      <w:start w:val="1"/>
      <w:numFmt w:val="bullet"/>
      <w:lvlText w:val=""/>
      <w:lvlJc w:val="left"/>
      <w:pPr>
        <w:ind w:left="5128" w:hanging="360"/>
      </w:pPr>
      <w:rPr>
        <w:rFonts w:ascii="Symbol" w:hAnsi="Symbol" w:hint="default"/>
      </w:rPr>
    </w:lvl>
    <w:lvl w:ilvl="4" w:tplc="081D0003" w:tentative="1">
      <w:start w:val="1"/>
      <w:numFmt w:val="bullet"/>
      <w:lvlText w:val="o"/>
      <w:lvlJc w:val="left"/>
      <w:pPr>
        <w:ind w:left="5848" w:hanging="360"/>
      </w:pPr>
      <w:rPr>
        <w:rFonts w:ascii="Courier New" w:hAnsi="Courier New" w:cs="Courier New" w:hint="default"/>
      </w:rPr>
    </w:lvl>
    <w:lvl w:ilvl="5" w:tplc="081D0005" w:tentative="1">
      <w:start w:val="1"/>
      <w:numFmt w:val="bullet"/>
      <w:lvlText w:val=""/>
      <w:lvlJc w:val="left"/>
      <w:pPr>
        <w:ind w:left="6568" w:hanging="360"/>
      </w:pPr>
      <w:rPr>
        <w:rFonts w:ascii="Wingdings" w:hAnsi="Wingdings" w:hint="default"/>
      </w:rPr>
    </w:lvl>
    <w:lvl w:ilvl="6" w:tplc="081D0001" w:tentative="1">
      <w:start w:val="1"/>
      <w:numFmt w:val="bullet"/>
      <w:lvlText w:val=""/>
      <w:lvlJc w:val="left"/>
      <w:pPr>
        <w:ind w:left="7288" w:hanging="360"/>
      </w:pPr>
      <w:rPr>
        <w:rFonts w:ascii="Symbol" w:hAnsi="Symbol" w:hint="default"/>
      </w:rPr>
    </w:lvl>
    <w:lvl w:ilvl="7" w:tplc="081D0003" w:tentative="1">
      <w:start w:val="1"/>
      <w:numFmt w:val="bullet"/>
      <w:lvlText w:val="o"/>
      <w:lvlJc w:val="left"/>
      <w:pPr>
        <w:ind w:left="8008" w:hanging="360"/>
      </w:pPr>
      <w:rPr>
        <w:rFonts w:ascii="Courier New" w:hAnsi="Courier New" w:cs="Courier New" w:hint="default"/>
      </w:rPr>
    </w:lvl>
    <w:lvl w:ilvl="8" w:tplc="081D0005" w:tentative="1">
      <w:start w:val="1"/>
      <w:numFmt w:val="bullet"/>
      <w:lvlText w:val=""/>
      <w:lvlJc w:val="left"/>
      <w:pPr>
        <w:ind w:left="8728" w:hanging="360"/>
      </w:pPr>
      <w:rPr>
        <w:rFonts w:ascii="Wingdings" w:hAnsi="Wingdings" w:hint="default"/>
      </w:rPr>
    </w:lvl>
  </w:abstractNum>
  <w:abstractNum w:abstractNumId="2" w15:restartNumberingAfterBreak="0">
    <w:nsid w:val="0D4D735E"/>
    <w:multiLevelType w:val="hybridMultilevel"/>
    <w:tmpl w:val="844CBA7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0F4447E2"/>
    <w:multiLevelType w:val="hybridMultilevel"/>
    <w:tmpl w:val="ABA67AF0"/>
    <w:lvl w:ilvl="0" w:tplc="A1CA5D24">
      <w:start w:val="1"/>
      <w:numFmt w:val="lowerLetter"/>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4" w15:restartNumberingAfterBreak="0">
    <w:nsid w:val="13D75993"/>
    <w:multiLevelType w:val="hybridMultilevel"/>
    <w:tmpl w:val="FBDCB9A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15:restartNumberingAfterBreak="0">
    <w:nsid w:val="14996901"/>
    <w:multiLevelType w:val="hybridMultilevel"/>
    <w:tmpl w:val="DD22FEE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15:restartNumberingAfterBreak="0">
    <w:nsid w:val="191D18F7"/>
    <w:multiLevelType w:val="hybridMultilevel"/>
    <w:tmpl w:val="22D2460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7" w15:restartNumberingAfterBreak="0">
    <w:nsid w:val="1EBB1656"/>
    <w:multiLevelType w:val="hybridMultilevel"/>
    <w:tmpl w:val="4AA0683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8" w15:restartNumberingAfterBreak="0">
    <w:nsid w:val="3058693B"/>
    <w:multiLevelType w:val="hybridMultilevel"/>
    <w:tmpl w:val="BB46F4D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 w15:restartNumberingAfterBreak="0">
    <w:nsid w:val="34F018A7"/>
    <w:multiLevelType w:val="hybridMultilevel"/>
    <w:tmpl w:val="2CCAC1F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0" w15:restartNumberingAfterBreak="0">
    <w:nsid w:val="3FED2442"/>
    <w:multiLevelType w:val="hybridMultilevel"/>
    <w:tmpl w:val="0114974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1" w15:restartNumberingAfterBreak="0">
    <w:nsid w:val="47D74246"/>
    <w:multiLevelType w:val="hybridMultilevel"/>
    <w:tmpl w:val="9D043B7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15:restartNumberingAfterBreak="0">
    <w:nsid w:val="4DAD22B0"/>
    <w:multiLevelType w:val="multilevel"/>
    <w:tmpl w:val="FD0E8B5C"/>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3" w15:restartNumberingAfterBreak="0">
    <w:nsid w:val="57E542AD"/>
    <w:multiLevelType w:val="hybridMultilevel"/>
    <w:tmpl w:val="35348B6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F80F6B"/>
    <w:multiLevelType w:val="hybridMultilevel"/>
    <w:tmpl w:val="94B672B0"/>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E5C4CB1"/>
    <w:multiLevelType w:val="hybridMultilevel"/>
    <w:tmpl w:val="E990C7C8"/>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503CAE"/>
    <w:multiLevelType w:val="hybridMultilevel"/>
    <w:tmpl w:val="A566C62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7" w15:restartNumberingAfterBreak="0">
    <w:nsid w:val="6B9D38C7"/>
    <w:multiLevelType w:val="hybridMultilevel"/>
    <w:tmpl w:val="14E8450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8" w15:restartNumberingAfterBreak="0">
    <w:nsid w:val="6C293C10"/>
    <w:multiLevelType w:val="hybridMultilevel"/>
    <w:tmpl w:val="119274A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9" w15:restartNumberingAfterBreak="0">
    <w:nsid w:val="6DC035D6"/>
    <w:multiLevelType w:val="hybridMultilevel"/>
    <w:tmpl w:val="0CE62B9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0" w15:restartNumberingAfterBreak="0">
    <w:nsid w:val="76167C40"/>
    <w:multiLevelType w:val="hybridMultilevel"/>
    <w:tmpl w:val="0F2695A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1" w15:restartNumberingAfterBreak="0">
    <w:nsid w:val="7B76253E"/>
    <w:multiLevelType w:val="hybridMultilevel"/>
    <w:tmpl w:val="2AD21184"/>
    <w:lvl w:ilvl="0" w:tplc="9346743A">
      <w:numFmt w:val="bullet"/>
      <w:lvlText w:val="-"/>
      <w:lvlJc w:val="left"/>
      <w:pPr>
        <w:ind w:left="1005" w:hanging="360"/>
      </w:pPr>
      <w:rPr>
        <w:rFonts w:ascii="Times New Roman" w:eastAsia="Times New Roman" w:hAnsi="Times New Roman" w:cs="Times New Roman" w:hint="default"/>
        <w:w w:val="100"/>
        <w:sz w:val="22"/>
        <w:szCs w:val="22"/>
      </w:rPr>
    </w:lvl>
    <w:lvl w:ilvl="1" w:tplc="48A0B664">
      <w:numFmt w:val="bullet"/>
      <w:lvlText w:val="•"/>
      <w:lvlJc w:val="left"/>
      <w:pPr>
        <w:ind w:left="1725" w:hanging="360"/>
      </w:pPr>
      <w:rPr>
        <w:rFonts w:ascii="Times New Roman" w:eastAsia="Times New Roman" w:hAnsi="Times New Roman" w:cs="Times New Roman" w:hint="default"/>
      </w:rPr>
    </w:lvl>
    <w:lvl w:ilvl="2" w:tplc="081D0005" w:tentative="1">
      <w:start w:val="1"/>
      <w:numFmt w:val="bullet"/>
      <w:lvlText w:val=""/>
      <w:lvlJc w:val="left"/>
      <w:pPr>
        <w:ind w:left="2445" w:hanging="360"/>
      </w:pPr>
      <w:rPr>
        <w:rFonts w:ascii="Wingdings" w:hAnsi="Wingdings" w:hint="default"/>
      </w:rPr>
    </w:lvl>
    <w:lvl w:ilvl="3" w:tplc="081D0001" w:tentative="1">
      <w:start w:val="1"/>
      <w:numFmt w:val="bullet"/>
      <w:lvlText w:val=""/>
      <w:lvlJc w:val="left"/>
      <w:pPr>
        <w:ind w:left="3165" w:hanging="360"/>
      </w:pPr>
      <w:rPr>
        <w:rFonts w:ascii="Symbol" w:hAnsi="Symbol" w:hint="default"/>
      </w:rPr>
    </w:lvl>
    <w:lvl w:ilvl="4" w:tplc="081D0003" w:tentative="1">
      <w:start w:val="1"/>
      <w:numFmt w:val="bullet"/>
      <w:lvlText w:val="o"/>
      <w:lvlJc w:val="left"/>
      <w:pPr>
        <w:ind w:left="3885" w:hanging="360"/>
      </w:pPr>
      <w:rPr>
        <w:rFonts w:ascii="Courier New" w:hAnsi="Courier New" w:cs="Courier New" w:hint="default"/>
      </w:rPr>
    </w:lvl>
    <w:lvl w:ilvl="5" w:tplc="081D0005" w:tentative="1">
      <w:start w:val="1"/>
      <w:numFmt w:val="bullet"/>
      <w:lvlText w:val=""/>
      <w:lvlJc w:val="left"/>
      <w:pPr>
        <w:ind w:left="4605" w:hanging="360"/>
      </w:pPr>
      <w:rPr>
        <w:rFonts w:ascii="Wingdings" w:hAnsi="Wingdings" w:hint="default"/>
      </w:rPr>
    </w:lvl>
    <w:lvl w:ilvl="6" w:tplc="081D0001" w:tentative="1">
      <w:start w:val="1"/>
      <w:numFmt w:val="bullet"/>
      <w:lvlText w:val=""/>
      <w:lvlJc w:val="left"/>
      <w:pPr>
        <w:ind w:left="5325" w:hanging="360"/>
      </w:pPr>
      <w:rPr>
        <w:rFonts w:ascii="Symbol" w:hAnsi="Symbol" w:hint="default"/>
      </w:rPr>
    </w:lvl>
    <w:lvl w:ilvl="7" w:tplc="081D0003" w:tentative="1">
      <w:start w:val="1"/>
      <w:numFmt w:val="bullet"/>
      <w:lvlText w:val="o"/>
      <w:lvlJc w:val="left"/>
      <w:pPr>
        <w:ind w:left="6045" w:hanging="360"/>
      </w:pPr>
      <w:rPr>
        <w:rFonts w:ascii="Courier New" w:hAnsi="Courier New" w:cs="Courier New" w:hint="default"/>
      </w:rPr>
    </w:lvl>
    <w:lvl w:ilvl="8" w:tplc="081D0005" w:tentative="1">
      <w:start w:val="1"/>
      <w:numFmt w:val="bullet"/>
      <w:lvlText w:val=""/>
      <w:lvlJc w:val="left"/>
      <w:pPr>
        <w:ind w:left="6765" w:hanging="360"/>
      </w:pPr>
      <w:rPr>
        <w:rFonts w:ascii="Wingdings" w:hAnsi="Wingdings" w:hint="default"/>
      </w:rPr>
    </w:lvl>
  </w:abstractNum>
  <w:num w:numId="1" w16cid:durableId="697045956">
    <w:abstractNumId w:val="13"/>
  </w:num>
  <w:num w:numId="2" w16cid:durableId="1396271156">
    <w:abstractNumId w:val="14"/>
  </w:num>
  <w:num w:numId="3" w16cid:durableId="150105528">
    <w:abstractNumId w:val="15"/>
  </w:num>
  <w:num w:numId="4" w16cid:durableId="1401100612">
    <w:abstractNumId w:val="0"/>
  </w:num>
  <w:num w:numId="5" w16cid:durableId="106050397">
    <w:abstractNumId w:val="12"/>
  </w:num>
  <w:num w:numId="6" w16cid:durableId="1932812743">
    <w:abstractNumId w:val="12"/>
  </w:num>
  <w:num w:numId="7" w16cid:durableId="727844816">
    <w:abstractNumId w:val="12"/>
  </w:num>
  <w:num w:numId="8" w16cid:durableId="549610679">
    <w:abstractNumId w:val="12"/>
  </w:num>
  <w:num w:numId="9" w16cid:durableId="1617785763">
    <w:abstractNumId w:val="12"/>
  </w:num>
  <w:num w:numId="10" w16cid:durableId="697659580">
    <w:abstractNumId w:val="12"/>
  </w:num>
  <w:num w:numId="11" w16cid:durableId="481971053">
    <w:abstractNumId w:val="12"/>
  </w:num>
  <w:num w:numId="12" w16cid:durableId="1707294649">
    <w:abstractNumId w:val="12"/>
  </w:num>
  <w:num w:numId="13" w16cid:durableId="1724871105">
    <w:abstractNumId w:val="12"/>
  </w:num>
  <w:num w:numId="14" w16cid:durableId="124393402">
    <w:abstractNumId w:val="16"/>
  </w:num>
  <w:num w:numId="15" w16cid:durableId="934677485">
    <w:abstractNumId w:val="20"/>
  </w:num>
  <w:num w:numId="16" w16cid:durableId="562915490">
    <w:abstractNumId w:val="4"/>
  </w:num>
  <w:num w:numId="17" w16cid:durableId="1860193518">
    <w:abstractNumId w:val="5"/>
  </w:num>
  <w:num w:numId="18" w16cid:durableId="858080877">
    <w:abstractNumId w:val="2"/>
  </w:num>
  <w:num w:numId="19" w16cid:durableId="503207960">
    <w:abstractNumId w:val="17"/>
  </w:num>
  <w:num w:numId="20" w16cid:durableId="1681002829">
    <w:abstractNumId w:val="7"/>
  </w:num>
  <w:num w:numId="21" w16cid:durableId="1470853732">
    <w:abstractNumId w:val="8"/>
  </w:num>
  <w:num w:numId="22" w16cid:durableId="1057976932">
    <w:abstractNumId w:val="19"/>
  </w:num>
  <w:num w:numId="23" w16cid:durableId="1816681598">
    <w:abstractNumId w:val="11"/>
  </w:num>
  <w:num w:numId="24" w16cid:durableId="836267780">
    <w:abstractNumId w:val="21"/>
  </w:num>
  <w:num w:numId="25" w16cid:durableId="1048646031">
    <w:abstractNumId w:val="3"/>
  </w:num>
  <w:num w:numId="26" w16cid:durableId="1031302597">
    <w:abstractNumId w:val="18"/>
  </w:num>
  <w:num w:numId="27" w16cid:durableId="1063677717">
    <w:abstractNumId w:val="6"/>
  </w:num>
  <w:num w:numId="28" w16cid:durableId="230849636">
    <w:abstractNumId w:val="9"/>
  </w:num>
  <w:num w:numId="29" w16cid:durableId="542254103">
    <w:abstractNumId w:val="10"/>
  </w:num>
  <w:num w:numId="30" w16cid:durableId="1398939470">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proofState w:spelling="clean" w:grammar="clean"/>
  <w:defaultTabStop w:val="1304"/>
  <w:autoHyphenation/>
  <w:hyphenationZone w:val="142"/>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D58"/>
    <w:rsid w:val="00001701"/>
    <w:rsid w:val="000036EA"/>
    <w:rsid w:val="000046FB"/>
    <w:rsid w:val="00026449"/>
    <w:rsid w:val="00036CDF"/>
    <w:rsid w:val="000403E1"/>
    <w:rsid w:val="00040C43"/>
    <w:rsid w:val="00043A97"/>
    <w:rsid w:val="0004401D"/>
    <w:rsid w:val="000457A9"/>
    <w:rsid w:val="00046CB6"/>
    <w:rsid w:val="000504D1"/>
    <w:rsid w:val="00051CC9"/>
    <w:rsid w:val="0005248B"/>
    <w:rsid w:val="00057191"/>
    <w:rsid w:val="00063E18"/>
    <w:rsid w:val="0006550D"/>
    <w:rsid w:val="0007008E"/>
    <w:rsid w:val="00091C56"/>
    <w:rsid w:val="00093895"/>
    <w:rsid w:val="000B384D"/>
    <w:rsid w:val="000B3880"/>
    <w:rsid w:val="000D78C5"/>
    <w:rsid w:val="000E04C8"/>
    <w:rsid w:val="000E14E2"/>
    <w:rsid w:val="000E3D3B"/>
    <w:rsid w:val="00106F79"/>
    <w:rsid w:val="00110286"/>
    <w:rsid w:val="001200EF"/>
    <w:rsid w:val="001208FB"/>
    <w:rsid w:val="00134484"/>
    <w:rsid w:val="0013661C"/>
    <w:rsid w:val="0014092E"/>
    <w:rsid w:val="00141290"/>
    <w:rsid w:val="00141C6C"/>
    <w:rsid w:val="001473A3"/>
    <w:rsid w:val="00150D77"/>
    <w:rsid w:val="00164D22"/>
    <w:rsid w:val="00174BC5"/>
    <w:rsid w:val="00191DFC"/>
    <w:rsid w:val="001A21ED"/>
    <w:rsid w:val="001A3D83"/>
    <w:rsid w:val="001A565A"/>
    <w:rsid w:val="001A66A5"/>
    <w:rsid w:val="001C154E"/>
    <w:rsid w:val="001C38CE"/>
    <w:rsid w:val="001C6BEB"/>
    <w:rsid w:val="001E0FCE"/>
    <w:rsid w:val="001E4AB4"/>
    <w:rsid w:val="00200624"/>
    <w:rsid w:val="00202A85"/>
    <w:rsid w:val="00206DDB"/>
    <w:rsid w:val="00207182"/>
    <w:rsid w:val="002074EF"/>
    <w:rsid w:val="00210FA5"/>
    <w:rsid w:val="00216399"/>
    <w:rsid w:val="00220277"/>
    <w:rsid w:val="002414CD"/>
    <w:rsid w:val="0025448C"/>
    <w:rsid w:val="00265455"/>
    <w:rsid w:val="00271151"/>
    <w:rsid w:val="00294BDB"/>
    <w:rsid w:val="00296439"/>
    <w:rsid w:val="002A460A"/>
    <w:rsid w:val="002B028D"/>
    <w:rsid w:val="002D396B"/>
    <w:rsid w:val="002F220D"/>
    <w:rsid w:val="002F57EF"/>
    <w:rsid w:val="0030177A"/>
    <w:rsid w:val="0030328C"/>
    <w:rsid w:val="003040BF"/>
    <w:rsid w:val="0030412D"/>
    <w:rsid w:val="00304390"/>
    <w:rsid w:val="00307A7A"/>
    <w:rsid w:val="00321230"/>
    <w:rsid w:val="003513A7"/>
    <w:rsid w:val="0036085F"/>
    <w:rsid w:val="003665DB"/>
    <w:rsid w:val="0037670B"/>
    <w:rsid w:val="00392EB4"/>
    <w:rsid w:val="003A3B8B"/>
    <w:rsid w:val="003A50A7"/>
    <w:rsid w:val="003A755E"/>
    <w:rsid w:val="003B2E72"/>
    <w:rsid w:val="003C277D"/>
    <w:rsid w:val="003D765E"/>
    <w:rsid w:val="003F058E"/>
    <w:rsid w:val="003F5750"/>
    <w:rsid w:val="0042263A"/>
    <w:rsid w:val="00422D07"/>
    <w:rsid w:val="00425165"/>
    <w:rsid w:val="004258DF"/>
    <w:rsid w:val="0043548A"/>
    <w:rsid w:val="004448DF"/>
    <w:rsid w:val="00447C5D"/>
    <w:rsid w:val="00451AF2"/>
    <w:rsid w:val="004545C8"/>
    <w:rsid w:val="00480E9F"/>
    <w:rsid w:val="00481A9C"/>
    <w:rsid w:val="004925F4"/>
    <w:rsid w:val="004C4D97"/>
    <w:rsid w:val="004C6BF9"/>
    <w:rsid w:val="004D73B8"/>
    <w:rsid w:val="004E143C"/>
    <w:rsid w:val="004E757E"/>
    <w:rsid w:val="004F4E9E"/>
    <w:rsid w:val="004F745D"/>
    <w:rsid w:val="005012AF"/>
    <w:rsid w:val="00502B20"/>
    <w:rsid w:val="00507D72"/>
    <w:rsid w:val="00516F8F"/>
    <w:rsid w:val="005173B8"/>
    <w:rsid w:val="00520E25"/>
    <w:rsid w:val="00521B3A"/>
    <w:rsid w:val="0054384B"/>
    <w:rsid w:val="00556981"/>
    <w:rsid w:val="00573C36"/>
    <w:rsid w:val="0058085D"/>
    <w:rsid w:val="00580B1D"/>
    <w:rsid w:val="005860C7"/>
    <w:rsid w:val="00592584"/>
    <w:rsid w:val="00594F5A"/>
    <w:rsid w:val="005A18C5"/>
    <w:rsid w:val="005B14AC"/>
    <w:rsid w:val="005B14D4"/>
    <w:rsid w:val="005C4919"/>
    <w:rsid w:val="005C4C6D"/>
    <w:rsid w:val="005C72E7"/>
    <w:rsid w:val="005D4D1E"/>
    <w:rsid w:val="005E4096"/>
    <w:rsid w:val="005F2CB4"/>
    <w:rsid w:val="0061270F"/>
    <w:rsid w:val="00614200"/>
    <w:rsid w:val="00617C08"/>
    <w:rsid w:val="006259B3"/>
    <w:rsid w:val="0062656A"/>
    <w:rsid w:val="00627BD6"/>
    <w:rsid w:val="00631BDD"/>
    <w:rsid w:val="00634999"/>
    <w:rsid w:val="00637FEE"/>
    <w:rsid w:val="006404BC"/>
    <w:rsid w:val="006406A1"/>
    <w:rsid w:val="00657885"/>
    <w:rsid w:val="0066132B"/>
    <w:rsid w:val="00661484"/>
    <w:rsid w:val="006645B7"/>
    <w:rsid w:val="00686D19"/>
    <w:rsid w:val="006A00DA"/>
    <w:rsid w:val="006A1323"/>
    <w:rsid w:val="006A5A23"/>
    <w:rsid w:val="006B0EC1"/>
    <w:rsid w:val="006C55C8"/>
    <w:rsid w:val="006D58D9"/>
    <w:rsid w:val="006E4EF0"/>
    <w:rsid w:val="006E7F82"/>
    <w:rsid w:val="006F32A5"/>
    <w:rsid w:val="006F4626"/>
    <w:rsid w:val="00701E60"/>
    <w:rsid w:val="00701FE5"/>
    <w:rsid w:val="00712ED9"/>
    <w:rsid w:val="00715AD5"/>
    <w:rsid w:val="00723370"/>
    <w:rsid w:val="00724C40"/>
    <w:rsid w:val="00741981"/>
    <w:rsid w:val="007429D6"/>
    <w:rsid w:val="007437FB"/>
    <w:rsid w:val="00761BAB"/>
    <w:rsid w:val="00773F69"/>
    <w:rsid w:val="0077724B"/>
    <w:rsid w:val="0079154E"/>
    <w:rsid w:val="00794E84"/>
    <w:rsid w:val="00796DD0"/>
    <w:rsid w:val="007978CB"/>
    <w:rsid w:val="007A00BB"/>
    <w:rsid w:val="007A27E7"/>
    <w:rsid w:val="007B3DF6"/>
    <w:rsid w:val="007B4A2E"/>
    <w:rsid w:val="007B5FDF"/>
    <w:rsid w:val="007D649D"/>
    <w:rsid w:val="007E04E3"/>
    <w:rsid w:val="007E2DEA"/>
    <w:rsid w:val="007F173C"/>
    <w:rsid w:val="00810158"/>
    <w:rsid w:val="008109D4"/>
    <w:rsid w:val="00816C8D"/>
    <w:rsid w:val="0085098F"/>
    <w:rsid w:val="00850D2A"/>
    <w:rsid w:val="00853EA4"/>
    <w:rsid w:val="00857E81"/>
    <w:rsid w:val="00864FA6"/>
    <w:rsid w:val="0086564A"/>
    <w:rsid w:val="00865C0B"/>
    <w:rsid w:val="008745CC"/>
    <w:rsid w:val="00880647"/>
    <w:rsid w:val="00882E6D"/>
    <w:rsid w:val="0088709C"/>
    <w:rsid w:val="008A14AF"/>
    <w:rsid w:val="008A1949"/>
    <w:rsid w:val="008A2D9B"/>
    <w:rsid w:val="008A4151"/>
    <w:rsid w:val="008B0B20"/>
    <w:rsid w:val="008E3C19"/>
    <w:rsid w:val="008E5ED2"/>
    <w:rsid w:val="008F4F46"/>
    <w:rsid w:val="009069E2"/>
    <w:rsid w:val="00907843"/>
    <w:rsid w:val="009109F1"/>
    <w:rsid w:val="0091446D"/>
    <w:rsid w:val="00920799"/>
    <w:rsid w:val="00930B2B"/>
    <w:rsid w:val="009321C1"/>
    <w:rsid w:val="00934404"/>
    <w:rsid w:val="00945914"/>
    <w:rsid w:val="00957019"/>
    <w:rsid w:val="00961028"/>
    <w:rsid w:val="00964B64"/>
    <w:rsid w:val="00973109"/>
    <w:rsid w:val="0097543B"/>
    <w:rsid w:val="00975B3A"/>
    <w:rsid w:val="009818EE"/>
    <w:rsid w:val="00991448"/>
    <w:rsid w:val="009946F3"/>
    <w:rsid w:val="00996E1F"/>
    <w:rsid w:val="009A362C"/>
    <w:rsid w:val="009A68BC"/>
    <w:rsid w:val="009B100D"/>
    <w:rsid w:val="009B4289"/>
    <w:rsid w:val="009C0F2B"/>
    <w:rsid w:val="009C6471"/>
    <w:rsid w:val="009D7081"/>
    <w:rsid w:val="009E3522"/>
    <w:rsid w:val="009E69F5"/>
    <w:rsid w:val="009F1D64"/>
    <w:rsid w:val="009F336C"/>
    <w:rsid w:val="009F51C2"/>
    <w:rsid w:val="009F6B7E"/>
    <w:rsid w:val="00A11680"/>
    <w:rsid w:val="00A2406E"/>
    <w:rsid w:val="00A27258"/>
    <w:rsid w:val="00A32B36"/>
    <w:rsid w:val="00A37EB7"/>
    <w:rsid w:val="00A43F0A"/>
    <w:rsid w:val="00A5270F"/>
    <w:rsid w:val="00A52898"/>
    <w:rsid w:val="00A53B95"/>
    <w:rsid w:val="00A62441"/>
    <w:rsid w:val="00A63212"/>
    <w:rsid w:val="00A66DF9"/>
    <w:rsid w:val="00A70F83"/>
    <w:rsid w:val="00A71258"/>
    <w:rsid w:val="00A77AB6"/>
    <w:rsid w:val="00A871A3"/>
    <w:rsid w:val="00AA767C"/>
    <w:rsid w:val="00AB7AE8"/>
    <w:rsid w:val="00AC0666"/>
    <w:rsid w:val="00AC4F3C"/>
    <w:rsid w:val="00AD0CD7"/>
    <w:rsid w:val="00AD408A"/>
    <w:rsid w:val="00AE44D8"/>
    <w:rsid w:val="00AF0ED6"/>
    <w:rsid w:val="00B14D8F"/>
    <w:rsid w:val="00B41211"/>
    <w:rsid w:val="00B520B8"/>
    <w:rsid w:val="00B67590"/>
    <w:rsid w:val="00B82EA2"/>
    <w:rsid w:val="00B94B37"/>
    <w:rsid w:val="00BA0617"/>
    <w:rsid w:val="00BA2E88"/>
    <w:rsid w:val="00BA3024"/>
    <w:rsid w:val="00BA59E3"/>
    <w:rsid w:val="00BA77AA"/>
    <w:rsid w:val="00BB1218"/>
    <w:rsid w:val="00BC4743"/>
    <w:rsid w:val="00BC6328"/>
    <w:rsid w:val="00BE48B5"/>
    <w:rsid w:val="00BF07DC"/>
    <w:rsid w:val="00BF52CD"/>
    <w:rsid w:val="00BF72EF"/>
    <w:rsid w:val="00C02D58"/>
    <w:rsid w:val="00C16C87"/>
    <w:rsid w:val="00C24F7F"/>
    <w:rsid w:val="00C25FE0"/>
    <w:rsid w:val="00C35BD6"/>
    <w:rsid w:val="00C57A9F"/>
    <w:rsid w:val="00C774A9"/>
    <w:rsid w:val="00C8175F"/>
    <w:rsid w:val="00C82D44"/>
    <w:rsid w:val="00C83E62"/>
    <w:rsid w:val="00C864CF"/>
    <w:rsid w:val="00C908BD"/>
    <w:rsid w:val="00C9093B"/>
    <w:rsid w:val="00C949EB"/>
    <w:rsid w:val="00C9702E"/>
    <w:rsid w:val="00C97710"/>
    <w:rsid w:val="00CA087D"/>
    <w:rsid w:val="00CA234D"/>
    <w:rsid w:val="00CA4FAF"/>
    <w:rsid w:val="00CB6FBA"/>
    <w:rsid w:val="00CC2824"/>
    <w:rsid w:val="00CC2D2D"/>
    <w:rsid w:val="00CE10CD"/>
    <w:rsid w:val="00CE7AD7"/>
    <w:rsid w:val="00D023CB"/>
    <w:rsid w:val="00D16A68"/>
    <w:rsid w:val="00D23FA5"/>
    <w:rsid w:val="00D4079D"/>
    <w:rsid w:val="00D460CF"/>
    <w:rsid w:val="00D51481"/>
    <w:rsid w:val="00D64059"/>
    <w:rsid w:val="00D67F9F"/>
    <w:rsid w:val="00D74993"/>
    <w:rsid w:val="00D86D99"/>
    <w:rsid w:val="00D93AFA"/>
    <w:rsid w:val="00DB4CA4"/>
    <w:rsid w:val="00DC2E64"/>
    <w:rsid w:val="00DD0076"/>
    <w:rsid w:val="00DD1026"/>
    <w:rsid w:val="00E142F3"/>
    <w:rsid w:val="00E20E55"/>
    <w:rsid w:val="00E2402B"/>
    <w:rsid w:val="00E31142"/>
    <w:rsid w:val="00E50754"/>
    <w:rsid w:val="00E51707"/>
    <w:rsid w:val="00E530F4"/>
    <w:rsid w:val="00E61515"/>
    <w:rsid w:val="00E7011C"/>
    <w:rsid w:val="00E706A2"/>
    <w:rsid w:val="00E74249"/>
    <w:rsid w:val="00E81067"/>
    <w:rsid w:val="00E820AB"/>
    <w:rsid w:val="00E83BEE"/>
    <w:rsid w:val="00EA369E"/>
    <w:rsid w:val="00EB0FF0"/>
    <w:rsid w:val="00EB74A7"/>
    <w:rsid w:val="00EC6176"/>
    <w:rsid w:val="00ED1526"/>
    <w:rsid w:val="00ED1AC1"/>
    <w:rsid w:val="00ED7F04"/>
    <w:rsid w:val="00EE69FB"/>
    <w:rsid w:val="00EF592C"/>
    <w:rsid w:val="00F014AC"/>
    <w:rsid w:val="00F065BB"/>
    <w:rsid w:val="00F071DB"/>
    <w:rsid w:val="00F13839"/>
    <w:rsid w:val="00F146E8"/>
    <w:rsid w:val="00F305D6"/>
    <w:rsid w:val="00F33FA5"/>
    <w:rsid w:val="00F343BD"/>
    <w:rsid w:val="00F34434"/>
    <w:rsid w:val="00F45295"/>
    <w:rsid w:val="00F607E2"/>
    <w:rsid w:val="00F82CD8"/>
    <w:rsid w:val="00FA119D"/>
    <w:rsid w:val="00FA1423"/>
    <w:rsid w:val="00FA419E"/>
    <w:rsid w:val="00FB3FAA"/>
    <w:rsid w:val="00FB5777"/>
    <w:rsid w:val="00FB5C87"/>
    <w:rsid w:val="00FC1589"/>
    <w:rsid w:val="00FD079B"/>
    <w:rsid w:val="00FD1487"/>
    <w:rsid w:val="00FE0702"/>
    <w:rsid w:val="00FE17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25A098"/>
  <w15:docId w15:val="{83EC70B5-3223-4FAF-A983-12E1937B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06E"/>
    <w:rPr>
      <w:sz w:val="24"/>
      <w:szCs w:val="24"/>
      <w:lang w:val="sv-SE" w:eastAsia="sv-SE"/>
    </w:rPr>
  </w:style>
  <w:style w:type="paragraph" w:styleId="Rubrik1">
    <w:name w:val="heading 1"/>
    <w:basedOn w:val="Normal"/>
    <w:next w:val="Normal"/>
    <w:semiHidden/>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semiHidden/>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semiHidden/>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b/>
      <w:bCs/>
      <w:sz w:val="28"/>
      <w:szCs w:val="28"/>
    </w:rPr>
  </w:style>
  <w:style w:type="paragraph" w:styleId="Rubrik5">
    <w:name w:val="heading 5"/>
    <w:basedOn w:val="Normal"/>
    <w:next w:val="Normal"/>
    <w:semiHidden/>
    <w:pPr>
      <w:numPr>
        <w:ilvl w:val="4"/>
        <w:numId w:val="9"/>
      </w:numPr>
      <w:spacing w:before="240" w:after="60"/>
      <w:outlineLvl w:val="4"/>
    </w:pPr>
    <w:rPr>
      <w:b/>
      <w:bCs/>
      <w:i/>
      <w:iCs/>
      <w:sz w:val="26"/>
      <w:szCs w:val="26"/>
    </w:rPr>
  </w:style>
  <w:style w:type="paragraph" w:styleId="Rubrik6">
    <w:name w:val="heading 6"/>
    <w:basedOn w:val="Normal"/>
    <w:next w:val="Normal"/>
    <w:semiHidden/>
    <w:pPr>
      <w:numPr>
        <w:ilvl w:val="5"/>
        <w:numId w:val="10"/>
      </w:numPr>
      <w:spacing w:before="240" w:after="60"/>
      <w:outlineLvl w:val="5"/>
    </w:pPr>
    <w:rPr>
      <w:b/>
      <w:bCs/>
      <w:sz w:val="22"/>
      <w:szCs w:val="22"/>
    </w:rPr>
  </w:style>
  <w:style w:type="paragraph" w:styleId="Rubrik7">
    <w:name w:val="heading 7"/>
    <w:basedOn w:val="Normal"/>
    <w:next w:val="Normal"/>
    <w:semiHidden/>
    <w:pPr>
      <w:numPr>
        <w:ilvl w:val="6"/>
        <w:numId w:val="11"/>
      </w:numPr>
      <w:spacing w:before="240" w:after="60"/>
      <w:outlineLvl w:val="6"/>
    </w:pPr>
  </w:style>
  <w:style w:type="paragraph" w:styleId="Rubrik8">
    <w:name w:val="heading 8"/>
    <w:basedOn w:val="Normal"/>
    <w:next w:val="Normal"/>
    <w:semiHidden/>
    <w:pPr>
      <w:numPr>
        <w:ilvl w:val="7"/>
        <w:numId w:val="12"/>
      </w:numPr>
      <w:spacing w:before="240" w:after="60"/>
      <w:outlineLvl w:val="7"/>
    </w:pPr>
    <w:rPr>
      <w:i/>
      <w:iCs/>
    </w:rPr>
  </w:style>
  <w:style w:type="paragraph" w:styleId="Rubrik9">
    <w:name w:val="heading 9"/>
    <w:basedOn w:val="Normal"/>
    <w:next w:val="Normal"/>
    <w:semiHidden/>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link w:val="SidfotChar"/>
    <w:uiPriority w:val="99"/>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unhideWhenUsed/>
    <w:pPr>
      <w:suppressAutoHyphens/>
    </w:pPr>
    <w:rPr>
      <w:rFonts w:ascii="Arial" w:hAnsi="Arial" w:cs="Arial"/>
      <w:b/>
      <w:bCs/>
      <w:sz w:val="26"/>
      <w:lang w:val="sv-SE" w:eastAsia="sv-SE"/>
    </w:rPr>
  </w:style>
  <w:style w:type="paragraph" w:customStyle="1" w:styleId="ArendeUnderRubrik">
    <w:name w:val="ArendeUnderRubrik"/>
    <w:unhideWhenUsed/>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 w:type="paragraph" w:styleId="Liststycke">
    <w:name w:val="List Paragraph"/>
    <w:basedOn w:val="Normal"/>
    <w:uiPriority w:val="34"/>
    <w:qFormat/>
    <w:rsid w:val="00A2406E"/>
    <w:pPr>
      <w:ind w:left="720"/>
      <w:contextualSpacing/>
    </w:pPr>
  </w:style>
  <w:style w:type="paragraph" w:styleId="Ballongtext">
    <w:name w:val="Balloon Text"/>
    <w:basedOn w:val="Normal"/>
    <w:link w:val="BallongtextChar"/>
    <w:uiPriority w:val="99"/>
    <w:semiHidden/>
    <w:unhideWhenUsed/>
    <w:rsid w:val="005D4D1E"/>
    <w:rPr>
      <w:rFonts w:ascii="Tahoma" w:hAnsi="Tahoma" w:cs="Tahoma"/>
      <w:sz w:val="16"/>
      <w:szCs w:val="16"/>
    </w:rPr>
  </w:style>
  <w:style w:type="character" w:customStyle="1" w:styleId="BallongtextChar">
    <w:name w:val="Ballongtext Char"/>
    <w:link w:val="Ballongtext"/>
    <w:uiPriority w:val="99"/>
    <w:semiHidden/>
    <w:rsid w:val="005D4D1E"/>
    <w:rPr>
      <w:rFonts w:ascii="Tahoma" w:hAnsi="Tahoma" w:cs="Tahoma"/>
      <w:sz w:val="16"/>
      <w:szCs w:val="16"/>
      <w:lang w:val="sv-SE" w:eastAsia="sv-SE"/>
    </w:rPr>
  </w:style>
  <w:style w:type="paragraph" w:styleId="Innehllsfrteckningsrubrik">
    <w:name w:val="TOC Heading"/>
    <w:basedOn w:val="Rubrik1"/>
    <w:next w:val="Normal"/>
    <w:uiPriority w:val="39"/>
    <w:unhideWhenUsed/>
    <w:qFormat/>
    <w:rsid w:val="00907843"/>
    <w:pPr>
      <w:keepLines/>
      <w:numPr>
        <w:numId w:val="0"/>
      </w:numPr>
      <w:spacing w:before="480" w:after="0" w:line="276" w:lineRule="auto"/>
      <w:outlineLvl w:val="9"/>
    </w:pPr>
    <w:rPr>
      <w:rFonts w:ascii="Cambria" w:hAnsi="Cambria" w:cs="Times New Roman"/>
      <w:color w:val="365F91"/>
      <w:kern w:val="0"/>
      <w:sz w:val="28"/>
      <w:szCs w:val="28"/>
      <w:lang w:val="sv-FI" w:eastAsia="sv-FI"/>
    </w:rPr>
  </w:style>
  <w:style w:type="paragraph" w:customStyle="1" w:styleId="Hger">
    <w:name w:val="Höger"/>
    <w:basedOn w:val="Normal"/>
    <w:rsid w:val="00BB1218"/>
    <w:pPr>
      <w:tabs>
        <w:tab w:val="left" w:pos="2552"/>
        <w:tab w:val="left" w:pos="5670"/>
      </w:tabs>
      <w:ind w:left="2552"/>
    </w:pPr>
    <w:rPr>
      <w:szCs w:val="20"/>
    </w:rPr>
  </w:style>
  <w:style w:type="paragraph" w:customStyle="1" w:styleId="Default">
    <w:name w:val="Default"/>
    <w:rsid w:val="00BB1218"/>
    <w:pPr>
      <w:autoSpaceDE w:val="0"/>
      <w:autoSpaceDN w:val="0"/>
      <w:adjustRightInd w:val="0"/>
    </w:pPr>
    <w:rPr>
      <w:color w:val="000000"/>
      <w:sz w:val="24"/>
      <w:szCs w:val="24"/>
    </w:rPr>
  </w:style>
  <w:style w:type="paragraph" w:customStyle="1" w:styleId="Sis2">
    <w:name w:val="Sis 2"/>
    <w:basedOn w:val="Normal"/>
    <w:qFormat/>
    <w:rsid w:val="00CE10CD"/>
    <w:pPr>
      <w:ind w:left="2608"/>
    </w:pPr>
    <w:rPr>
      <w:rFonts w:ascii="Arial" w:eastAsiaTheme="minorHAnsi" w:hAnsi="Arial" w:cstheme="minorHAnsi"/>
      <w:sz w:val="22"/>
      <w:szCs w:val="22"/>
      <w:lang w:eastAsia="en-US"/>
    </w:rPr>
  </w:style>
  <w:style w:type="character" w:styleId="Kommentarsreferens">
    <w:name w:val="annotation reference"/>
    <w:basedOn w:val="Standardstycketeckensnitt"/>
    <w:uiPriority w:val="99"/>
    <w:semiHidden/>
    <w:unhideWhenUsed/>
    <w:rsid w:val="000457A9"/>
    <w:rPr>
      <w:sz w:val="16"/>
      <w:szCs w:val="16"/>
    </w:rPr>
  </w:style>
  <w:style w:type="paragraph" w:styleId="Kommentarer">
    <w:name w:val="annotation text"/>
    <w:basedOn w:val="Normal"/>
    <w:link w:val="KommentarerChar"/>
    <w:uiPriority w:val="99"/>
    <w:semiHidden/>
    <w:unhideWhenUsed/>
    <w:rsid w:val="000457A9"/>
    <w:rPr>
      <w:sz w:val="20"/>
      <w:szCs w:val="20"/>
    </w:rPr>
  </w:style>
  <w:style w:type="character" w:customStyle="1" w:styleId="KommentarerChar">
    <w:name w:val="Kommentarer Char"/>
    <w:basedOn w:val="Standardstycketeckensnitt"/>
    <w:link w:val="Kommentarer"/>
    <w:uiPriority w:val="99"/>
    <w:semiHidden/>
    <w:rsid w:val="000457A9"/>
    <w:rPr>
      <w:lang w:val="sv-SE" w:eastAsia="sv-SE"/>
    </w:rPr>
  </w:style>
  <w:style w:type="paragraph" w:styleId="Kommentarsmne">
    <w:name w:val="annotation subject"/>
    <w:basedOn w:val="Kommentarer"/>
    <w:next w:val="Kommentarer"/>
    <w:link w:val="KommentarsmneChar"/>
    <w:uiPriority w:val="99"/>
    <w:semiHidden/>
    <w:unhideWhenUsed/>
    <w:rsid w:val="000457A9"/>
    <w:rPr>
      <w:b/>
      <w:bCs/>
    </w:rPr>
  </w:style>
  <w:style w:type="character" w:customStyle="1" w:styleId="KommentarsmneChar">
    <w:name w:val="Kommentarsämne Char"/>
    <w:basedOn w:val="KommentarerChar"/>
    <w:link w:val="Kommentarsmne"/>
    <w:uiPriority w:val="99"/>
    <w:semiHidden/>
    <w:rsid w:val="000457A9"/>
    <w:rPr>
      <w:b/>
      <w:bCs/>
      <w:lang w:val="sv-SE" w:eastAsia="sv-SE"/>
    </w:rPr>
  </w:style>
  <w:style w:type="paragraph" w:styleId="Indragetstycke">
    <w:name w:val="Block Text"/>
    <w:basedOn w:val="Normal"/>
    <w:semiHidden/>
    <w:rsid w:val="00AE44D8"/>
    <w:pPr>
      <w:tabs>
        <w:tab w:val="left" w:pos="5670"/>
      </w:tabs>
      <w:ind w:left="5670" w:right="-18"/>
    </w:pPr>
  </w:style>
  <w:style w:type="character" w:styleId="Radnummer">
    <w:name w:val="line number"/>
    <w:basedOn w:val="Standardstycketeckensnitt"/>
    <w:uiPriority w:val="99"/>
    <w:semiHidden/>
    <w:unhideWhenUsed/>
    <w:rsid w:val="000036EA"/>
  </w:style>
  <w:style w:type="character" w:customStyle="1" w:styleId="SidfotChar">
    <w:name w:val="Sidfot Char"/>
    <w:basedOn w:val="Standardstycketeckensnitt"/>
    <w:link w:val="Sidfot"/>
    <w:uiPriority w:val="99"/>
    <w:rsid w:val="006A5A23"/>
    <w:rPr>
      <w:rFonts w:ascii="Verdana" w:hAnsi="Verdana" w:cs="Arial"/>
      <w:sz w:val="1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19069">
      <w:bodyDiv w:val="1"/>
      <w:marLeft w:val="0"/>
      <w:marRight w:val="0"/>
      <w:marTop w:val="0"/>
      <w:marBottom w:val="0"/>
      <w:divBdr>
        <w:top w:val="none" w:sz="0" w:space="0" w:color="auto"/>
        <w:left w:val="none" w:sz="0" w:space="0" w:color="auto"/>
        <w:bottom w:val="none" w:sz="0" w:space="0" w:color="auto"/>
        <w:right w:val="none" w:sz="0" w:space="0" w:color="auto"/>
      </w:divBdr>
    </w:div>
    <w:div w:id="587738393">
      <w:bodyDiv w:val="1"/>
      <w:marLeft w:val="0"/>
      <w:marRight w:val="0"/>
      <w:marTop w:val="0"/>
      <w:marBottom w:val="0"/>
      <w:divBdr>
        <w:top w:val="none" w:sz="0" w:space="0" w:color="auto"/>
        <w:left w:val="none" w:sz="0" w:space="0" w:color="auto"/>
        <w:bottom w:val="none" w:sz="0" w:space="0" w:color="auto"/>
        <w:right w:val="none" w:sz="0" w:space="0" w:color="auto"/>
      </w:divBdr>
    </w:div>
    <w:div w:id="648021721">
      <w:bodyDiv w:val="1"/>
      <w:marLeft w:val="60"/>
      <w:marRight w:val="60"/>
      <w:marTop w:val="60"/>
      <w:marBottom w:val="15"/>
      <w:divBdr>
        <w:top w:val="none" w:sz="0" w:space="0" w:color="auto"/>
        <w:left w:val="none" w:sz="0" w:space="0" w:color="auto"/>
        <w:bottom w:val="none" w:sz="0" w:space="0" w:color="auto"/>
        <w:right w:val="none" w:sz="0" w:space="0" w:color="auto"/>
      </w:divBdr>
      <w:divsChild>
        <w:div w:id="1678919396">
          <w:marLeft w:val="0"/>
          <w:marRight w:val="0"/>
          <w:marTop w:val="0"/>
          <w:marBottom w:val="0"/>
          <w:divBdr>
            <w:top w:val="none" w:sz="0" w:space="0" w:color="auto"/>
            <w:left w:val="none" w:sz="0" w:space="0" w:color="auto"/>
            <w:bottom w:val="none" w:sz="0" w:space="0" w:color="auto"/>
            <w:right w:val="none" w:sz="0" w:space="0" w:color="auto"/>
          </w:divBdr>
        </w:div>
      </w:divsChild>
    </w:div>
    <w:div w:id="1230119572">
      <w:bodyDiv w:val="1"/>
      <w:marLeft w:val="0"/>
      <w:marRight w:val="0"/>
      <w:marTop w:val="0"/>
      <w:marBottom w:val="0"/>
      <w:divBdr>
        <w:top w:val="none" w:sz="0" w:space="0" w:color="auto"/>
        <w:left w:val="none" w:sz="0" w:space="0" w:color="auto"/>
        <w:bottom w:val="none" w:sz="0" w:space="0" w:color="auto"/>
        <w:right w:val="none" w:sz="0" w:space="0" w:color="auto"/>
      </w:divBdr>
    </w:div>
    <w:div w:id="14699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5DCA3-15B5-4098-AE19-D638D60BB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921</Words>
  <Characters>6217</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Landskapsregeringens meddelande nr x/201x-201x</vt:lpstr>
    </vt:vector>
  </TitlesOfParts>
  <Company>LR</Company>
  <LinksUpToDate>false</LinksUpToDate>
  <CharactersWithSpaces>7124</CharactersWithSpaces>
  <SharedDoc>false</SharedDoc>
  <HLinks>
    <vt:vector size="54" baseType="variant">
      <vt:variant>
        <vt:i4>1441843</vt:i4>
      </vt:variant>
      <vt:variant>
        <vt:i4>50</vt:i4>
      </vt:variant>
      <vt:variant>
        <vt:i4>0</vt:i4>
      </vt:variant>
      <vt:variant>
        <vt:i4>5</vt:i4>
      </vt:variant>
      <vt:variant>
        <vt:lpwstr/>
      </vt:variant>
      <vt:variant>
        <vt:lpwstr>_Toc417392912</vt:lpwstr>
      </vt:variant>
      <vt:variant>
        <vt:i4>1441843</vt:i4>
      </vt:variant>
      <vt:variant>
        <vt:i4>44</vt:i4>
      </vt:variant>
      <vt:variant>
        <vt:i4>0</vt:i4>
      </vt:variant>
      <vt:variant>
        <vt:i4>5</vt:i4>
      </vt:variant>
      <vt:variant>
        <vt:lpwstr/>
      </vt:variant>
      <vt:variant>
        <vt:lpwstr>_Toc417392911</vt:lpwstr>
      </vt:variant>
      <vt:variant>
        <vt:i4>1441843</vt:i4>
      </vt:variant>
      <vt:variant>
        <vt:i4>38</vt:i4>
      </vt:variant>
      <vt:variant>
        <vt:i4>0</vt:i4>
      </vt:variant>
      <vt:variant>
        <vt:i4>5</vt:i4>
      </vt:variant>
      <vt:variant>
        <vt:lpwstr/>
      </vt:variant>
      <vt:variant>
        <vt:lpwstr>_Toc417392910</vt:lpwstr>
      </vt:variant>
      <vt:variant>
        <vt:i4>1507379</vt:i4>
      </vt:variant>
      <vt:variant>
        <vt:i4>32</vt:i4>
      </vt:variant>
      <vt:variant>
        <vt:i4>0</vt:i4>
      </vt:variant>
      <vt:variant>
        <vt:i4>5</vt:i4>
      </vt:variant>
      <vt:variant>
        <vt:lpwstr/>
      </vt:variant>
      <vt:variant>
        <vt:lpwstr>_Toc417392909</vt:lpwstr>
      </vt:variant>
      <vt:variant>
        <vt:i4>1507379</vt:i4>
      </vt:variant>
      <vt:variant>
        <vt:i4>26</vt:i4>
      </vt:variant>
      <vt:variant>
        <vt:i4>0</vt:i4>
      </vt:variant>
      <vt:variant>
        <vt:i4>5</vt:i4>
      </vt:variant>
      <vt:variant>
        <vt:lpwstr/>
      </vt:variant>
      <vt:variant>
        <vt:lpwstr>_Toc417392908</vt:lpwstr>
      </vt:variant>
      <vt:variant>
        <vt:i4>1507379</vt:i4>
      </vt:variant>
      <vt:variant>
        <vt:i4>20</vt:i4>
      </vt:variant>
      <vt:variant>
        <vt:i4>0</vt:i4>
      </vt:variant>
      <vt:variant>
        <vt:i4>5</vt:i4>
      </vt:variant>
      <vt:variant>
        <vt:lpwstr/>
      </vt:variant>
      <vt:variant>
        <vt:lpwstr>_Toc417392907</vt:lpwstr>
      </vt:variant>
      <vt:variant>
        <vt:i4>1507379</vt:i4>
      </vt:variant>
      <vt:variant>
        <vt:i4>14</vt:i4>
      </vt:variant>
      <vt:variant>
        <vt:i4>0</vt:i4>
      </vt:variant>
      <vt:variant>
        <vt:i4>5</vt:i4>
      </vt:variant>
      <vt:variant>
        <vt:lpwstr/>
      </vt:variant>
      <vt:variant>
        <vt:lpwstr>_Toc417392906</vt:lpwstr>
      </vt:variant>
      <vt:variant>
        <vt:i4>1507379</vt:i4>
      </vt:variant>
      <vt:variant>
        <vt:i4>8</vt:i4>
      </vt:variant>
      <vt:variant>
        <vt:i4>0</vt:i4>
      </vt:variant>
      <vt:variant>
        <vt:i4>5</vt:i4>
      </vt:variant>
      <vt:variant>
        <vt:lpwstr/>
      </vt:variant>
      <vt:variant>
        <vt:lpwstr>_Toc417392905</vt:lpwstr>
      </vt:variant>
      <vt:variant>
        <vt:i4>1507379</vt:i4>
      </vt:variant>
      <vt:variant>
        <vt:i4>2</vt:i4>
      </vt:variant>
      <vt:variant>
        <vt:i4>0</vt:i4>
      </vt:variant>
      <vt:variant>
        <vt:i4>5</vt:i4>
      </vt:variant>
      <vt:variant>
        <vt:lpwstr/>
      </vt:variant>
      <vt:variant>
        <vt:lpwstr>_Toc417392904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Landskapsregeringens meddelande nr x/201x-201x</dc:title>
  <dc:creator>LR</dc:creator>
  <cp:lastModifiedBy>Jessica Laaksonen</cp:lastModifiedBy>
  <cp:revision>2</cp:revision>
  <cp:lastPrinted>2022-06-02T08:39:00Z</cp:lastPrinted>
  <dcterms:created xsi:type="dcterms:W3CDTF">2022-06-10T07:25:00Z</dcterms:created>
  <dcterms:modified xsi:type="dcterms:W3CDTF">2022-06-10T07:25:00Z</dcterms:modified>
</cp:coreProperties>
</file>