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02204" w14:paraId="734FE928" w14:textId="77777777" w:rsidTr="007A05E9">
        <w:trPr>
          <w:cantSplit/>
          <w:trHeight w:val="20"/>
        </w:trPr>
        <w:tc>
          <w:tcPr>
            <w:tcW w:w="861" w:type="dxa"/>
            <w:vMerge w:val="restart"/>
          </w:tcPr>
          <w:p w14:paraId="65684F5A" w14:textId="77777777" w:rsidR="00602204" w:rsidRDefault="00602204" w:rsidP="007A05E9">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7878EAF4" wp14:editId="51DA9B89">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DB92867" w14:textId="77777777" w:rsidR="00602204" w:rsidRDefault="00602204" w:rsidP="007A05E9">
            <w:pPr>
              <w:pStyle w:val="xMellanrum"/>
              <w:rPr>
                <w:rFonts w:ascii="Times New Roman" w:hAnsi="Times New Roman"/>
              </w:rPr>
            </w:pPr>
            <w:r>
              <w:rPr>
                <w:rFonts w:ascii="Times New Roman" w:hAnsi="Times New Roman"/>
                <w:noProof/>
                <w:lang w:val="sv-FI" w:eastAsia="sv-FI"/>
              </w:rPr>
              <w:drawing>
                <wp:inline distT="0" distB="0" distL="0" distR="0" wp14:anchorId="4A8DAB37" wp14:editId="37EE2BA8">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02204" w14:paraId="123B1C97" w14:textId="77777777" w:rsidTr="007A05E9">
        <w:trPr>
          <w:cantSplit/>
          <w:trHeight w:val="299"/>
        </w:trPr>
        <w:tc>
          <w:tcPr>
            <w:tcW w:w="861" w:type="dxa"/>
            <w:vMerge/>
          </w:tcPr>
          <w:p w14:paraId="5BB0998B" w14:textId="77777777" w:rsidR="00602204" w:rsidRDefault="00602204" w:rsidP="007A05E9">
            <w:pPr>
              <w:pStyle w:val="xLedtext"/>
              <w:rPr>
                <w:rFonts w:ascii="Times New Roman" w:hAnsi="Times New Roman" w:cs="Times New Roman"/>
              </w:rPr>
            </w:pPr>
          </w:p>
        </w:tc>
        <w:tc>
          <w:tcPr>
            <w:tcW w:w="4448" w:type="dxa"/>
            <w:vAlign w:val="bottom"/>
          </w:tcPr>
          <w:p w14:paraId="20FF46A2" w14:textId="77777777" w:rsidR="00602204" w:rsidRDefault="00602204" w:rsidP="007A05E9">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C458638" w14:textId="3F2293E3" w:rsidR="00602204" w:rsidRDefault="00602204" w:rsidP="007A05E9">
            <w:pPr>
              <w:pStyle w:val="xDokTypNr"/>
              <w:rPr>
                <w:rFonts w:ascii="Times New Roman" w:hAnsi="Times New Roman"/>
              </w:rPr>
            </w:pPr>
            <w:r>
              <w:rPr>
                <w:rFonts w:ascii="Times New Roman" w:hAnsi="Times New Roman"/>
              </w:rPr>
              <w:t xml:space="preserve">BUDGETFÖRSLAG nr </w:t>
            </w:r>
            <w:r w:rsidR="00B578EE">
              <w:rPr>
                <w:rFonts w:ascii="Times New Roman" w:hAnsi="Times New Roman"/>
              </w:rPr>
              <w:t>3</w:t>
            </w:r>
            <w:r>
              <w:rPr>
                <w:rFonts w:ascii="Times New Roman" w:hAnsi="Times New Roman"/>
              </w:rPr>
              <w:t>/</w:t>
            </w:r>
            <w:proofErr w:type="gramStart"/>
            <w:r>
              <w:rPr>
                <w:rFonts w:ascii="Times New Roman" w:hAnsi="Times New Roman"/>
              </w:rPr>
              <w:t>20</w:t>
            </w:r>
            <w:r w:rsidR="002B6ABF">
              <w:rPr>
                <w:rFonts w:ascii="Times New Roman" w:hAnsi="Times New Roman"/>
              </w:rPr>
              <w:t>2</w:t>
            </w:r>
            <w:r w:rsidR="007E1439">
              <w:rPr>
                <w:rFonts w:ascii="Times New Roman" w:hAnsi="Times New Roman"/>
              </w:rPr>
              <w:t>1</w:t>
            </w:r>
            <w:r>
              <w:rPr>
                <w:rFonts w:ascii="Times New Roman" w:hAnsi="Times New Roman"/>
              </w:rPr>
              <w:t>-202</w:t>
            </w:r>
            <w:r w:rsidR="007E1439">
              <w:rPr>
                <w:rFonts w:ascii="Times New Roman" w:hAnsi="Times New Roman"/>
              </w:rPr>
              <w:t>2</w:t>
            </w:r>
            <w:proofErr w:type="gramEnd"/>
          </w:p>
        </w:tc>
      </w:tr>
      <w:tr w:rsidR="00602204" w14:paraId="34B4098F" w14:textId="77777777" w:rsidTr="007A05E9">
        <w:trPr>
          <w:cantSplit/>
          <w:trHeight w:val="238"/>
        </w:trPr>
        <w:tc>
          <w:tcPr>
            <w:tcW w:w="861" w:type="dxa"/>
            <w:vMerge/>
          </w:tcPr>
          <w:p w14:paraId="00C48548" w14:textId="77777777" w:rsidR="00602204" w:rsidRDefault="00602204" w:rsidP="007A05E9">
            <w:pPr>
              <w:pStyle w:val="xLedtext"/>
              <w:rPr>
                <w:rFonts w:ascii="Times New Roman" w:hAnsi="Times New Roman" w:cs="Times New Roman"/>
              </w:rPr>
            </w:pPr>
          </w:p>
        </w:tc>
        <w:tc>
          <w:tcPr>
            <w:tcW w:w="4448" w:type="dxa"/>
            <w:vAlign w:val="bottom"/>
          </w:tcPr>
          <w:p w14:paraId="0E39C605" w14:textId="77777777" w:rsidR="00602204" w:rsidRDefault="00602204" w:rsidP="007A05E9">
            <w:pPr>
              <w:pStyle w:val="xLedtext"/>
              <w:rPr>
                <w:rFonts w:ascii="Times New Roman" w:hAnsi="Times New Roman" w:cs="Times New Roman"/>
              </w:rPr>
            </w:pPr>
          </w:p>
        </w:tc>
        <w:tc>
          <w:tcPr>
            <w:tcW w:w="1725" w:type="dxa"/>
            <w:vAlign w:val="bottom"/>
          </w:tcPr>
          <w:p w14:paraId="596E5D65" w14:textId="77777777" w:rsidR="00602204" w:rsidRDefault="00602204" w:rsidP="007A05E9">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7A01DE24" w14:textId="77777777" w:rsidR="00602204" w:rsidRDefault="00602204" w:rsidP="007A05E9">
            <w:pPr>
              <w:pStyle w:val="xLedtext"/>
              <w:rPr>
                <w:rFonts w:ascii="Times New Roman" w:hAnsi="Times New Roman" w:cs="Times New Roman"/>
                <w:lang w:val="de-DE"/>
              </w:rPr>
            </w:pPr>
          </w:p>
        </w:tc>
      </w:tr>
      <w:tr w:rsidR="00602204" w14:paraId="2EA01798" w14:textId="77777777" w:rsidTr="007A05E9">
        <w:trPr>
          <w:cantSplit/>
          <w:trHeight w:val="238"/>
        </w:trPr>
        <w:tc>
          <w:tcPr>
            <w:tcW w:w="861" w:type="dxa"/>
            <w:vMerge/>
          </w:tcPr>
          <w:p w14:paraId="79DF7DCD" w14:textId="77777777" w:rsidR="00602204" w:rsidRDefault="00602204" w:rsidP="007A05E9">
            <w:pPr>
              <w:pStyle w:val="xAvsandare2"/>
              <w:rPr>
                <w:rFonts w:ascii="Times New Roman" w:hAnsi="Times New Roman" w:cs="Times New Roman"/>
                <w:lang w:val="de-DE"/>
              </w:rPr>
            </w:pPr>
          </w:p>
        </w:tc>
        <w:tc>
          <w:tcPr>
            <w:tcW w:w="4448" w:type="dxa"/>
            <w:vAlign w:val="center"/>
          </w:tcPr>
          <w:p w14:paraId="0DEA0CEC" w14:textId="77777777" w:rsidR="00602204" w:rsidRDefault="00602204" w:rsidP="007A05E9">
            <w:pPr>
              <w:pStyle w:val="xAvsandare2"/>
              <w:rPr>
                <w:rFonts w:ascii="Times New Roman" w:hAnsi="Times New Roman" w:cs="Times New Roman"/>
                <w:lang w:val="de-DE"/>
              </w:rPr>
            </w:pPr>
          </w:p>
        </w:tc>
        <w:tc>
          <w:tcPr>
            <w:tcW w:w="1725" w:type="dxa"/>
            <w:vAlign w:val="center"/>
          </w:tcPr>
          <w:p w14:paraId="66FE7F7E" w14:textId="2FF266D7" w:rsidR="00602204" w:rsidRDefault="00602204" w:rsidP="007A05E9">
            <w:pPr>
              <w:pStyle w:val="xDatum1"/>
              <w:rPr>
                <w:rFonts w:ascii="Times New Roman" w:hAnsi="Times New Roman"/>
              </w:rPr>
            </w:pPr>
            <w:r>
              <w:rPr>
                <w:rFonts w:ascii="Times New Roman" w:hAnsi="Times New Roman"/>
              </w:rPr>
              <w:t>202</w:t>
            </w:r>
            <w:r w:rsidR="007622DF">
              <w:rPr>
                <w:rFonts w:ascii="Times New Roman" w:hAnsi="Times New Roman"/>
              </w:rPr>
              <w:t>2</w:t>
            </w:r>
            <w:r>
              <w:rPr>
                <w:rFonts w:ascii="Times New Roman" w:hAnsi="Times New Roman"/>
              </w:rPr>
              <w:t>-</w:t>
            </w:r>
            <w:r w:rsidR="007E1439">
              <w:rPr>
                <w:rFonts w:ascii="Times New Roman" w:hAnsi="Times New Roman"/>
              </w:rPr>
              <w:t>01</w:t>
            </w:r>
            <w:r>
              <w:rPr>
                <w:rFonts w:ascii="Times New Roman" w:hAnsi="Times New Roman"/>
              </w:rPr>
              <w:t>-</w:t>
            </w:r>
            <w:r w:rsidR="006171B3">
              <w:rPr>
                <w:rFonts w:ascii="Times New Roman" w:hAnsi="Times New Roman"/>
              </w:rPr>
              <w:t>31</w:t>
            </w:r>
          </w:p>
        </w:tc>
        <w:tc>
          <w:tcPr>
            <w:tcW w:w="2563" w:type="dxa"/>
            <w:vAlign w:val="center"/>
          </w:tcPr>
          <w:p w14:paraId="4C6DE2BC" w14:textId="32EE7F04" w:rsidR="00602204" w:rsidRDefault="00602204" w:rsidP="007A05E9">
            <w:pPr>
              <w:pStyle w:val="xBeteckning1"/>
              <w:rPr>
                <w:rFonts w:ascii="Times New Roman" w:hAnsi="Times New Roman"/>
              </w:rPr>
            </w:pPr>
          </w:p>
        </w:tc>
      </w:tr>
      <w:tr w:rsidR="00602204" w14:paraId="1C739E14" w14:textId="77777777" w:rsidTr="007A05E9">
        <w:trPr>
          <w:cantSplit/>
          <w:trHeight w:val="238"/>
        </w:trPr>
        <w:tc>
          <w:tcPr>
            <w:tcW w:w="861" w:type="dxa"/>
            <w:vMerge/>
          </w:tcPr>
          <w:p w14:paraId="4EB5FF21" w14:textId="77777777" w:rsidR="00602204" w:rsidRDefault="00602204" w:rsidP="007A05E9">
            <w:pPr>
              <w:pStyle w:val="xLedtext"/>
              <w:rPr>
                <w:rFonts w:ascii="Times New Roman" w:hAnsi="Times New Roman" w:cs="Times New Roman"/>
              </w:rPr>
            </w:pPr>
          </w:p>
        </w:tc>
        <w:tc>
          <w:tcPr>
            <w:tcW w:w="4448" w:type="dxa"/>
            <w:vAlign w:val="bottom"/>
          </w:tcPr>
          <w:p w14:paraId="370977D2" w14:textId="77777777" w:rsidR="00602204" w:rsidRDefault="00602204" w:rsidP="007A05E9">
            <w:pPr>
              <w:pStyle w:val="xLedtext"/>
              <w:rPr>
                <w:rFonts w:ascii="Times New Roman" w:hAnsi="Times New Roman" w:cs="Times New Roman"/>
              </w:rPr>
            </w:pPr>
          </w:p>
        </w:tc>
        <w:tc>
          <w:tcPr>
            <w:tcW w:w="1725" w:type="dxa"/>
            <w:vAlign w:val="bottom"/>
          </w:tcPr>
          <w:p w14:paraId="01467D2C" w14:textId="77777777" w:rsidR="00602204" w:rsidRDefault="00602204" w:rsidP="007A05E9">
            <w:pPr>
              <w:pStyle w:val="xLedtext"/>
              <w:rPr>
                <w:rFonts w:ascii="Times New Roman" w:hAnsi="Times New Roman" w:cs="Times New Roman"/>
              </w:rPr>
            </w:pPr>
          </w:p>
        </w:tc>
        <w:tc>
          <w:tcPr>
            <w:tcW w:w="2563" w:type="dxa"/>
            <w:vAlign w:val="bottom"/>
          </w:tcPr>
          <w:p w14:paraId="083CB836" w14:textId="77777777" w:rsidR="00602204" w:rsidRDefault="00602204" w:rsidP="007A05E9">
            <w:pPr>
              <w:pStyle w:val="xLedtext"/>
              <w:rPr>
                <w:rFonts w:ascii="Times New Roman" w:hAnsi="Times New Roman" w:cs="Times New Roman"/>
              </w:rPr>
            </w:pPr>
          </w:p>
        </w:tc>
      </w:tr>
      <w:tr w:rsidR="00602204" w14:paraId="192EA292" w14:textId="77777777" w:rsidTr="007A05E9">
        <w:trPr>
          <w:cantSplit/>
          <w:trHeight w:val="238"/>
        </w:trPr>
        <w:tc>
          <w:tcPr>
            <w:tcW w:w="861" w:type="dxa"/>
            <w:vMerge/>
            <w:tcBorders>
              <w:bottom w:val="single" w:sz="4" w:space="0" w:color="auto"/>
            </w:tcBorders>
          </w:tcPr>
          <w:p w14:paraId="1A84158F" w14:textId="77777777" w:rsidR="00602204" w:rsidRDefault="00602204" w:rsidP="007A05E9">
            <w:pPr>
              <w:pStyle w:val="xAvsandare3"/>
              <w:rPr>
                <w:rFonts w:ascii="Times New Roman" w:hAnsi="Times New Roman"/>
              </w:rPr>
            </w:pPr>
          </w:p>
        </w:tc>
        <w:tc>
          <w:tcPr>
            <w:tcW w:w="4448" w:type="dxa"/>
            <w:tcBorders>
              <w:bottom w:val="single" w:sz="4" w:space="0" w:color="auto"/>
            </w:tcBorders>
            <w:vAlign w:val="center"/>
          </w:tcPr>
          <w:p w14:paraId="583BD831" w14:textId="77777777" w:rsidR="00602204" w:rsidRDefault="00602204" w:rsidP="007A05E9">
            <w:pPr>
              <w:pStyle w:val="xAvsandare3"/>
              <w:rPr>
                <w:rFonts w:ascii="Times New Roman" w:hAnsi="Times New Roman"/>
              </w:rPr>
            </w:pPr>
          </w:p>
        </w:tc>
        <w:tc>
          <w:tcPr>
            <w:tcW w:w="1725" w:type="dxa"/>
            <w:tcBorders>
              <w:bottom w:val="single" w:sz="4" w:space="0" w:color="auto"/>
            </w:tcBorders>
            <w:vAlign w:val="center"/>
          </w:tcPr>
          <w:p w14:paraId="0AE1ABB4" w14:textId="77777777" w:rsidR="00602204" w:rsidRDefault="00602204" w:rsidP="007A05E9">
            <w:pPr>
              <w:pStyle w:val="xDatum2"/>
              <w:rPr>
                <w:rFonts w:ascii="Times New Roman" w:hAnsi="Times New Roman"/>
              </w:rPr>
            </w:pPr>
          </w:p>
        </w:tc>
        <w:tc>
          <w:tcPr>
            <w:tcW w:w="2563" w:type="dxa"/>
            <w:tcBorders>
              <w:bottom w:val="single" w:sz="4" w:space="0" w:color="auto"/>
            </w:tcBorders>
            <w:vAlign w:val="center"/>
          </w:tcPr>
          <w:p w14:paraId="0E84D6BC" w14:textId="77777777" w:rsidR="00602204" w:rsidRDefault="00602204" w:rsidP="007A05E9">
            <w:pPr>
              <w:pStyle w:val="xBeteckning2"/>
              <w:rPr>
                <w:rFonts w:ascii="Times New Roman" w:hAnsi="Times New Roman"/>
              </w:rPr>
            </w:pPr>
          </w:p>
        </w:tc>
      </w:tr>
      <w:tr w:rsidR="00602204" w14:paraId="44D39EF6" w14:textId="77777777" w:rsidTr="007A05E9">
        <w:trPr>
          <w:cantSplit/>
          <w:trHeight w:val="238"/>
        </w:trPr>
        <w:tc>
          <w:tcPr>
            <w:tcW w:w="861" w:type="dxa"/>
            <w:tcBorders>
              <w:top w:val="single" w:sz="4" w:space="0" w:color="auto"/>
            </w:tcBorders>
            <w:vAlign w:val="bottom"/>
          </w:tcPr>
          <w:p w14:paraId="2D1F7E53" w14:textId="77777777" w:rsidR="00602204" w:rsidRDefault="00602204" w:rsidP="007A05E9">
            <w:pPr>
              <w:pStyle w:val="xLedtext"/>
              <w:rPr>
                <w:rFonts w:ascii="Times New Roman" w:hAnsi="Times New Roman" w:cs="Times New Roman"/>
              </w:rPr>
            </w:pPr>
          </w:p>
        </w:tc>
        <w:tc>
          <w:tcPr>
            <w:tcW w:w="4448" w:type="dxa"/>
            <w:tcBorders>
              <w:top w:val="single" w:sz="4" w:space="0" w:color="auto"/>
            </w:tcBorders>
            <w:vAlign w:val="bottom"/>
          </w:tcPr>
          <w:p w14:paraId="2C3E1457" w14:textId="77777777" w:rsidR="00602204" w:rsidRDefault="00602204" w:rsidP="007A05E9">
            <w:pPr>
              <w:pStyle w:val="xLedtext"/>
              <w:rPr>
                <w:rFonts w:ascii="Times New Roman" w:hAnsi="Times New Roman" w:cs="Times New Roman"/>
              </w:rPr>
            </w:pPr>
          </w:p>
        </w:tc>
        <w:tc>
          <w:tcPr>
            <w:tcW w:w="4288" w:type="dxa"/>
            <w:gridSpan w:val="2"/>
            <w:tcBorders>
              <w:top w:val="single" w:sz="4" w:space="0" w:color="auto"/>
            </w:tcBorders>
            <w:vAlign w:val="bottom"/>
          </w:tcPr>
          <w:p w14:paraId="649F0D71" w14:textId="77777777" w:rsidR="00602204" w:rsidRDefault="00602204" w:rsidP="007A05E9">
            <w:pPr>
              <w:pStyle w:val="xLedtext"/>
              <w:rPr>
                <w:rFonts w:ascii="Times New Roman" w:hAnsi="Times New Roman" w:cs="Times New Roman"/>
              </w:rPr>
            </w:pPr>
          </w:p>
        </w:tc>
      </w:tr>
      <w:tr w:rsidR="00602204" w14:paraId="048A8103" w14:textId="77777777" w:rsidTr="007A05E9">
        <w:trPr>
          <w:cantSplit/>
          <w:trHeight w:val="238"/>
        </w:trPr>
        <w:tc>
          <w:tcPr>
            <w:tcW w:w="861" w:type="dxa"/>
          </w:tcPr>
          <w:p w14:paraId="05862753" w14:textId="77777777" w:rsidR="00602204" w:rsidRDefault="00602204" w:rsidP="007A05E9">
            <w:pPr>
              <w:pStyle w:val="xCelltext"/>
              <w:rPr>
                <w:rFonts w:ascii="Times New Roman" w:hAnsi="Times New Roman"/>
              </w:rPr>
            </w:pPr>
          </w:p>
        </w:tc>
        <w:tc>
          <w:tcPr>
            <w:tcW w:w="4448" w:type="dxa"/>
            <w:vMerge w:val="restart"/>
          </w:tcPr>
          <w:p w14:paraId="069F5A78" w14:textId="77777777" w:rsidR="00602204" w:rsidRDefault="00602204" w:rsidP="007A05E9">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2A5E73BA" w14:textId="3620FC8E" w:rsidR="00602204" w:rsidRDefault="00602204" w:rsidP="007A05E9">
            <w:pPr>
              <w:pStyle w:val="xMottagare1"/>
              <w:tabs>
                <w:tab w:val="left" w:pos="2349"/>
              </w:tabs>
              <w:rPr>
                <w:rFonts w:ascii="Times New Roman" w:hAnsi="Times New Roman" w:cs="Times New Roman"/>
              </w:rPr>
            </w:pPr>
          </w:p>
        </w:tc>
      </w:tr>
      <w:tr w:rsidR="00602204" w14:paraId="5DB81E5F" w14:textId="77777777" w:rsidTr="007A05E9">
        <w:trPr>
          <w:cantSplit/>
          <w:trHeight w:val="238"/>
        </w:trPr>
        <w:tc>
          <w:tcPr>
            <w:tcW w:w="861" w:type="dxa"/>
          </w:tcPr>
          <w:p w14:paraId="50840CC8" w14:textId="77777777" w:rsidR="00602204" w:rsidRDefault="00602204" w:rsidP="007A05E9">
            <w:pPr>
              <w:pStyle w:val="xCelltext"/>
              <w:rPr>
                <w:rFonts w:ascii="Times New Roman" w:hAnsi="Times New Roman"/>
              </w:rPr>
            </w:pPr>
          </w:p>
        </w:tc>
        <w:tc>
          <w:tcPr>
            <w:tcW w:w="4448" w:type="dxa"/>
            <w:vMerge/>
            <w:vAlign w:val="center"/>
          </w:tcPr>
          <w:p w14:paraId="74EB3370" w14:textId="77777777" w:rsidR="00602204" w:rsidRDefault="00602204" w:rsidP="007A05E9">
            <w:pPr>
              <w:pStyle w:val="xCelltext"/>
              <w:rPr>
                <w:rFonts w:ascii="Times New Roman" w:hAnsi="Times New Roman"/>
              </w:rPr>
            </w:pPr>
          </w:p>
        </w:tc>
        <w:tc>
          <w:tcPr>
            <w:tcW w:w="4288" w:type="dxa"/>
            <w:gridSpan w:val="2"/>
            <w:vMerge/>
            <w:vAlign w:val="center"/>
          </w:tcPr>
          <w:p w14:paraId="7E214745" w14:textId="77777777" w:rsidR="00602204" w:rsidRDefault="00602204" w:rsidP="007A05E9">
            <w:pPr>
              <w:pStyle w:val="xCelltext"/>
              <w:rPr>
                <w:rFonts w:ascii="Times New Roman" w:hAnsi="Times New Roman"/>
              </w:rPr>
            </w:pPr>
          </w:p>
        </w:tc>
      </w:tr>
      <w:tr w:rsidR="00602204" w14:paraId="47385CC9" w14:textId="77777777" w:rsidTr="007A05E9">
        <w:trPr>
          <w:cantSplit/>
          <w:trHeight w:val="238"/>
        </w:trPr>
        <w:tc>
          <w:tcPr>
            <w:tcW w:w="861" w:type="dxa"/>
          </w:tcPr>
          <w:p w14:paraId="7B720989" w14:textId="77777777" w:rsidR="00602204" w:rsidRDefault="00602204" w:rsidP="007A05E9">
            <w:pPr>
              <w:pStyle w:val="xCelltext"/>
              <w:rPr>
                <w:rFonts w:ascii="Times New Roman" w:hAnsi="Times New Roman"/>
              </w:rPr>
            </w:pPr>
          </w:p>
        </w:tc>
        <w:tc>
          <w:tcPr>
            <w:tcW w:w="4448" w:type="dxa"/>
            <w:vMerge/>
            <w:vAlign w:val="center"/>
          </w:tcPr>
          <w:p w14:paraId="60E4C39B" w14:textId="77777777" w:rsidR="00602204" w:rsidRDefault="00602204" w:rsidP="007A05E9">
            <w:pPr>
              <w:pStyle w:val="xCelltext"/>
              <w:rPr>
                <w:rFonts w:ascii="Times New Roman" w:hAnsi="Times New Roman"/>
              </w:rPr>
            </w:pPr>
          </w:p>
        </w:tc>
        <w:tc>
          <w:tcPr>
            <w:tcW w:w="4288" w:type="dxa"/>
            <w:gridSpan w:val="2"/>
            <w:vMerge/>
            <w:vAlign w:val="center"/>
          </w:tcPr>
          <w:p w14:paraId="4330EE72" w14:textId="77777777" w:rsidR="00602204" w:rsidRDefault="00602204" w:rsidP="007A05E9">
            <w:pPr>
              <w:pStyle w:val="xCelltext"/>
              <w:rPr>
                <w:rFonts w:ascii="Times New Roman" w:hAnsi="Times New Roman"/>
              </w:rPr>
            </w:pPr>
          </w:p>
        </w:tc>
      </w:tr>
      <w:tr w:rsidR="00602204" w14:paraId="69BD0F11" w14:textId="77777777" w:rsidTr="007A05E9">
        <w:trPr>
          <w:cantSplit/>
          <w:trHeight w:val="238"/>
        </w:trPr>
        <w:tc>
          <w:tcPr>
            <w:tcW w:w="861" w:type="dxa"/>
          </w:tcPr>
          <w:p w14:paraId="584C6EE6" w14:textId="77777777" w:rsidR="00602204" w:rsidRDefault="00602204" w:rsidP="007A05E9">
            <w:pPr>
              <w:pStyle w:val="xCelltext"/>
              <w:rPr>
                <w:rFonts w:ascii="Times New Roman" w:hAnsi="Times New Roman"/>
              </w:rPr>
            </w:pPr>
          </w:p>
        </w:tc>
        <w:tc>
          <w:tcPr>
            <w:tcW w:w="4448" w:type="dxa"/>
            <w:vMerge/>
            <w:vAlign w:val="center"/>
          </w:tcPr>
          <w:p w14:paraId="07474C45" w14:textId="77777777" w:rsidR="00602204" w:rsidRDefault="00602204" w:rsidP="007A05E9">
            <w:pPr>
              <w:pStyle w:val="xCelltext"/>
              <w:rPr>
                <w:rFonts w:ascii="Times New Roman" w:hAnsi="Times New Roman"/>
              </w:rPr>
            </w:pPr>
          </w:p>
        </w:tc>
        <w:tc>
          <w:tcPr>
            <w:tcW w:w="4288" w:type="dxa"/>
            <w:gridSpan w:val="2"/>
            <w:vMerge/>
            <w:vAlign w:val="center"/>
          </w:tcPr>
          <w:p w14:paraId="554596F5" w14:textId="77777777" w:rsidR="00602204" w:rsidRDefault="00602204" w:rsidP="007A05E9">
            <w:pPr>
              <w:pStyle w:val="xCelltext"/>
              <w:rPr>
                <w:rFonts w:ascii="Times New Roman" w:hAnsi="Times New Roman"/>
              </w:rPr>
            </w:pPr>
          </w:p>
        </w:tc>
      </w:tr>
      <w:tr w:rsidR="00602204" w14:paraId="1F88DB27" w14:textId="77777777" w:rsidTr="007A05E9">
        <w:trPr>
          <w:cantSplit/>
          <w:trHeight w:val="238"/>
        </w:trPr>
        <w:tc>
          <w:tcPr>
            <w:tcW w:w="861" w:type="dxa"/>
          </w:tcPr>
          <w:p w14:paraId="14F7E5C1" w14:textId="77777777" w:rsidR="00602204" w:rsidRDefault="00602204" w:rsidP="007A05E9">
            <w:pPr>
              <w:pStyle w:val="xCelltext"/>
              <w:rPr>
                <w:rFonts w:ascii="Times New Roman" w:hAnsi="Times New Roman"/>
              </w:rPr>
            </w:pPr>
          </w:p>
        </w:tc>
        <w:tc>
          <w:tcPr>
            <w:tcW w:w="4448" w:type="dxa"/>
            <w:vMerge/>
            <w:vAlign w:val="center"/>
          </w:tcPr>
          <w:p w14:paraId="0535EA25" w14:textId="77777777" w:rsidR="00602204" w:rsidRDefault="00602204" w:rsidP="007A05E9">
            <w:pPr>
              <w:pStyle w:val="xCelltext"/>
              <w:rPr>
                <w:rFonts w:ascii="Times New Roman" w:hAnsi="Times New Roman"/>
              </w:rPr>
            </w:pPr>
          </w:p>
        </w:tc>
        <w:tc>
          <w:tcPr>
            <w:tcW w:w="4288" w:type="dxa"/>
            <w:gridSpan w:val="2"/>
            <w:vMerge/>
            <w:vAlign w:val="center"/>
          </w:tcPr>
          <w:p w14:paraId="0064366E" w14:textId="77777777" w:rsidR="00602204" w:rsidRDefault="00602204" w:rsidP="007A05E9">
            <w:pPr>
              <w:pStyle w:val="xCelltext"/>
              <w:rPr>
                <w:rFonts w:ascii="Times New Roman" w:hAnsi="Times New Roman"/>
              </w:rPr>
            </w:pPr>
          </w:p>
        </w:tc>
      </w:tr>
    </w:tbl>
    <w:p w14:paraId="604C1BB1" w14:textId="63C4812C" w:rsidR="00602204" w:rsidRDefault="00602204" w:rsidP="00602204">
      <w:pPr>
        <w:rPr>
          <w:b/>
          <w:bCs/>
        </w:rPr>
        <w:sectPr w:rsidR="00602204" w:rsidSect="007A05E9">
          <w:footerReference w:type="default" r:id="rId10"/>
          <w:headerReference w:type="first" r:id="rId11"/>
          <w:pgSz w:w="11906" w:h="16838" w:code="9"/>
          <w:pgMar w:top="567" w:right="1134" w:bottom="1134" w:left="1191" w:header="624" w:footer="851" w:gutter="0"/>
          <w:pgNumType w:start="1"/>
          <w:cols w:space="708"/>
          <w:docGrid w:linePitch="360"/>
        </w:sectPr>
      </w:pPr>
    </w:p>
    <w:p w14:paraId="62CF4A30" w14:textId="4E5E0006" w:rsidR="00602204" w:rsidRDefault="002B6ABF" w:rsidP="00602204">
      <w:pPr>
        <w:pStyle w:val="ArendeRubrik"/>
        <w:rPr>
          <w:rFonts w:ascii="Times New Roman" w:hAnsi="Times New Roman" w:cs="Times New Roman"/>
        </w:rPr>
      </w:pPr>
      <w:r>
        <w:rPr>
          <w:rFonts w:ascii="Times New Roman" w:hAnsi="Times New Roman" w:cs="Times New Roman"/>
        </w:rPr>
        <w:t>F</w:t>
      </w:r>
      <w:r w:rsidR="00602204">
        <w:rPr>
          <w:rFonts w:ascii="Times New Roman" w:hAnsi="Times New Roman" w:cs="Times New Roman"/>
        </w:rPr>
        <w:t xml:space="preserve">örslag till </w:t>
      </w:r>
      <w:r w:rsidR="007622DF">
        <w:rPr>
          <w:rFonts w:ascii="Times New Roman" w:hAnsi="Times New Roman" w:cs="Times New Roman"/>
        </w:rPr>
        <w:t>f</w:t>
      </w:r>
      <w:r w:rsidR="00B578EE">
        <w:rPr>
          <w:rFonts w:ascii="Times New Roman" w:hAnsi="Times New Roman" w:cs="Times New Roman"/>
        </w:rPr>
        <w:t>örsta</w:t>
      </w:r>
      <w:r w:rsidR="00602204">
        <w:rPr>
          <w:rFonts w:ascii="Times New Roman" w:hAnsi="Times New Roman" w:cs="Times New Roman"/>
        </w:rPr>
        <w:t xml:space="preserve"> tilläggsbudget för år 202</w:t>
      </w:r>
      <w:r w:rsidR="00B578EE">
        <w:rPr>
          <w:rFonts w:ascii="Times New Roman" w:hAnsi="Times New Roman" w:cs="Times New Roman"/>
        </w:rPr>
        <w:t>2</w:t>
      </w:r>
    </w:p>
    <w:p w14:paraId="455DFB10" w14:textId="4868287D" w:rsidR="00602204" w:rsidRDefault="00602204" w:rsidP="00602204">
      <w:pPr>
        <w:pStyle w:val="ANormal"/>
      </w:pPr>
    </w:p>
    <w:p w14:paraId="5F9AEDB7" w14:textId="0B517C1C" w:rsidR="00746A4B" w:rsidRDefault="00746A4B" w:rsidP="00602204">
      <w:pPr>
        <w:pStyle w:val="ANormal"/>
      </w:pPr>
    </w:p>
    <w:p w14:paraId="5012FF22" w14:textId="77777777" w:rsidR="00DB0DE0" w:rsidRDefault="00DB0DE0" w:rsidP="00602204">
      <w:pPr>
        <w:pStyle w:val="ANormal"/>
      </w:pPr>
    </w:p>
    <w:p w14:paraId="52566080" w14:textId="0D443CCE" w:rsidR="00602204" w:rsidRDefault="00602204" w:rsidP="00602204">
      <w:pPr>
        <w:pStyle w:val="ANormal"/>
      </w:pPr>
    </w:p>
    <w:p w14:paraId="6652DA85" w14:textId="77777777" w:rsidR="00602204" w:rsidRDefault="00602204" w:rsidP="00602204">
      <w:pPr>
        <w:pStyle w:val="RubrikA"/>
        <w:rPr>
          <w:sz w:val="26"/>
        </w:rPr>
      </w:pPr>
      <w:r>
        <w:rPr>
          <w:sz w:val="26"/>
        </w:rPr>
        <w:t>ALLMÄN MOTIVERING</w:t>
      </w:r>
    </w:p>
    <w:p w14:paraId="1396009A" w14:textId="50283B6F" w:rsidR="00602204" w:rsidRDefault="00602204" w:rsidP="00602204">
      <w:pPr>
        <w:pStyle w:val="Rubrikmellanrum"/>
      </w:pPr>
    </w:p>
    <w:p w14:paraId="7CA1D714" w14:textId="5B72058C" w:rsidR="00602204" w:rsidRDefault="00602204" w:rsidP="00602204">
      <w:pPr>
        <w:pStyle w:val="Rubrikmellanrum"/>
      </w:pPr>
    </w:p>
    <w:p w14:paraId="67C510E0" w14:textId="179A9F30" w:rsidR="00602204" w:rsidRPr="001B0E3F" w:rsidRDefault="00602204" w:rsidP="001B0E3F">
      <w:pPr>
        <w:rPr>
          <w:rFonts w:ascii="Times New Roman" w:hAnsi="Times New Roman" w:cs="Times New Roman"/>
          <w:sz w:val="22"/>
        </w:rPr>
      </w:pPr>
      <w:r w:rsidRPr="001B0E3F">
        <w:rPr>
          <w:rFonts w:ascii="Times New Roman" w:hAnsi="Times New Roman" w:cs="Times New Roman"/>
          <w:sz w:val="22"/>
        </w:rPr>
        <w:t xml:space="preserve">Till lagtinget överlämnas landskapsregeringens </w:t>
      </w:r>
      <w:r w:rsidR="00495EC4" w:rsidRPr="001B0E3F">
        <w:rPr>
          <w:rFonts w:ascii="Times New Roman" w:hAnsi="Times New Roman" w:cs="Times New Roman"/>
          <w:sz w:val="22"/>
        </w:rPr>
        <w:t>framställning med förslag</w:t>
      </w:r>
      <w:r w:rsidRPr="001B0E3F">
        <w:rPr>
          <w:rFonts w:ascii="Times New Roman" w:hAnsi="Times New Roman" w:cs="Times New Roman"/>
          <w:sz w:val="22"/>
        </w:rPr>
        <w:t xml:space="preserve"> till </w:t>
      </w:r>
      <w:r w:rsidR="007622DF" w:rsidRPr="001B0E3F">
        <w:rPr>
          <w:rFonts w:ascii="Times New Roman" w:hAnsi="Times New Roman" w:cs="Times New Roman"/>
          <w:sz w:val="22"/>
        </w:rPr>
        <w:t>f</w:t>
      </w:r>
      <w:r w:rsidR="00B578EE" w:rsidRPr="001B0E3F">
        <w:rPr>
          <w:rFonts w:ascii="Times New Roman" w:hAnsi="Times New Roman" w:cs="Times New Roman"/>
          <w:sz w:val="22"/>
        </w:rPr>
        <w:t>örsta</w:t>
      </w:r>
      <w:r w:rsidRPr="001B0E3F">
        <w:rPr>
          <w:rFonts w:ascii="Times New Roman" w:hAnsi="Times New Roman" w:cs="Times New Roman"/>
          <w:sz w:val="22"/>
        </w:rPr>
        <w:t xml:space="preserve"> tillägg</w:t>
      </w:r>
      <w:r w:rsidR="00495EC4" w:rsidRPr="001B0E3F">
        <w:rPr>
          <w:rFonts w:ascii="Times New Roman" w:hAnsi="Times New Roman" w:cs="Times New Roman"/>
          <w:sz w:val="22"/>
        </w:rPr>
        <w:t>et</w:t>
      </w:r>
      <w:r w:rsidRPr="001B0E3F">
        <w:rPr>
          <w:rFonts w:ascii="Times New Roman" w:hAnsi="Times New Roman" w:cs="Times New Roman"/>
          <w:sz w:val="22"/>
        </w:rPr>
        <w:t xml:space="preserve"> till Åland</w:t>
      </w:r>
      <w:r w:rsidR="00495EC4" w:rsidRPr="001B0E3F">
        <w:rPr>
          <w:rFonts w:ascii="Times New Roman" w:hAnsi="Times New Roman" w:cs="Times New Roman"/>
          <w:sz w:val="22"/>
        </w:rPr>
        <w:t>s budget</w:t>
      </w:r>
      <w:r w:rsidRPr="001B0E3F">
        <w:rPr>
          <w:rFonts w:ascii="Times New Roman" w:hAnsi="Times New Roman" w:cs="Times New Roman"/>
          <w:sz w:val="22"/>
        </w:rPr>
        <w:t xml:space="preserve"> år 202</w:t>
      </w:r>
      <w:r w:rsidR="00B578EE" w:rsidRPr="001B0E3F">
        <w:rPr>
          <w:rFonts w:ascii="Times New Roman" w:hAnsi="Times New Roman" w:cs="Times New Roman"/>
          <w:sz w:val="22"/>
        </w:rPr>
        <w:t>2</w:t>
      </w:r>
      <w:r w:rsidRPr="001B0E3F">
        <w:rPr>
          <w:rFonts w:ascii="Times New Roman" w:hAnsi="Times New Roman" w:cs="Times New Roman"/>
          <w:sz w:val="22"/>
        </w:rPr>
        <w:t>.</w:t>
      </w:r>
    </w:p>
    <w:p w14:paraId="6C3CC018" w14:textId="5E52C93D" w:rsidR="00495EC4" w:rsidRPr="00E24F1E" w:rsidRDefault="00495EC4" w:rsidP="00495EC4">
      <w:pPr>
        <w:rPr>
          <w:rFonts w:ascii="Times New Roman" w:hAnsi="Times New Roman" w:cs="Times New Roman"/>
          <w:sz w:val="22"/>
        </w:rPr>
      </w:pPr>
      <w:r w:rsidRPr="00E24F1E">
        <w:rPr>
          <w:rFonts w:ascii="Times New Roman" w:hAnsi="Times New Roman" w:cs="Times New Roman"/>
          <w:sz w:val="22"/>
        </w:rPr>
        <w:t>I föreliggande förslag till tilläggsbudget föreslås bland annat</w:t>
      </w:r>
    </w:p>
    <w:p w14:paraId="4C54B164" w14:textId="459984A7" w:rsidR="003C231B" w:rsidRDefault="003C231B" w:rsidP="00495EC4">
      <w:pPr>
        <w:rPr>
          <w:rFonts w:ascii="Times New Roman" w:hAnsi="Times New Roman" w:cs="Times New Roman"/>
          <w:sz w:val="22"/>
        </w:rPr>
      </w:pPr>
      <w:r>
        <w:rPr>
          <w:rFonts w:ascii="Times New Roman" w:hAnsi="Times New Roman" w:cs="Times New Roman"/>
          <w:sz w:val="22"/>
        </w:rPr>
        <w:t xml:space="preserve">- tilläggsanslag för att genom en lagändring möjliggöra att inkomstgränsen för </w:t>
      </w:r>
      <w:r w:rsidRPr="00413502">
        <w:rPr>
          <w:rFonts w:ascii="Times New Roman" w:hAnsi="Times New Roman" w:cs="Times New Roman"/>
          <w:sz w:val="22"/>
        </w:rPr>
        <w:t>lyftande av studiestöd i fråga om förvärvsinkomst slopas temporärt under år 2022 för de studiestöd som utbetalas efter att den föreslagna lagen har trätt i kraft</w:t>
      </w:r>
    </w:p>
    <w:p w14:paraId="02774DAD" w14:textId="73F74169" w:rsidR="005D5D1F" w:rsidRPr="005D5D1F" w:rsidRDefault="005D5D1F" w:rsidP="005D5D1F">
      <w:pPr>
        <w:rPr>
          <w:rFonts w:ascii="Times New Roman" w:hAnsi="Times New Roman" w:cs="Times New Roman"/>
          <w:sz w:val="22"/>
        </w:rPr>
      </w:pPr>
      <w:r>
        <w:rPr>
          <w:rFonts w:ascii="Times New Roman" w:hAnsi="Times New Roman" w:cs="Times New Roman"/>
          <w:sz w:val="22"/>
        </w:rPr>
        <w:t xml:space="preserve">- </w:t>
      </w:r>
      <w:r w:rsidR="00B30FD3">
        <w:rPr>
          <w:rFonts w:ascii="Times New Roman" w:hAnsi="Times New Roman" w:cs="Times New Roman"/>
          <w:sz w:val="22"/>
        </w:rPr>
        <w:t xml:space="preserve">tilläggsanslag för </w:t>
      </w:r>
      <w:r w:rsidR="00B30FD3" w:rsidRPr="00B30FD3">
        <w:rPr>
          <w:rFonts w:ascii="Times New Roman" w:hAnsi="Times New Roman" w:cs="Times New Roman"/>
          <w:sz w:val="22"/>
        </w:rPr>
        <w:t>utkomstskyddet för arbetslösa</w:t>
      </w:r>
      <w:r w:rsidR="00B30FD3" w:rsidRPr="005D5D1F">
        <w:rPr>
          <w:rFonts w:ascii="Times New Roman" w:hAnsi="Times New Roman" w:cs="Times New Roman"/>
          <w:sz w:val="22"/>
        </w:rPr>
        <w:t xml:space="preserve"> </w:t>
      </w:r>
      <w:r w:rsidR="00E709C7">
        <w:rPr>
          <w:rFonts w:ascii="Times New Roman" w:hAnsi="Times New Roman" w:cs="Times New Roman"/>
          <w:sz w:val="22"/>
        </w:rPr>
        <w:t>med</w:t>
      </w:r>
      <w:r w:rsidR="00B30FD3">
        <w:rPr>
          <w:rFonts w:ascii="Times New Roman" w:hAnsi="Times New Roman" w:cs="Times New Roman"/>
          <w:sz w:val="22"/>
        </w:rPr>
        <w:t xml:space="preserve"> anledning av att </w:t>
      </w:r>
      <w:r w:rsidRPr="005D5D1F">
        <w:rPr>
          <w:rFonts w:ascii="Times New Roman" w:hAnsi="Times New Roman" w:cs="Times New Roman"/>
          <w:sz w:val="22"/>
        </w:rPr>
        <w:t>landskapsregeringen föreslå</w:t>
      </w:r>
      <w:r w:rsidR="00C160BE">
        <w:rPr>
          <w:rFonts w:ascii="Times New Roman" w:hAnsi="Times New Roman" w:cs="Times New Roman"/>
          <w:sz w:val="22"/>
        </w:rPr>
        <w:t>r</w:t>
      </w:r>
      <w:r w:rsidRPr="005D5D1F">
        <w:rPr>
          <w:rFonts w:ascii="Times New Roman" w:hAnsi="Times New Roman" w:cs="Times New Roman"/>
          <w:sz w:val="22"/>
        </w:rPr>
        <w:t xml:space="preserve"> ändringar i ett kommande lagförslag om ny serviceprocess för arbetssökande</w:t>
      </w:r>
    </w:p>
    <w:p w14:paraId="4AC60B7D" w14:textId="5FB8B716" w:rsidR="00B578EE" w:rsidRDefault="00495EC4" w:rsidP="00495EC4">
      <w:pPr>
        <w:rPr>
          <w:rFonts w:ascii="Times New Roman" w:hAnsi="Times New Roman" w:cs="Times New Roman"/>
          <w:sz w:val="22"/>
        </w:rPr>
      </w:pPr>
      <w:r w:rsidRPr="00E24F1E">
        <w:rPr>
          <w:rFonts w:ascii="Times New Roman" w:hAnsi="Times New Roman" w:cs="Times New Roman"/>
          <w:sz w:val="22"/>
        </w:rPr>
        <w:t xml:space="preserve">- </w:t>
      </w:r>
      <w:r w:rsidR="00413502">
        <w:rPr>
          <w:rFonts w:ascii="Times New Roman" w:hAnsi="Times New Roman" w:cs="Times New Roman"/>
          <w:sz w:val="22"/>
        </w:rPr>
        <w:t>omfördelning av bidrag ur penningautomatmedel för att möjliggöra understöd av filmprojekt</w:t>
      </w:r>
      <w:r w:rsidR="00413502" w:rsidRPr="00413502">
        <w:t xml:space="preserve"> </w:t>
      </w:r>
      <w:r w:rsidR="00413502" w:rsidRPr="00413502">
        <w:rPr>
          <w:rFonts w:ascii="Times New Roman" w:hAnsi="Times New Roman" w:cs="Times New Roman"/>
          <w:sz w:val="22"/>
        </w:rPr>
        <w:t>Stormskärs Maja</w:t>
      </w:r>
    </w:p>
    <w:p w14:paraId="632A3BE2" w14:textId="55EB0492" w:rsidR="00413502" w:rsidRDefault="00413502" w:rsidP="00495EC4">
      <w:pPr>
        <w:rPr>
          <w:rFonts w:ascii="Times New Roman" w:hAnsi="Times New Roman" w:cs="Times New Roman"/>
          <w:sz w:val="22"/>
        </w:rPr>
      </w:pPr>
      <w:r>
        <w:rPr>
          <w:rFonts w:ascii="Times New Roman" w:hAnsi="Times New Roman" w:cs="Times New Roman"/>
          <w:sz w:val="22"/>
        </w:rPr>
        <w:t>- tilläggsanslag för avgiftsfria mun- och nässkydd i kollektivtrafiken</w:t>
      </w:r>
      <w:r w:rsidR="003C231B">
        <w:rPr>
          <w:rFonts w:ascii="Times New Roman" w:hAnsi="Times New Roman" w:cs="Times New Roman"/>
          <w:sz w:val="22"/>
        </w:rPr>
        <w:t xml:space="preserve"> </w:t>
      </w:r>
      <w:r>
        <w:rPr>
          <w:rFonts w:ascii="Times New Roman" w:hAnsi="Times New Roman" w:cs="Times New Roman"/>
          <w:sz w:val="22"/>
        </w:rPr>
        <w:t>samt</w:t>
      </w:r>
    </w:p>
    <w:p w14:paraId="308A873E" w14:textId="2395E3D6" w:rsidR="00413502" w:rsidRDefault="00413502" w:rsidP="00495EC4">
      <w:pPr>
        <w:rPr>
          <w:rFonts w:ascii="Times New Roman" w:hAnsi="Times New Roman" w:cs="Times New Roman"/>
          <w:sz w:val="22"/>
        </w:rPr>
      </w:pPr>
      <w:r>
        <w:rPr>
          <w:rFonts w:ascii="Times New Roman" w:hAnsi="Times New Roman" w:cs="Times New Roman"/>
          <w:sz w:val="22"/>
        </w:rPr>
        <w:t>- tilläggsanslag för Ålands hälso- och sjukvård</w:t>
      </w:r>
      <w:r w:rsidRPr="00413502">
        <w:rPr>
          <w:rFonts w:ascii="Times New Roman" w:hAnsi="Times New Roman" w:cs="Times New Roman"/>
          <w:sz w:val="22"/>
        </w:rPr>
        <w:t>.</w:t>
      </w:r>
      <w:r>
        <w:rPr>
          <w:rFonts w:ascii="Times New Roman" w:hAnsi="Times New Roman" w:cs="Times New Roman"/>
          <w:sz w:val="22"/>
        </w:rPr>
        <w:t xml:space="preserve"> </w:t>
      </w:r>
    </w:p>
    <w:p w14:paraId="1DEFA713" w14:textId="77777777" w:rsidR="00905206" w:rsidRDefault="00905206" w:rsidP="001B0E3F">
      <w:pPr>
        <w:pStyle w:val="Rubrik3"/>
      </w:pPr>
      <w:r>
        <w:t>Åtgärder för sysselsättning och tillväxt</w:t>
      </w:r>
    </w:p>
    <w:p w14:paraId="39DBD5F4" w14:textId="77777777" w:rsidR="001B0E3F" w:rsidRPr="001B0E3F" w:rsidRDefault="00905206" w:rsidP="001B0E3F">
      <w:pPr>
        <w:rPr>
          <w:rFonts w:ascii="Times New Roman" w:hAnsi="Times New Roman" w:cs="Times New Roman"/>
          <w:sz w:val="22"/>
        </w:rPr>
      </w:pPr>
      <w:r w:rsidRPr="001B0E3F">
        <w:rPr>
          <w:rFonts w:ascii="Times New Roman" w:hAnsi="Times New Roman" w:cs="Times New Roman"/>
          <w:sz w:val="22"/>
        </w:rPr>
        <w:t>Under de senaste åren har landskapsregeringen genomfört en rad insatser för att lindra pandemins effekter på arbetsmarknaden och stimulera ekonomin. Dessa åtgärder har tillsammans med styrkan i det åländska näringslivet medfört att arbetsmarknadsläget nu fortsätter förbättras.</w:t>
      </w:r>
    </w:p>
    <w:p w14:paraId="4A1D71F5" w14:textId="4BBCF12A"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xml:space="preserve">Landskapsregeringen analyserar fortlöpande läget och kan med skrivningarna och medlen i ordinarie budget, med kort varsel och med god beredskap, införa temporära stödåtgärder för att underlätta för företag eller för att främja sysselsättningen. Stöd kan riktas och beviljas till företag med förutsättningar att bedriva en långsiktig lönsam verksamhet men som har drabbats negativt till följd av coronaviruspandemin. </w:t>
      </w:r>
    </w:p>
    <w:p w14:paraId="66A9A2A3" w14:textId="09689E4C"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För att stimulera sysselsättning och utveckling i företag kan ett temporärt tilläggsstöd beviljas till arbetsgivare inom näringslivet som under en period om högst sex månader anställer en arbetslös person. Stödet uppgår till 75 % av den kollektivavtalsenliga lönekostnaden och tillämpas som längst fram till den sista maj 2022. Dessutom kan en arbetslös person beviljas ett temporärt tilläggsstöd för start av företagsverksamhet fram till sista maj 2022.</w:t>
      </w:r>
    </w:p>
    <w:p w14:paraId="14D130DE" w14:textId="0A37F8D2"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lastRenderedPageBreak/>
        <w:t xml:space="preserve">Inför kommande högsäsong genomför </w:t>
      </w:r>
      <w:proofErr w:type="spellStart"/>
      <w:r w:rsidRPr="001B0E3F">
        <w:rPr>
          <w:rFonts w:ascii="Times New Roman" w:hAnsi="Times New Roman" w:cs="Times New Roman"/>
          <w:sz w:val="22"/>
        </w:rPr>
        <w:t>ÅlandLiving</w:t>
      </w:r>
      <w:proofErr w:type="spellEnd"/>
      <w:r w:rsidRPr="001B0E3F">
        <w:rPr>
          <w:rFonts w:ascii="Times New Roman" w:hAnsi="Times New Roman" w:cs="Times New Roman"/>
          <w:sz w:val="22"/>
        </w:rPr>
        <w:t xml:space="preserve">, Visit Åland och Ålands Näringsliv en gemensam kampanj för att locka arbetskraft till den åländska turismsektorn. </w:t>
      </w:r>
    </w:p>
    <w:p w14:paraId="384C6C79" w14:textId="4B1A2996"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xml:space="preserve">År 2020 beslöt EU, som en följd av coronaviruspandemin, om en ändring av regelverket för strukturfonderna för perioden 2014 - 2020. Ändringen möjliggjorde en omfördelning av befintliga programmedel, en förlängning av programperioden med två år 2021 - 2022 samt en tilläggsfinansiering. Programändringen godkändes av landskapsregeringen 18.3.2021 och av Europeiska kommissionen 15.4.2021. Tilläggsfinansieringen har använts delvis till genomförande av ett sommarpraktikantsystem sommaren 2021, kompetenshöjande insatser för besöksnäringen, sysselsättningsfrämjande utbildning inom </w:t>
      </w:r>
      <w:proofErr w:type="gramStart"/>
      <w:r w:rsidRPr="001B0E3F">
        <w:rPr>
          <w:rFonts w:ascii="Times New Roman" w:hAnsi="Times New Roman" w:cs="Times New Roman"/>
          <w:sz w:val="22"/>
        </w:rPr>
        <w:t>t.ex.</w:t>
      </w:r>
      <w:proofErr w:type="gramEnd"/>
      <w:r w:rsidRPr="001B0E3F">
        <w:rPr>
          <w:rFonts w:ascii="Times New Roman" w:hAnsi="Times New Roman" w:cs="Times New Roman"/>
          <w:sz w:val="22"/>
        </w:rPr>
        <w:t xml:space="preserve"> det tekniska området, arbete för fler nystartade företag samt utvecklingsinsatser i etablerade företag. Beredskap finns att vid behov anpassa tilläggsfinansieringen för år 2022 till aktuellt läge och till exempel finansiera sommarpraktikanter i år.</w:t>
      </w:r>
    </w:p>
    <w:p w14:paraId="66EA1DCB"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Åländska företag kan under perioden 21.12.2021 – 18.2.2022 söka det statliga kostnadsstödet som är nummer 5 i ordningen via Statskontoret. Dessutom aviserar staten att följande stödinsatser som även gäller på Åland kommer att ingå i en tilläggsbudget i början av februari:</w:t>
      </w:r>
    </w:p>
    <w:p w14:paraId="3E85EBA8"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kostnadsstöd nummer 6</w:t>
      </w:r>
    </w:p>
    <w:p w14:paraId="32AE6FFD"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stängningsstöd för företag som omfattas av offentliga beslut om stängning</w:t>
      </w:r>
    </w:p>
    <w:p w14:paraId="690AFC39"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xml:space="preserve">- arbetsmarknadsstöd för företagare för januari och februari (retroaktivt fast de inte har anmält sig som arbetssökande från 1.1). Ny </w:t>
      </w:r>
      <w:proofErr w:type="gramStart"/>
      <w:r w:rsidRPr="001B0E3F">
        <w:rPr>
          <w:rFonts w:ascii="Times New Roman" w:hAnsi="Times New Roman" w:cs="Times New Roman"/>
          <w:sz w:val="22"/>
        </w:rPr>
        <w:t>max inkomstgräns</w:t>
      </w:r>
      <w:proofErr w:type="gramEnd"/>
      <w:r w:rsidRPr="001B0E3F">
        <w:rPr>
          <w:rFonts w:ascii="Times New Roman" w:hAnsi="Times New Roman" w:cs="Times New Roman"/>
          <w:sz w:val="22"/>
        </w:rPr>
        <w:t xml:space="preserve"> 1.103,92 euro/månad</w:t>
      </w:r>
    </w:p>
    <w:p w14:paraId="657B0334"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slopad karenstid för arbetslösa för januari och februari, arbetslöshetsförmånen kan därmed utbetalas från första anmälda arbetslöshetsdag</w:t>
      </w:r>
    </w:p>
    <w:p w14:paraId="3B36BC54" w14:textId="4C864D6F"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xml:space="preserve">- stöd till kultur och idrott </w:t>
      </w:r>
      <w:r w:rsidR="00A2266C">
        <w:rPr>
          <w:rFonts w:ascii="Times New Roman" w:hAnsi="Times New Roman" w:cs="Times New Roman"/>
          <w:sz w:val="22"/>
        </w:rPr>
        <w:t>samt</w:t>
      </w:r>
    </w:p>
    <w:p w14:paraId="3DE3C592" w14:textId="77777777" w:rsidR="00905206" w:rsidRPr="001B0E3F" w:rsidRDefault="00905206" w:rsidP="001B0E3F">
      <w:pPr>
        <w:rPr>
          <w:rFonts w:ascii="Times New Roman" w:hAnsi="Times New Roman" w:cs="Times New Roman"/>
          <w:sz w:val="22"/>
        </w:rPr>
      </w:pPr>
      <w:r w:rsidRPr="001B0E3F">
        <w:rPr>
          <w:rFonts w:ascii="Times New Roman" w:hAnsi="Times New Roman" w:cs="Times New Roman"/>
          <w:sz w:val="22"/>
        </w:rPr>
        <w:t>- evenemangsgaranti planeras längre fram.</w:t>
      </w:r>
    </w:p>
    <w:p w14:paraId="43784A87" w14:textId="77777777" w:rsidR="00DB0DE0" w:rsidRDefault="00DB0DE0">
      <w:pPr>
        <w:spacing w:before="0" w:after="160" w:line="259" w:lineRule="auto"/>
        <w:rPr>
          <w:rFonts w:ascii="Segoe UI Semibold" w:eastAsiaTheme="majorEastAsia" w:hAnsi="Segoe UI Semibold"/>
          <w:iCs/>
          <w:sz w:val="28"/>
          <w:szCs w:val="24"/>
        </w:rPr>
      </w:pPr>
      <w:r>
        <w:br w:type="page"/>
      </w:r>
    </w:p>
    <w:p w14:paraId="30EAB70A" w14:textId="03D2A7B4" w:rsidR="007622DF" w:rsidRDefault="007622DF" w:rsidP="007622DF">
      <w:pPr>
        <w:pStyle w:val="Rubrik3"/>
      </w:pPr>
      <w:r>
        <w:lastRenderedPageBreak/>
        <w:t>Föreliggande förslag</w:t>
      </w:r>
    </w:p>
    <w:p w14:paraId="377CCEEE" w14:textId="0D14C7FE" w:rsidR="007622DF" w:rsidRDefault="007622DF" w:rsidP="007622DF">
      <w:pPr>
        <w:pStyle w:val="ANormal"/>
        <w:rPr>
          <w:color w:val="333333"/>
          <w:szCs w:val="22"/>
        </w:rPr>
      </w:pPr>
      <w:r w:rsidRPr="003F3258">
        <w:rPr>
          <w:color w:val="333333"/>
          <w:szCs w:val="22"/>
        </w:rPr>
        <w:t>I och med tillägget har hittills under år 202</w:t>
      </w:r>
      <w:r w:rsidR="003F02E7">
        <w:rPr>
          <w:color w:val="333333"/>
          <w:szCs w:val="22"/>
        </w:rPr>
        <w:t>2</w:t>
      </w:r>
      <w:r w:rsidRPr="003F3258">
        <w:rPr>
          <w:color w:val="333333"/>
          <w:szCs w:val="22"/>
        </w:rPr>
        <w:t xml:space="preserve"> budgeterats</w:t>
      </w:r>
      <w:r>
        <w:rPr>
          <w:color w:val="333333"/>
          <w:szCs w:val="22"/>
        </w:rPr>
        <w:t xml:space="preserve"> anslag och inkomster i budgetens olika avsnitt enligt nedanstående fördelning</w:t>
      </w:r>
    </w:p>
    <w:p w14:paraId="64B70F29" w14:textId="049F0042" w:rsidR="00495EC4" w:rsidRPr="00E24F1E" w:rsidRDefault="00F0581C" w:rsidP="00495EC4">
      <w:pPr>
        <w:rPr>
          <w:rFonts w:ascii="Times New Roman" w:hAnsi="Times New Roman" w:cs="Times New Roman"/>
          <w:sz w:val="22"/>
        </w:rPr>
      </w:pPr>
      <w:r w:rsidRPr="00F0581C">
        <w:rPr>
          <w:noProof/>
        </w:rPr>
        <w:drawing>
          <wp:inline distT="0" distB="0" distL="0" distR="0" wp14:anchorId="6E4AC268" wp14:editId="6E851E9C">
            <wp:extent cx="4248150" cy="33813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381375"/>
                    </a:xfrm>
                    <a:prstGeom prst="rect">
                      <a:avLst/>
                    </a:prstGeom>
                    <a:noFill/>
                    <a:ln>
                      <a:noFill/>
                    </a:ln>
                  </pic:spPr>
                </pic:pic>
              </a:graphicData>
            </a:graphic>
          </wp:inline>
        </w:drawing>
      </w:r>
    </w:p>
    <w:p w14:paraId="14A2FA27" w14:textId="4374A28E" w:rsidR="00602204" w:rsidRDefault="00EE49D1" w:rsidP="00602204">
      <w:pPr>
        <w:pStyle w:val="ANormal"/>
      </w:pPr>
      <w:r>
        <w:t>I sammanhanget bör noteras att de belopp som anges i kolumnen ”Bokslut 2021” i detaljmotiveringen för respektive moment är att betrakta som preliminär eftersom bokslutsarbetet pågår.</w:t>
      </w:r>
    </w:p>
    <w:p w14:paraId="6734E02B" w14:textId="77777777" w:rsidR="00E24F1E" w:rsidRDefault="00E24F1E" w:rsidP="00602204">
      <w:pPr>
        <w:pStyle w:val="ANormal"/>
      </w:pPr>
    </w:p>
    <w:p w14:paraId="59004856" w14:textId="77777777" w:rsidR="00B52BCF" w:rsidRDefault="00B52BCF" w:rsidP="00602204">
      <w:pPr>
        <w:pStyle w:val="ANormal"/>
      </w:pPr>
    </w:p>
    <w:p w14:paraId="1328D031" w14:textId="77777777" w:rsidR="00B52BCF" w:rsidRDefault="00B52BCF" w:rsidP="00602204">
      <w:pPr>
        <w:pStyle w:val="ANormal"/>
      </w:pPr>
    </w:p>
    <w:p w14:paraId="4ABBE083" w14:textId="77777777" w:rsidR="00B52BCF" w:rsidRDefault="00B52BCF" w:rsidP="00602204">
      <w:pPr>
        <w:pStyle w:val="ANormal"/>
      </w:pPr>
    </w:p>
    <w:p w14:paraId="4B636DD4" w14:textId="1FC7B01C" w:rsidR="00602204" w:rsidRDefault="00602204" w:rsidP="00602204">
      <w:pPr>
        <w:pStyle w:val="ANormal"/>
      </w:pPr>
      <w:r>
        <w:t>Med hänvisning till ovanstående samt till detaljmotiveringen får landskapsregeringen vördsamt föreslå</w:t>
      </w:r>
    </w:p>
    <w:p w14:paraId="407938AE" w14:textId="59CA5441" w:rsidR="00602204" w:rsidRDefault="00602204" w:rsidP="00602204">
      <w:pPr>
        <w:pStyle w:val="Klam"/>
      </w:pPr>
      <w:r>
        <w:t xml:space="preserve">att lagtinget antar följande förslag till </w:t>
      </w:r>
      <w:r w:rsidR="007622DF">
        <w:t>f</w:t>
      </w:r>
      <w:r w:rsidR="003F02E7">
        <w:t>örsta</w:t>
      </w:r>
      <w:r>
        <w:t xml:space="preserve"> tillägg till budgeten för år </w:t>
      </w:r>
      <w:r w:rsidRPr="001F752D">
        <w:t>20</w:t>
      </w:r>
      <w:r>
        <w:t>2</w:t>
      </w:r>
      <w:r w:rsidR="003F02E7">
        <w:t>2</w:t>
      </w:r>
      <w:r>
        <w:t>.</w:t>
      </w:r>
    </w:p>
    <w:p w14:paraId="05803CD0" w14:textId="77777777" w:rsidR="00602204" w:rsidRDefault="00602204" w:rsidP="00602204">
      <w:pPr>
        <w:pStyle w:val="Klam"/>
      </w:pPr>
    </w:p>
    <w:p w14:paraId="23A9A39F" w14:textId="77777777" w:rsidR="00602204" w:rsidRDefault="00602204" w:rsidP="006022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02204" w14:paraId="428D468D" w14:textId="77777777" w:rsidTr="007A05E9">
        <w:trPr>
          <w:cantSplit/>
        </w:trPr>
        <w:tc>
          <w:tcPr>
            <w:tcW w:w="7931" w:type="dxa"/>
            <w:gridSpan w:val="2"/>
          </w:tcPr>
          <w:p w14:paraId="3DF6DD1C" w14:textId="6601210B" w:rsidR="00602204" w:rsidRDefault="00602204" w:rsidP="007A05E9">
            <w:pPr>
              <w:pStyle w:val="ANormal"/>
              <w:keepNext/>
            </w:pPr>
            <w:r>
              <w:t xml:space="preserve">Mariehamn den </w:t>
            </w:r>
            <w:r w:rsidR="006171B3">
              <w:t>31</w:t>
            </w:r>
            <w:r>
              <w:t xml:space="preserve"> </w:t>
            </w:r>
            <w:r w:rsidR="007622DF">
              <w:t>januari</w:t>
            </w:r>
            <w:r w:rsidRPr="001F752D">
              <w:t xml:space="preserve"> 20</w:t>
            </w:r>
            <w:r>
              <w:t>2</w:t>
            </w:r>
            <w:r w:rsidR="007622DF">
              <w:t>2</w:t>
            </w:r>
          </w:p>
        </w:tc>
      </w:tr>
      <w:tr w:rsidR="00602204" w14:paraId="5272B57E" w14:textId="77777777" w:rsidTr="007A05E9">
        <w:tc>
          <w:tcPr>
            <w:tcW w:w="4454" w:type="dxa"/>
            <w:vAlign w:val="bottom"/>
          </w:tcPr>
          <w:p w14:paraId="40D85EB9" w14:textId="77777777" w:rsidR="00602204" w:rsidRDefault="00602204" w:rsidP="007A05E9">
            <w:pPr>
              <w:pStyle w:val="ANormal"/>
              <w:keepNext/>
            </w:pPr>
          </w:p>
          <w:p w14:paraId="47B6AE55" w14:textId="77777777" w:rsidR="00602204" w:rsidRDefault="00602204" w:rsidP="007A05E9">
            <w:pPr>
              <w:pStyle w:val="ANormal"/>
              <w:keepNext/>
            </w:pPr>
          </w:p>
          <w:p w14:paraId="464AC586" w14:textId="77777777" w:rsidR="00602204" w:rsidRDefault="00602204" w:rsidP="007A05E9">
            <w:pPr>
              <w:pStyle w:val="ANormal"/>
              <w:keepNext/>
            </w:pPr>
            <w:r>
              <w:t>L a n t r å d</w:t>
            </w:r>
          </w:p>
        </w:tc>
        <w:tc>
          <w:tcPr>
            <w:tcW w:w="3477" w:type="dxa"/>
            <w:vAlign w:val="bottom"/>
          </w:tcPr>
          <w:p w14:paraId="3D888CEE" w14:textId="77777777" w:rsidR="00602204" w:rsidRDefault="00602204" w:rsidP="007A05E9">
            <w:pPr>
              <w:pStyle w:val="ANormal"/>
              <w:keepNext/>
            </w:pPr>
          </w:p>
          <w:p w14:paraId="3A936BD7" w14:textId="77777777" w:rsidR="00602204" w:rsidRDefault="00602204" w:rsidP="007A05E9">
            <w:pPr>
              <w:pStyle w:val="ANormal"/>
              <w:keepNext/>
            </w:pPr>
          </w:p>
          <w:p w14:paraId="449CE7BA" w14:textId="77777777" w:rsidR="00602204" w:rsidRDefault="00602204" w:rsidP="007A05E9">
            <w:pPr>
              <w:pStyle w:val="ANormal"/>
              <w:keepNext/>
            </w:pPr>
            <w:r>
              <w:t xml:space="preserve">Veronica </w:t>
            </w:r>
            <w:proofErr w:type="spellStart"/>
            <w:r>
              <w:t>Thörnroos</w:t>
            </w:r>
            <w:proofErr w:type="spellEnd"/>
          </w:p>
        </w:tc>
      </w:tr>
      <w:tr w:rsidR="00602204" w14:paraId="5D8A137C" w14:textId="77777777" w:rsidTr="007A05E9">
        <w:tc>
          <w:tcPr>
            <w:tcW w:w="4454" w:type="dxa"/>
            <w:vAlign w:val="bottom"/>
          </w:tcPr>
          <w:p w14:paraId="15A98455" w14:textId="77777777" w:rsidR="00602204" w:rsidRDefault="00602204" w:rsidP="007A05E9">
            <w:pPr>
              <w:pStyle w:val="ANormal"/>
              <w:keepNext/>
            </w:pPr>
          </w:p>
          <w:p w14:paraId="23467763" w14:textId="77777777" w:rsidR="00602204" w:rsidRDefault="00602204" w:rsidP="007A05E9">
            <w:pPr>
              <w:pStyle w:val="ANormal"/>
              <w:keepNext/>
            </w:pPr>
          </w:p>
          <w:p w14:paraId="615EE7E1" w14:textId="77777777" w:rsidR="00602204" w:rsidRDefault="00602204" w:rsidP="007A05E9">
            <w:pPr>
              <w:pStyle w:val="ANormal"/>
              <w:keepNext/>
            </w:pPr>
            <w:r>
              <w:t>Minister</w:t>
            </w:r>
          </w:p>
        </w:tc>
        <w:tc>
          <w:tcPr>
            <w:tcW w:w="3477" w:type="dxa"/>
            <w:vAlign w:val="bottom"/>
          </w:tcPr>
          <w:p w14:paraId="10F2978E" w14:textId="77777777" w:rsidR="00602204" w:rsidRDefault="00602204" w:rsidP="007A05E9">
            <w:pPr>
              <w:pStyle w:val="ANormal"/>
              <w:keepNext/>
            </w:pPr>
          </w:p>
          <w:p w14:paraId="45ACDCE1" w14:textId="77777777" w:rsidR="00602204" w:rsidRDefault="00602204" w:rsidP="007A05E9">
            <w:pPr>
              <w:pStyle w:val="ANormal"/>
              <w:keepNext/>
            </w:pPr>
          </w:p>
          <w:p w14:paraId="13A289B8" w14:textId="57BC3CF8" w:rsidR="00602204" w:rsidRDefault="00495EC4" w:rsidP="007A05E9">
            <w:pPr>
              <w:pStyle w:val="ANormal"/>
              <w:keepNext/>
            </w:pPr>
            <w:r>
              <w:t>Roger Höglund</w:t>
            </w:r>
          </w:p>
        </w:tc>
      </w:tr>
    </w:tbl>
    <w:p w14:paraId="151A6C5E" w14:textId="77777777" w:rsidR="00602204" w:rsidRDefault="00602204" w:rsidP="00602204">
      <w:pPr>
        <w:pStyle w:val="ANormal"/>
      </w:pPr>
    </w:p>
    <w:p w14:paraId="2DBF24B9" w14:textId="26C4EE65" w:rsidR="00602204" w:rsidRDefault="004977B7" w:rsidP="00E842B5">
      <w:pPr>
        <w:pStyle w:val="ANormal"/>
        <w:jc w:val="center"/>
      </w:pPr>
      <w:hyperlink w:anchor="_top" w:tooltip="Klicka för att gå till toppen av dokumentet" w:history="1">
        <w:r w:rsidR="00602204">
          <w:rPr>
            <w:rStyle w:val="Hyperlnk"/>
          </w:rPr>
          <w:t>__________________</w:t>
        </w:r>
      </w:hyperlink>
    </w:p>
    <w:p w14:paraId="18F09418" w14:textId="77777777" w:rsidR="00602204" w:rsidRDefault="00602204" w:rsidP="00602204">
      <w:pPr>
        <w:pStyle w:val="ANormal"/>
        <w:sectPr w:rsidR="0060220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781" w:type="dxa"/>
        <w:tblLayout w:type="fixed"/>
        <w:tblCellMar>
          <w:left w:w="70" w:type="dxa"/>
          <w:right w:w="70" w:type="dxa"/>
        </w:tblCellMar>
        <w:tblLook w:val="04A0" w:firstRow="1" w:lastRow="0" w:firstColumn="1" w:lastColumn="0" w:noHBand="0" w:noVBand="1"/>
      </w:tblPr>
      <w:tblGrid>
        <w:gridCol w:w="1020"/>
        <w:gridCol w:w="6068"/>
        <w:gridCol w:w="1346"/>
        <w:gridCol w:w="1347"/>
      </w:tblGrid>
      <w:tr w:rsidR="001B6DBC" w:rsidRPr="001B6DBC" w14:paraId="31B70D74" w14:textId="77777777" w:rsidTr="001B6DBC">
        <w:trPr>
          <w:trHeight w:val="300"/>
          <w:tblHeader/>
        </w:trPr>
        <w:tc>
          <w:tcPr>
            <w:tcW w:w="1020" w:type="dxa"/>
            <w:tcBorders>
              <w:top w:val="nil"/>
              <w:left w:val="nil"/>
              <w:bottom w:val="nil"/>
              <w:right w:val="nil"/>
            </w:tcBorders>
            <w:shd w:val="clear" w:color="auto" w:fill="auto"/>
            <w:noWrap/>
            <w:hideMark/>
          </w:tcPr>
          <w:p w14:paraId="7BAB4060" w14:textId="77777777" w:rsidR="001B6DBC" w:rsidRPr="001B6DBC" w:rsidRDefault="001B6DBC" w:rsidP="001B6DBC">
            <w:pPr>
              <w:spacing w:before="0" w:after="0"/>
              <w:rPr>
                <w:rFonts w:ascii="Times New Roman" w:eastAsia="Times New Roman" w:hAnsi="Times New Roman" w:cs="Times New Roman"/>
                <w:sz w:val="24"/>
                <w:szCs w:val="24"/>
                <w:lang w:val="sv-FI" w:eastAsia="sv-FI"/>
              </w:rPr>
            </w:pPr>
          </w:p>
        </w:tc>
        <w:tc>
          <w:tcPr>
            <w:tcW w:w="6068" w:type="dxa"/>
            <w:tcBorders>
              <w:top w:val="nil"/>
              <w:left w:val="nil"/>
              <w:bottom w:val="nil"/>
              <w:right w:val="nil"/>
            </w:tcBorders>
            <w:shd w:val="clear" w:color="auto" w:fill="auto"/>
            <w:noWrap/>
            <w:hideMark/>
          </w:tcPr>
          <w:p w14:paraId="73D1A061"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vAlign w:val="bottom"/>
            <w:hideMark/>
          </w:tcPr>
          <w:p w14:paraId="4C028CAB"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Anslag</w:t>
            </w:r>
          </w:p>
        </w:tc>
        <w:tc>
          <w:tcPr>
            <w:tcW w:w="1347" w:type="dxa"/>
            <w:tcBorders>
              <w:top w:val="nil"/>
              <w:left w:val="nil"/>
              <w:bottom w:val="nil"/>
              <w:right w:val="nil"/>
            </w:tcBorders>
            <w:shd w:val="clear" w:color="auto" w:fill="auto"/>
            <w:vAlign w:val="bottom"/>
            <w:hideMark/>
          </w:tcPr>
          <w:p w14:paraId="18DB5776"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Inkomster</w:t>
            </w:r>
          </w:p>
        </w:tc>
      </w:tr>
      <w:tr w:rsidR="001B6DBC" w:rsidRPr="001B6DBC" w14:paraId="1D835083" w14:textId="77777777" w:rsidTr="001B6DBC">
        <w:trPr>
          <w:trHeight w:val="300"/>
          <w:tblHeader/>
        </w:trPr>
        <w:tc>
          <w:tcPr>
            <w:tcW w:w="1020" w:type="dxa"/>
            <w:tcBorders>
              <w:top w:val="nil"/>
              <w:left w:val="nil"/>
              <w:bottom w:val="nil"/>
              <w:right w:val="nil"/>
            </w:tcBorders>
            <w:shd w:val="clear" w:color="auto" w:fill="auto"/>
            <w:hideMark/>
          </w:tcPr>
          <w:p w14:paraId="568BEED6"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hideMark/>
          </w:tcPr>
          <w:p w14:paraId="51565D76"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vAlign w:val="bottom"/>
            <w:hideMark/>
          </w:tcPr>
          <w:p w14:paraId="794C49E9"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 xml:space="preserve"> </w:t>
            </w:r>
            <w:proofErr w:type="spellStart"/>
            <w:r w:rsidRPr="001B6DBC">
              <w:rPr>
                <w:rFonts w:eastAsia="Times New Roman"/>
                <w:b/>
                <w:bCs/>
                <w:szCs w:val="20"/>
                <w:lang w:val="sv-FI" w:eastAsia="sv-FI"/>
              </w:rPr>
              <w:t>tb</w:t>
            </w:r>
            <w:proofErr w:type="spellEnd"/>
            <w:r w:rsidRPr="001B6DBC">
              <w:rPr>
                <w:rFonts w:eastAsia="Times New Roman"/>
                <w:b/>
                <w:bCs/>
                <w:szCs w:val="20"/>
                <w:lang w:val="sv-FI" w:eastAsia="sv-FI"/>
              </w:rPr>
              <w:t xml:space="preserve"> 2022</w:t>
            </w:r>
          </w:p>
        </w:tc>
        <w:tc>
          <w:tcPr>
            <w:tcW w:w="1347" w:type="dxa"/>
            <w:tcBorders>
              <w:top w:val="nil"/>
              <w:left w:val="nil"/>
              <w:bottom w:val="nil"/>
              <w:right w:val="nil"/>
            </w:tcBorders>
            <w:shd w:val="clear" w:color="auto" w:fill="auto"/>
            <w:vAlign w:val="bottom"/>
            <w:hideMark/>
          </w:tcPr>
          <w:p w14:paraId="7EBC6BDF"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 xml:space="preserve"> </w:t>
            </w:r>
            <w:proofErr w:type="spellStart"/>
            <w:r w:rsidRPr="001B6DBC">
              <w:rPr>
                <w:rFonts w:eastAsia="Times New Roman"/>
                <w:b/>
                <w:bCs/>
                <w:szCs w:val="20"/>
                <w:lang w:val="sv-FI" w:eastAsia="sv-FI"/>
              </w:rPr>
              <w:t>tb</w:t>
            </w:r>
            <w:proofErr w:type="spellEnd"/>
            <w:r w:rsidRPr="001B6DBC">
              <w:rPr>
                <w:rFonts w:eastAsia="Times New Roman"/>
                <w:b/>
                <w:bCs/>
                <w:szCs w:val="20"/>
                <w:lang w:val="sv-FI" w:eastAsia="sv-FI"/>
              </w:rPr>
              <w:t xml:space="preserve"> 2022</w:t>
            </w:r>
          </w:p>
        </w:tc>
      </w:tr>
      <w:tr w:rsidR="001B6DBC" w:rsidRPr="001B6DBC" w14:paraId="4AF8D96F" w14:textId="77777777" w:rsidTr="001B6DBC">
        <w:trPr>
          <w:trHeight w:val="300"/>
        </w:trPr>
        <w:tc>
          <w:tcPr>
            <w:tcW w:w="1020" w:type="dxa"/>
            <w:tcBorders>
              <w:top w:val="nil"/>
              <w:left w:val="nil"/>
              <w:bottom w:val="nil"/>
              <w:right w:val="nil"/>
            </w:tcBorders>
            <w:shd w:val="clear" w:color="auto" w:fill="auto"/>
            <w:noWrap/>
            <w:hideMark/>
          </w:tcPr>
          <w:p w14:paraId="51B466DD"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10DB0BBF"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VERKSAMHET OCH ÖVERFÖRINGAR</w:t>
            </w:r>
          </w:p>
        </w:tc>
        <w:tc>
          <w:tcPr>
            <w:tcW w:w="1346" w:type="dxa"/>
            <w:tcBorders>
              <w:top w:val="nil"/>
              <w:left w:val="nil"/>
              <w:bottom w:val="nil"/>
              <w:right w:val="nil"/>
            </w:tcBorders>
            <w:shd w:val="clear" w:color="auto" w:fill="auto"/>
            <w:noWrap/>
            <w:vAlign w:val="bottom"/>
            <w:hideMark/>
          </w:tcPr>
          <w:p w14:paraId="3E5E6199" w14:textId="77777777" w:rsidR="001B6DBC" w:rsidRPr="001B6DBC" w:rsidRDefault="001B6DBC" w:rsidP="001B6DBC">
            <w:pPr>
              <w:spacing w:before="0" w:after="0"/>
              <w:rPr>
                <w:rFonts w:eastAsia="Times New Roman"/>
                <w:b/>
                <w:bCs/>
                <w:szCs w:val="20"/>
                <w:lang w:val="sv-FI" w:eastAsia="sv-FI"/>
              </w:rPr>
            </w:pPr>
          </w:p>
        </w:tc>
        <w:tc>
          <w:tcPr>
            <w:tcW w:w="1347" w:type="dxa"/>
            <w:tcBorders>
              <w:top w:val="nil"/>
              <w:left w:val="nil"/>
              <w:bottom w:val="nil"/>
              <w:right w:val="nil"/>
            </w:tcBorders>
            <w:shd w:val="clear" w:color="auto" w:fill="auto"/>
            <w:noWrap/>
            <w:vAlign w:val="bottom"/>
            <w:hideMark/>
          </w:tcPr>
          <w:p w14:paraId="45D301CC"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794BF162" w14:textId="77777777" w:rsidTr="001B6DBC">
        <w:trPr>
          <w:trHeight w:val="300"/>
        </w:trPr>
        <w:tc>
          <w:tcPr>
            <w:tcW w:w="1020" w:type="dxa"/>
            <w:tcBorders>
              <w:top w:val="nil"/>
              <w:left w:val="nil"/>
              <w:bottom w:val="nil"/>
              <w:right w:val="nil"/>
            </w:tcBorders>
            <w:shd w:val="clear" w:color="auto" w:fill="auto"/>
            <w:noWrap/>
            <w:hideMark/>
          </w:tcPr>
          <w:p w14:paraId="47BA477F"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c>
          <w:tcPr>
            <w:tcW w:w="6068" w:type="dxa"/>
            <w:tcBorders>
              <w:top w:val="nil"/>
              <w:left w:val="nil"/>
              <w:bottom w:val="nil"/>
              <w:right w:val="nil"/>
            </w:tcBorders>
            <w:shd w:val="clear" w:color="auto" w:fill="auto"/>
            <w:noWrap/>
            <w:hideMark/>
          </w:tcPr>
          <w:p w14:paraId="5055BA9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03E4ECF5"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00633745"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63A3BDE1" w14:textId="77777777" w:rsidTr="001B6DBC">
        <w:trPr>
          <w:trHeight w:val="300"/>
        </w:trPr>
        <w:tc>
          <w:tcPr>
            <w:tcW w:w="1020" w:type="dxa"/>
            <w:tcBorders>
              <w:top w:val="nil"/>
              <w:left w:val="nil"/>
              <w:bottom w:val="nil"/>
              <w:right w:val="nil"/>
            </w:tcBorders>
            <w:shd w:val="clear" w:color="auto" w:fill="auto"/>
            <w:noWrap/>
            <w:vAlign w:val="bottom"/>
            <w:hideMark/>
          </w:tcPr>
          <w:p w14:paraId="717839F5"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100</w:t>
            </w:r>
          </w:p>
        </w:tc>
        <w:tc>
          <w:tcPr>
            <w:tcW w:w="6068" w:type="dxa"/>
            <w:tcBorders>
              <w:top w:val="nil"/>
              <w:left w:val="nil"/>
              <w:bottom w:val="nil"/>
              <w:right w:val="nil"/>
            </w:tcBorders>
            <w:shd w:val="clear" w:color="auto" w:fill="auto"/>
            <w:noWrap/>
            <w:vAlign w:val="bottom"/>
            <w:hideMark/>
          </w:tcPr>
          <w:p w14:paraId="2C544FE3"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Lagtinget</w:t>
            </w:r>
          </w:p>
        </w:tc>
        <w:tc>
          <w:tcPr>
            <w:tcW w:w="1346" w:type="dxa"/>
            <w:tcBorders>
              <w:top w:val="nil"/>
              <w:left w:val="nil"/>
              <w:bottom w:val="nil"/>
              <w:right w:val="nil"/>
            </w:tcBorders>
            <w:shd w:val="clear" w:color="auto" w:fill="auto"/>
            <w:noWrap/>
            <w:vAlign w:val="bottom"/>
            <w:hideMark/>
          </w:tcPr>
          <w:p w14:paraId="39896FE3"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-60 000</w:t>
            </w:r>
          </w:p>
        </w:tc>
        <w:tc>
          <w:tcPr>
            <w:tcW w:w="1347" w:type="dxa"/>
            <w:tcBorders>
              <w:top w:val="nil"/>
              <w:left w:val="nil"/>
              <w:bottom w:val="nil"/>
              <w:right w:val="nil"/>
            </w:tcBorders>
            <w:shd w:val="clear" w:color="auto" w:fill="auto"/>
            <w:noWrap/>
            <w:vAlign w:val="bottom"/>
            <w:hideMark/>
          </w:tcPr>
          <w:p w14:paraId="689628AF"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65C0E719" w14:textId="77777777" w:rsidTr="001B6DBC">
        <w:trPr>
          <w:trHeight w:val="300"/>
        </w:trPr>
        <w:tc>
          <w:tcPr>
            <w:tcW w:w="1020" w:type="dxa"/>
            <w:tcBorders>
              <w:top w:val="nil"/>
              <w:left w:val="nil"/>
              <w:bottom w:val="nil"/>
              <w:right w:val="nil"/>
            </w:tcBorders>
            <w:shd w:val="clear" w:color="auto" w:fill="auto"/>
            <w:noWrap/>
            <w:vAlign w:val="bottom"/>
            <w:hideMark/>
          </w:tcPr>
          <w:p w14:paraId="1BB847B1"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07A31ACF"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174831F2"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47B0D3FA"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04779624" w14:textId="77777777" w:rsidTr="001B6DBC">
        <w:trPr>
          <w:trHeight w:val="300"/>
        </w:trPr>
        <w:tc>
          <w:tcPr>
            <w:tcW w:w="1020" w:type="dxa"/>
            <w:tcBorders>
              <w:top w:val="nil"/>
              <w:left w:val="nil"/>
              <w:bottom w:val="nil"/>
              <w:right w:val="nil"/>
            </w:tcBorders>
            <w:shd w:val="clear" w:color="auto" w:fill="auto"/>
            <w:noWrap/>
            <w:vAlign w:val="bottom"/>
            <w:hideMark/>
          </w:tcPr>
          <w:p w14:paraId="346E9CA6"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112</w:t>
            </w:r>
          </w:p>
        </w:tc>
        <w:tc>
          <w:tcPr>
            <w:tcW w:w="6068" w:type="dxa"/>
            <w:tcBorders>
              <w:top w:val="nil"/>
              <w:left w:val="nil"/>
              <w:bottom w:val="nil"/>
              <w:right w:val="nil"/>
            </w:tcBorders>
            <w:shd w:val="clear" w:color="auto" w:fill="auto"/>
            <w:noWrap/>
            <w:vAlign w:val="bottom"/>
            <w:hideMark/>
          </w:tcPr>
          <w:p w14:paraId="127C5BBB"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Lagtingets övriga utgifter</w:t>
            </w:r>
          </w:p>
        </w:tc>
        <w:tc>
          <w:tcPr>
            <w:tcW w:w="1346" w:type="dxa"/>
            <w:tcBorders>
              <w:top w:val="nil"/>
              <w:left w:val="nil"/>
              <w:bottom w:val="nil"/>
              <w:right w:val="nil"/>
            </w:tcBorders>
            <w:shd w:val="clear" w:color="auto" w:fill="auto"/>
            <w:noWrap/>
            <w:vAlign w:val="bottom"/>
            <w:hideMark/>
          </w:tcPr>
          <w:p w14:paraId="47D7DD17"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-60 000</w:t>
            </w:r>
          </w:p>
        </w:tc>
        <w:tc>
          <w:tcPr>
            <w:tcW w:w="1347" w:type="dxa"/>
            <w:tcBorders>
              <w:top w:val="nil"/>
              <w:left w:val="nil"/>
              <w:bottom w:val="nil"/>
              <w:right w:val="nil"/>
            </w:tcBorders>
            <w:shd w:val="clear" w:color="auto" w:fill="auto"/>
            <w:noWrap/>
            <w:vAlign w:val="bottom"/>
            <w:hideMark/>
          </w:tcPr>
          <w:p w14:paraId="3F49921F"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3628DDB0" w14:textId="77777777" w:rsidTr="001B6DBC">
        <w:trPr>
          <w:trHeight w:val="300"/>
        </w:trPr>
        <w:tc>
          <w:tcPr>
            <w:tcW w:w="1020" w:type="dxa"/>
            <w:tcBorders>
              <w:top w:val="nil"/>
              <w:left w:val="nil"/>
              <w:bottom w:val="nil"/>
              <w:right w:val="nil"/>
            </w:tcBorders>
            <w:shd w:val="clear" w:color="auto" w:fill="auto"/>
            <w:noWrap/>
            <w:vAlign w:val="bottom"/>
            <w:hideMark/>
          </w:tcPr>
          <w:p w14:paraId="7AC7A59C"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11220</w:t>
            </w:r>
            <w:proofErr w:type="gramEnd"/>
          </w:p>
        </w:tc>
        <w:tc>
          <w:tcPr>
            <w:tcW w:w="6068" w:type="dxa"/>
            <w:tcBorders>
              <w:top w:val="nil"/>
              <w:left w:val="nil"/>
              <w:bottom w:val="nil"/>
              <w:right w:val="nil"/>
            </w:tcBorders>
            <w:shd w:val="clear" w:color="auto" w:fill="auto"/>
            <w:noWrap/>
            <w:vAlign w:val="bottom"/>
            <w:hideMark/>
          </w:tcPr>
          <w:p w14:paraId="58295D43"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Dispositionsmedel</w:t>
            </w:r>
          </w:p>
        </w:tc>
        <w:tc>
          <w:tcPr>
            <w:tcW w:w="1346" w:type="dxa"/>
            <w:tcBorders>
              <w:top w:val="nil"/>
              <w:left w:val="nil"/>
              <w:bottom w:val="nil"/>
              <w:right w:val="nil"/>
            </w:tcBorders>
            <w:shd w:val="clear" w:color="auto" w:fill="auto"/>
            <w:noWrap/>
            <w:vAlign w:val="bottom"/>
            <w:hideMark/>
          </w:tcPr>
          <w:p w14:paraId="45EBBC77"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-60 000</w:t>
            </w:r>
          </w:p>
        </w:tc>
        <w:tc>
          <w:tcPr>
            <w:tcW w:w="1347" w:type="dxa"/>
            <w:tcBorders>
              <w:top w:val="nil"/>
              <w:left w:val="nil"/>
              <w:bottom w:val="nil"/>
              <w:right w:val="nil"/>
            </w:tcBorders>
            <w:shd w:val="clear" w:color="auto" w:fill="auto"/>
            <w:noWrap/>
            <w:vAlign w:val="bottom"/>
            <w:hideMark/>
          </w:tcPr>
          <w:p w14:paraId="7FA9F4FF"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1CD537DD" w14:textId="77777777" w:rsidTr="001B6DBC">
        <w:trPr>
          <w:trHeight w:val="300"/>
        </w:trPr>
        <w:tc>
          <w:tcPr>
            <w:tcW w:w="1020" w:type="dxa"/>
            <w:tcBorders>
              <w:top w:val="nil"/>
              <w:left w:val="nil"/>
              <w:bottom w:val="nil"/>
              <w:right w:val="nil"/>
            </w:tcBorders>
            <w:shd w:val="clear" w:color="auto" w:fill="auto"/>
            <w:noWrap/>
            <w:vAlign w:val="bottom"/>
            <w:hideMark/>
          </w:tcPr>
          <w:p w14:paraId="58CD76F0"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5D58B266"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2EC0CB66"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3547C173"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714224CD" w14:textId="77777777" w:rsidTr="001B6DBC">
        <w:trPr>
          <w:trHeight w:val="300"/>
        </w:trPr>
        <w:tc>
          <w:tcPr>
            <w:tcW w:w="1020" w:type="dxa"/>
            <w:tcBorders>
              <w:top w:val="nil"/>
              <w:left w:val="nil"/>
              <w:bottom w:val="nil"/>
              <w:right w:val="nil"/>
            </w:tcBorders>
            <w:shd w:val="clear" w:color="auto" w:fill="auto"/>
            <w:noWrap/>
            <w:vAlign w:val="bottom"/>
            <w:hideMark/>
          </w:tcPr>
          <w:p w14:paraId="3ACCE005"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300</w:t>
            </w:r>
          </w:p>
        </w:tc>
        <w:tc>
          <w:tcPr>
            <w:tcW w:w="6068" w:type="dxa"/>
            <w:tcBorders>
              <w:top w:val="nil"/>
              <w:left w:val="nil"/>
              <w:bottom w:val="nil"/>
              <w:right w:val="nil"/>
            </w:tcBorders>
            <w:shd w:val="clear" w:color="auto" w:fill="auto"/>
            <w:noWrap/>
            <w:vAlign w:val="bottom"/>
            <w:hideMark/>
          </w:tcPr>
          <w:p w14:paraId="60BAE546"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Finansavdelningens förvaltningsområde</w:t>
            </w:r>
          </w:p>
        </w:tc>
        <w:tc>
          <w:tcPr>
            <w:tcW w:w="1346" w:type="dxa"/>
            <w:tcBorders>
              <w:top w:val="nil"/>
              <w:left w:val="nil"/>
              <w:bottom w:val="nil"/>
              <w:right w:val="nil"/>
            </w:tcBorders>
            <w:shd w:val="clear" w:color="auto" w:fill="auto"/>
            <w:noWrap/>
            <w:vAlign w:val="bottom"/>
            <w:hideMark/>
          </w:tcPr>
          <w:p w14:paraId="7CFA96E0"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300 000</w:t>
            </w:r>
          </w:p>
        </w:tc>
        <w:tc>
          <w:tcPr>
            <w:tcW w:w="1347" w:type="dxa"/>
            <w:tcBorders>
              <w:top w:val="nil"/>
              <w:left w:val="nil"/>
              <w:bottom w:val="nil"/>
              <w:right w:val="nil"/>
            </w:tcBorders>
            <w:shd w:val="clear" w:color="auto" w:fill="auto"/>
            <w:noWrap/>
            <w:vAlign w:val="bottom"/>
            <w:hideMark/>
          </w:tcPr>
          <w:p w14:paraId="347B1785"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0F61A0FB" w14:textId="77777777" w:rsidTr="001B6DBC">
        <w:trPr>
          <w:trHeight w:val="300"/>
        </w:trPr>
        <w:tc>
          <w:tcPr>
            <w:tcW w:w="1020" w:type="dxa"/>
            <w:tcBorders>
              <w:top w:val="nil"/>
              <w:left w:val="nil"/>
              <w:bottom w:val="nil"/>
              <w:right w:val="nil"/>
            </w:tcBorders>
            <w:shd w:val="clear" w:color="auto" w:fill="auto"/>
            <w:noWrap/>
            <w:vAlign w:val="bottom"/>
            <w:hideMark/>
          </w:tcPr>
          <w:p w14:paraId="118AC45C"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139BC8E1"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5A760FD7"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7E4A9C78"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6E4F343F" w14:textId="77777777" w:rsidTr="001B6DBC">
        <w:trPr>
          <w:trHeight w:val="300"/>
        </w:trPr>
        <w:tc>
          <w:tcPr>
            <w:tcW w:w="1020" w:type="dxa"/>
            <w:tcBorders>
              <w:top w:val="nil"/>
              <w:left w:val="nil"/>
              <w:bottom w:val="nil"/>
              <w:right w:val="nil"/>
            </w:tcBorders>
            <w:shd w:val="clear" w:color="auto" w:fill="auto"/>
            <w:noWrap/>
            <w:vAlign w:val="bottom"/>
            <w:hideMark/>
          </w:tcPr>
          <w:p w14:paraId="2F697A8D"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350</w:t>
            </w:r>
          </w:p>
        </w:tc>
        <w:tc>
          <w:tcPr>
            <w:tcW w:w="6068" w:type="dxa"/>
            <w:tcBorders>
              <w:top w:val="nil"/>
              <w:left w:val="nil"/>
              <w:bottom w:val="nil"/>
              <w:right w:val="nil"/>
            </w:tcBorders>
            <w:shd w:val="clear" w:color="auto" w:fill="auto"/>
            <w:noWrap/>
            <w:vAlign w:val="bottom"/>
            <w:hideMark/>
          </w:tcPr>
          <w:p w14:paraId="7C8F43FE"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Penningautomatmedel</w:t>
            </w:r>
          </w:p>
        </w:tc>
        <w:tc>
          <w:tcPr>
            <w:tcW w:w="1346" w:type="dxa"/>
            <w:tcBorders>
              <w:top w:val="nil"/>
              <w:left w:val="nil"/>
              <w:bottom w:val="nil"/>
              <w:right w:val="nil"/>
            </w:tcBorders>
            <w:shd w:val="clear" w:color="auto" w:fill="auto"/>
            <w:noWrap/>
            <w:vAlign w:val="bottom"/>
            <w:hideMark/>
          </w:tcPr>
          <w:p w14:paraId="1F306023"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300 000</w:t>
            </w:r>
          </w:p>
        </w:tc>
        <w:tc>
          <w:tcPr>
            <w:tcW w:w="1347" w:type="dxa"/>
            <w:tcBorders>
              <w:top w:val="nil"/>
              <w:left w:val="nil"/>
              <w:bottom w:val="nil"/>
              <w:right w:val="nil"/>
            </w:tcBorders>
            <w:shd w:val="clear" w:color="auto" w:fill="auto"/>
            <w:noWrap/>
            <w:vAlign w:val="bottom"/>
            <w:hideMark/>
          </w:tcPr>
          <w:p w14:paraId="1DE4D1BE"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507E9832" w14:textId="77777777" w:rsidTr="001B6DBC">
        <w:trPr>
          <w:trHeight w:val="300"/>
        </w:trPr>
        <w:tc>
          <w:tcPr>
            <w:tcW w:w="1020" w:type="dxa"/>
            <w:tcBorders>
              <w:top w:val="nil"/>
              <w:left w:val="nil"/>
              <w:bottom w:val="nil"/>
              <w:right w:val="nil"/>
            </w:tcBorders>
            <w:shd w:val="clear" w:color="auto" w:fill="auto"/>
            <w:noWrap/>
            <w:vAlign w:val="bottom"/>
            <w:hideMark/>
          </w:tcPr>
          <w:p w14:paraId="6F944700"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35000</w:t>
            </w:r>
            <w:proofErr w:type="gramEnd"/>
          </w:p>
        </w:tc>
        <w:tc>
          <w:tcPr>
            <w:tcW w:w="6068" w:type="dxa"/>
            <w:tcBorders>
              <w:top w:val="nil"/>
              <w:left w:val="nil"/>
              <w:bottom w:val="nil"/>
              <w:right w:val="nil"/>
            </w:tcBorders>
            <w:shd w:val="clear" w:color="auto" w:fill="auto"/>
            <w:noWrap/>
            <w:vAlign w:val="bottom"/>
            <w:hideMark/>
          </w:tcPr>
          <w:p w14:paraId="2674BD6B"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Penningautomatmedel (R)</w:t>
            </w:r>
          </w:p>
        </w:tc>
        <w:tc>
          <w:tcPr>
            <w:tcW w:w="1346" w:type="dxa"/>
            <w:tcBorders>
              <w:top w:val="nil"/>
              <w:left w:val="nil"/>
              <w:bottom w:val="nil"/>
              <w:right w:val="nil"/>
            </w:tcBorders>
            <w:shd w:val="clear" w:color="auto" w:fill="auto"/>
            <w:noWrap/>
            <w:vAlign w:val="bottom"/>
            <w:hideMark/>
          </w:tcPr>
          <w:p w14:paraId="6793736E"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300 000</w:t>
            </w:r>
          </w:p>
        </w:tc>
        <w:tc>
          <w:tcPr>
            <w:tcW w:w="1347" w:type="dxa"/>
            <w:tcBorders>
              <w:top w:val="nil"/>
              <w:left w:val="nil"/>
              <w:bottom w:val="nil"/>
              <w:right w:val="nil"/>
            </w:tcBorders>
            <w:shd w:val="clear" w:color="auto" w:fill="auto"/>
            <w:noWrap/>
            <w:vAlign w:val="bottom"/>
            <w:hideMark/>
          </w:tcPr>
          <w:p w14:paraId="1EC040B1"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6250F240" w14:textId="77777777" w:rsidTr="001B6DBC">
        <w:trPr>
          <w:trHeight w:val="300"/>
        </w:trPr>
        <w:tc>
          <w:tcPr>
            <w:tcW w:w="1020" w:type="dxa"/>
            <w:tcBorders>
              <w:top w:val="nil"/>
              <w:left w:val="nil"/>
              <w:bottom w:val="nil"/>
              <w:right w:val="nil"/>
            </w:tcBorders>
            <w:shd w:val="clear" w:color="auto" w:fill="auto"/>
            <w:noWrap/>
            <w:vAlign w:val="bottom"/>
            <w:hideMark/>
          </w:tcPr>
          <w:p w14:paraId="23A1A476"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0B2F04BC"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25D546D0"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020A5AFB"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1D367934" w14:textId="77777777" w:rsidTr="001B6DBC">
        <w:trPr>
          <w:trHeight w:val="300"/>
        </w:trPr>
        <w:tc>
          <w:tcPr>
            <w:tcW w:w="1020" w:type="dxa"/>
            <w:tcBorders>
              <w:top w:val="nil"/>
              <w:left w:val="nil"/>
              <w:bottom w:val="nil"/>
              <w:right w:val="nil"/>
            </w:tcBorders>
            <w:shd w:val="clear" w:color="auto" w:fill="auto"/>
            <w:noWrap/>
            <w:vAlign w:val="bottom"/>
            <w:hideMark/>
          </w:tcPr>
          <w:p w14:paraId="566A5B64"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400</w:t>
            </w:r>
          </w:p>
        </w:tc>
        <w:tc>
          <w:tcPr>
            <w:tcW w:w="6068" w:type="dxa"/>
            <w:tcBorders>
              <w:top w:val="nil"/>
              <w:left w:val="nil"/>
              <w:bottom w:val="nil"/>
              <w:right w:val="nil"/>
            </w:tcBorders>
            <w:shd w:val="clear" w:color="auto" w:fill="auto"/>
            <w:noWrap/>
            <w:vAlign w:val="bottom"/>
            <w:hideMark/>
          </w:tcPr>
          <w:p w14:paraId="4940E983"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Social- och miljöavdelningens förvaltningsområde</w:t>
            </w:r>
          </w:p>
        </w:tc>
        <w:tc>
          <w:tcPr>
            <w:tcW w:w="1346" w:type="dxa"/>
            <w:tcBorders>
              <w:top w:val="nil"/>
              <w:left w:val="nil"/>
              <w:bottom w:val="nil"/>
              <w:right w:val="nil"/>
            </w:tcBorders>
            <w:shd w:val="clear" w:color="auto" w:fill="auto"/>
            <w:noWrap/>
            <w:vAlign w:val="bottom"/>
            <w:hideMark/>
          </w:tcPr>
          <w:p w14:paraId="5A4B2CCA"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-95 000</w:t>
            </w:r>
          </w:p>
        </w:tc>
        <w:tc>
          <w:tcPr>
            <w:tcW w:w="1347" w:type="dxa"/>
            <w:tcBorders>
              <w:top w:val="nil"/>
              <w:left w:val="nil"/>
              <w:bottom w:val="nil"/>
              <w:right w:val="nil"/>
            </w:tcBorders>
            <w:shd w:val="clear" w:color="auto" w:fill="auto"/>
            <w:noWrap/>
            <w:vAlign w:val="bottom"/>
            <w:hideMark/>
          </w:tcPr>
          <w:p w14:paraId="1102384C"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27391C9D" w14:textId="77777777" w:rsidTr="001B6DBC">
        <w:trPr>
          <w:trHeight w:val="300"/>
        </w:trPr>
        <w:tc>
          <w:tcPr>
            <w:tcW w:w="1020" w:type="dxa"/>
            <w:tcBorders>
              <w:top w:val="nil"/>
              <w:left w:val="nil"/>
              <w:bottom w:val="nil"/>
              <w:right w:val="nil"/>
            </w:tcBorders>
            <w:shd w:val="clear" w:color="auto" w:fill="auto"/>
            <w:noWrap/>
            <w:vAlign w:val="bottom"/>
            <w:hideMark/>
          </w:tcPr>
          <w:p w14:paraId="4DD47F34"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6C20DA62"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4366E267"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D086C8C"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59A16CD8" w14:textId="77777777" w:rsidTr="001B6DBC">
        <w:trPr>
          <w:trHeight w:val="300"/>
        </w:trPr>
        <w:tc>
          <w:tcPr>
            <w:tcW w:w="1020" w:type="dxa"/>
            <w:tcBorders>
              <w:top w:val="nil"/>
              <w:left w:val="nil"/>
              <w:bottom w:val="nil"/>
              <w:right w:val="nil"/>
            </w:tcBorders>
            <w:shd w:val="clear" w:color="auto" w:fill="auto"/>
            <w:noWrap/>
            <w:vAlign w:val="bottom"/>
            <w:hideMark/>
          </w:tcPr>
          <w:p w14:paraId="550B8023"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400</w:t>
            </w:r>
          </w:p>
        </w:tc>
        <w:tc>
          <w:tcPr>
            <w:tcW w:w="6068" w:type="dxa"/>
            <w:tcBorders>
              <w:top w:val="nil"/>
              <w:left w:val="nil"/>
              <w:bottom w:val="nil"/>
              <w:right w:val="nil"/>
            </w:tcBorders>
            <w:shd w:val="clear" w:color="auto" w:fill="auto"/>
            <w:noWrap/>
            <w:vAlign w:val="bottom"/>
            <w:hideMark/>
          </w:tcPr>
          <w:p w14:paraId="353F9509"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Allmän förvaltning</w:t>
            </w:r>
          </w:p>
        </w:tc>
        <w:tc>
          <w:tcPr>
            <w:tcW w:w="1346" w:type="dxa"/>
            <w:tcBorders>
              <w:top w:val="nil"/>
              <w:left w:val="nil"/>
              <w:bottom w:val="nil"/>
              <w:right w:val="nil"/>
            </w:tcBorders>
            <w:shd w:val="clear" w:color="auto" w:fill="auto"/>
            <w:noWrap/>
            <w:vAlign w:val="bottom"/>
            <w:hideMark/>
          </w:tcPr>
          <w:p w14:paraId="63453756"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-60 000</w:t>
            </w:r>
          </w:p>
        </w:tc>
        <w:tc>
          <w:tcPr>
            <w:tcW w:w="1347" w:type="dxa"/>
            <w:tcBorders>
              <w:top w:val="nil"/>
              <w:left w:val="nil"/>
              <w:bottom w:val="nil"/>
              <w:right w:val="nil"/>
            </w:tcBorders>
            <w:shd w:val="clear" w:color="auto" w:fill="auto"/>
            <w:noWrap/>
            <w:vAlign w:val="bottom"/>
            <w:hideMark/>
          </w:tcPr>
          <w:p w14:paraId="7168B981"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5CB22C99" w14:textId="77777777" w:rsidTr="001B6DBC">
        <w:trPr>
          <w:trHeight w:val="300"/>
        </w:trPr>
        <w:tc>
          <w:tcPr>
            <w:tcW w:w="1020" w:type="dxa"/>
            <w:tcBorders>
              <w:top w:val="nil"/>
              <w:left w:val="nil"/>
              <w:bottom w:val="nil"/>
              <w:right w:val="nil"/>
            </w:tcBorders>
            <w:shd w:val="clear" w:color="auto" w:fill="auto"/>
            <w:noWrap/>
            <w:vAlign w:val="bottom"/>
            <w:hideMark/>
          </w:tcPr>
          <w:p w14:paraId="20D9725D"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40010</w:t>
            </w:r>
            <w:proofErr w:type="gramEnd"/>
          </w:p>
        </w:tc>
        <w:tc>
          <w:tcPr>
            <w:tcW w:w="6068" w:type="dxa"/>
            <w:tcBorders>
              <w:top w:val="nil"/>
              <w:left w:val="nil"/>
              <w:bottom w:val="nil"/>
              <w:right w:val="nil"/>
            </w:tcBorders>
            <w:shd w:val="clear" w:color="auto" w:fill="auto"/>
            <w:noWrap/>
            <w:vAlign w:val="bottom"/>
            <w:hideMark/>
          </w:tcPr>
          <w:p w14:paraId="51050FBC"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Social- och miljöavdelningens allmänna förvaltning, verksamhet</w:t>
            </w:r>
          </w:p>
        </w:tc>
        <w:tc>
          <w:tcPr>
            <w:tcW w:w="1346" w:type="dxa"/>
            <w:tcBorders>
              <w:top w:val="nil"/>
              <w:left w:val="nil"/>
              <w:bottom w:val="nil"/>
              <w:right w:val="nil"/>
            </w:tcBorders>
            <w:shd w:val="clear" w:color="auto" w:fill="auto"/>
            <w:noWrap/>
            <w:vAlign w:val="bottom"/>
            <w:hideMark/>
          </w:tcPr>
          <w:p w14:paraId="4A3970BE"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-60 000</w:t>
            </w:r>
          </w:p>
        </w:tc>
        <w:tc>
          <w:tcPr>
            <w:tcW w:w="1347" w:type="dxa"/>
            <w:tcBorders>
              <w:top w:val="nil"/>
              <w:left w:val="nil"/>
              <w:bottom w:val="nil"/>
              <w:right w:val="nil"/>
            </w:tcBorders>
            <w:shd w:val="clear" w:color="auto" w:fill="auto"/>
            <w:noWrap/>
            <w:vAlign w:val="bottom"/>
            <w:hideMark/>
          </w:tcPr>
          <w:p w14:paraId="18A713E0"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02B302A3" w14:textId="77777777" w:rsidTr="001B6DBC">
        <w:trPr>
          <w:trHeight w:val="300"/>
        </w:trPr>
        <w:tc>
          <w:tcPr>
            <w:tcW w:w="1020" w:type="dxa"/>
            <w:tcBorders>
              <w:top w:val="nil"/>
              <w:left w:val="nil"/>
              <w:bottom w:val="nil"/>
              <w:right w:val="nil"/>
            </w:tcBorders>
            <w:shd w:val="clear" w:color="auto" w:fill="auto"/>
            <w:noWrap/>
            <w:vAlign w:val="bottom"/>
            <w:hideMark/>
          </w:tcPr>
          <w:p w14:paraId="3A65DA93"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707F0FF1"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559388E2"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17F73B84"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1D632C0F" w14:textId="77777777" w:rsidTr="001B6DBC">
        <w:trPr>
          <w:trHeight w:val="300"/>
        </w:trPr>
        <w:tc>
          <w:tcPr>
            <w:tcW w:w="1020" w:type="dxa"/>
            <w:tcBorders>
              <w:top w:val="nil"/>
              <w:left w:val="nil"/>
              <w:bottom w:val="nil"/>
              <w:right w:val="nil"/>
            </w:tcBorders>
            <w:shd w:val="clear" w:color="auto" w:fill="auto"/>
            <w:noWrap/>
            <w:vAlign w:val="bottom"/>
            <w:hideMark/>
          </w:tcPr>
          <w:p w14:paraId="2878C5DD"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420</w:t>
            </w:r>
          </w:p>
        </w:tc>
        <w:tc>
          <w:tcPr>
            <w:tcW w:w="6068" w:type="dxa"/>
            <w:tcBorders>
              <w:top w:val="nil"/>
              <w:left w:val="nil"/>
              <w:bottom w:val="nil"/>
              <w:right w:val="nil"/>
            </w:tcBorders>
            <w:shd w:val="clear" w:color="auto" w:fill="auto"/>
            <w:noWrap/>
            <w:vAlign w:val="bottom"/>
            <w:hideMark/>
          </w:tcPr>
          <w:p w14:paraId="3C4B6DEE"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Övriga hälso- och sjukvårdsuppgifter</w:t>
            </w:r>
          </w:p>
        </w:tc>
        <w:tc>
          <w:tcPr>
            <w:tcW w:w="1346" w:type="dxa"/>
            <w:tcBorders>
              <w:top w:val="nil"/>
              <w:left w:val="nil"/>
              <w:bottom w:val="nil"/>
              <w:right w:val="nil"/>
            </w:tcBorders>
            <w:shd w:val="clear" w:color="auto" w:fill="auto"/>
            <w:noWrap/>
            <w:vAlign w:val="bottom"/>
            <w:hideMark/>
          </w:tcPr>
          <w:p w14:paraId="34C5083F"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-35 000</w:t>
            </w:r>
          </w:p>
        </w:tc>
        <w:tc>
          <w:tcPr>
            <w:tcW w:w="1347" w:type="dxa"/>
            <w:tcBorders>
              <w:top w:val="nil"/>
              <w:left w:val="nil"/>
              <w:bottom w:val="nil"/>
              <w:right w:val="nil"/>
            </w:tcBorders>
            <w:shd w:val="clear" w:color="auto" w:fill="auto"/>
            <w:noWrap/>
            <w:vAlign w:val="bottom"/>
            <w:hideMark/>
          </w:tcPr>
          <w:p w14:paraId="05DA28FD"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1B29549F" w14:textId="77777777" w:rsidTr="001B6DBC">
        <w:trPr>
          <w:trHeight w:val="300"/>
        </w:trPr>
        <w:tc>
          <w:tcPr>
            <w:tcW w:w="1020" w:type="dxa"/>
            <w:tcBorders>
              <w:top w:val="nil"/>
              <w:left w:val="nil"/>
              <w:bottom w:val="nil"/>
              <w:right w:val="nil"/>
            </w:tcBorders>
            <w:shd w:val="clear" w:color="auto" w:fill="auto"/>
            <w:noWrap/>
            <w:vAlign w:val="bottom"/>
            <w:hideMark/>
          </w:tcPr>
          <w:p w14:paraId="009DED22"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42000</w:t>
            </w:r>
            <w:proofErr w:type="gramEnd"/>
          </w:p>
        </w:tc>
        <w:tc>
          <w:tcPr>
            <w:tcW w:w="6068" w:type="dxa"/>
            <w:tcBorders>
              <w:top w:val="nil"/>
              <w:left w:val="nil"/>
              <w:bottom w:val="nil"/>
              <w:right w:val="nil"/>
            </w:tcBorders>
            <w:shd w:val="clear" w:color="auto" w:fill="auto"/>
            <w:noWrap/>
            <w:vAlign w:val="bottom"/>
            <w:hideMark/>
          </w:tcPr>
          <w:p w14:paraId="459ECEE0"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Övriga hälso- och sjukvårdsuppgifter, verksamhet</w:t>
            </w:r>
          </w:p>
        </w:tc>
        <w:tc>
          <w:tcPr>
            <w:tcW w:w="1346" w:type="dxa"/>
            <w:tcBorders>
              <w:top w:val="nil"/>
              <w:left w:val="nil"/>
              <w:bottom w:val="nil"/>
              <w:right w:val="nil"/>
            </w:tcBorders>
            <w:shd w:val="clear" w:color="auto" w:fill="auto"/>
            <w:noWrap/>
            <w:vAlign w:val="bottom"/>
            <w:hideMark/>
          </w:tcPr>
          <w:p w14:paraId="78733094"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-35 000</w:t>
            </w:r>
          </w:p>
        </w:tc>
        <w:tc>
          <w:tcPr>
            <w:tcW w:w="1347" w:type="dxa"/>
            <w:tcBorders>
              <w:top w:val="nil"/>
              <w:left w:val="nil"/>
              <w:bottom w:val="nil"/>
              <w:right w:val="nil"/>
            </w:tcBorders>
            <w:shd w:val="clear" w:color="auto" w:fill="auto"/>
            <w:noWrap/>
            <w:vAlign w:val="bottom"/>
            <w:hideMark/>
          </w:tcPr>
          <w:p w14:paraId="761B94D3"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7DDA7D0B" w14:textId="77777777" w:rsidTr="001B6DBC">
        <w:trPr>
          <w:trHeight w:val="300"/>
        </w:trPr>
        <w:tc>
          <w:tcPr>
            <w:tcW w:w="1020" w:type="dxa"/>
            <w:tcBorders>
              <w:top w:val="nil"/>
              <w:left w:val="nil"/>
              <w:bottom w:val="nil"/>
              <w:right w:val="nil"/>
            </w:tcBorders>
            <w:shd w:val="clear" w:color="auto" w:fill="auto"/>
            <w:noWrap/>
            <w:vAlign w:val="bottom"/>
            <w:hideMark/>
          </w:tcPr>
          <w:p w14:paraId="1BA015E1"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67742277"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6D5B253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CB09895"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2BA55AEE" w14:textId="77777777" w:rsidTr="001B6DBC">
        <w:trPr>
          <w:trHeight w:val="300"/>
        </w:trPr>
        <w:tc>
          <w:tcPr>
            <w:tcW w:w="1020" w:type="dxa"/>
            <w:tcBorders>
              <w:top w:val="nil"/>
              <w:left w:val="nil"/>
              <w:bottom w:val="nil"/>
              <w:right w:val="nil"/>
            </w:tcBorders>
            <w:shd w:val="clear" w:color="auto" w:fill="auto"/>
            <w:noWrap/>
            <w:vAlign w:val="bottom"/>
            <w:hideMark/>
          </w:tcPr>
          <w:p w14:paraId="41FC04EF"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500</w:t>
            </w:r>
          </w:p>
        </w:tc>
        <w:tc>
          <w:tcPr>
            <w:tcW w:w="6068" w:type="dxa"/>
            <w:tcBorders>
              <w:top w:val="nil"/>
              <w:left w:val="nil"/>
              <w:bottom w:val="nil"/>
              <w:right w:val="nil"/>
            </w:tcBorders>
            <w:shd w:val="clear" w:color="auto" w:fill="auto"/>
            <w:noWrap/>
            <w:vAlign w:val="bottom"/>
            <w:hideMark/>
          </w:tcPr>
          <w:p w14:paraId="7C561B10"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Utbildnings- och kulturavdelningens förvaltningsområde</w:t>
            </w:r>
          </w:p>
        </w:tc>
        <w:tc>
          <w:tcPr>
            <w:tcW w:w="1346" w:type="dxa"/>
            <w:tcBorders>
              <w:top w:val="nil"/>
              <w:left w:val="nil"/>
              <w:bottom w:val="nil"/>
              <w:right w:val="nil"/>
            </w:tcBorders>
            <w:shd w:val="clear" w:color="auto" w:fill="auto"/>
            <w:noWrap/>
            <w:vAlign w:val="bottom"/>
            <w:hideMark/>
          </w:tcPr>
          <w:p w14:paraId="0E5937A4"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-645 000</w:t>
            </w:r>
          </w:p>
        </w:tc>
        <w:tc>
          <w:tcPr>
            <w:tcW w:w="1347" w:type="dxa"/>
            <w:tcBorders>
              <w:top w:val="nil"/>
              <w:left w:val="nil"/>
              <w:bottom w:val="nil"/>
              <w:right w:val="nil"/>
            </w:tcBorders>
            <w:shd w:val="clear" w:color="auto" w:fill="auto"/>
            <w:noWrap/>
            <w:vAlign w:val="bottom"/>
            <w:hideMark/>
          </w:tcPr>
          <w:p w14:paraId="0FB847C0"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6FA5237F" w14:textId="77777777" w:rsidTr="001B6DBC">
        <w:trPr>
          <w:trHeight w:val="300"/>
        </w:trPr>
        <w:tc>
          <w:tcPr>
            <w:tcW w:w="1020" w:type="dxa"/>
            <w:tcBorders>
              <w:top w:val="nil"/>
              <w:left w:val="nil"/>
              <w:bottom w:val="nil"/>
              <w:right w:val="nil"/>
            </w:tcBorders>
            <w:shd w:val="clear" w:color="auto" w:fill="auto"/>
            <w:noWrap/>
            <w:vAlign w:val="bottom"/>
            <w:hideMark/>
          </w:tcPr>
          <w:p w14:paraId="019E2F90"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2C934549"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28D5CE2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2D534C5C"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0FFD0D4D" w14:textId="77777777" w:rsidTr="001B6DBC">
        <w:trPr>
          <w:trHeight w:val="300"/>
        </w:trPr>
        <w:tc>
          <w:tcPr>
            <w:tcW w:w="1020" w:type="dxa"/>
            <w:tcBorders>
              <w:top w:val="nil"/>
              <w:left w:val="nil"/>
              <w:bottom w:val="nil"/>
              <w:right w:val="nil"/>
            </w:tcBorders>
            <w:shd w:val="clear" w:color="auto" w:fill="auto"/>
            <w:noWrap/>
            <w:vAlign w:val="bottom"/>
            <w:hideMark/>
          </w:tcPr>
          <w:p w14:paraId="2D4FBEEE"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502</w:t>
            </w:r>
          </w:p>
        </w:tc>
        <w:tc>
          <w:tcPr>
            <w:tcW w:w="6068" w:type="dxa"/>
            <w:tcBorders>
              <w:top w:val="nil"/>
              <w:left w:val="nil"/>
              <w:bottom w:val="nil"/>
              <w:right w:val="nil"/>
            </w:tcBorders>
            <w:shd w:val="clear" w:color="auto" w:fill="auto"/>
            <w:noWrap/>
            <w:vAlign w:val="bottom"/>
            <w:hideMark/>
          </w:tcPr>
          <w:p w14:paraId="675C6F06"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Studiestöd</w:t>
            </w:r>
          </w:p>
        </w:tc>
        <w:tc>
          <w:tcPr>
            <w:tcW w:w="1346" w:type="dxa"/>
            <w:tcBorders>
              <w:top w:val="nil"/>
              <w:left w:val="nil"/>
              <w:bottom w:val="nil"/>
              <w:right w:val="nil"/>
            </w:tcBorders>
            <w:shd w:val="clear" w:color="auto" w:fill="auto"/>
            <w:noWrap/>
            <w:vAlign w:val="bottom"/>
            <w:hideMark/>
          </w:tcPr>
          <w:p w14:paraId="601C2CB8"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-300 000</w:t>
            </w:r>
          </w:p>
        </w:tc>
        <w:tc>
          <w:tcPr>
            <w:tcW w:w="1347" w:type="dxa"/>
            <w:tcBorders>
              <w:top w:val="nil"/>
              <w:left w:val="nil"/>
              <w:bottom w:val="nil"/>
              <w:right w:val="nil"/>
            </w:tcBorders>
            <w:shd w:val="clear" w:color="auto" w:fill="auto"/>
            <w:noWrap/>
            <w:vAlign w:val="bottom"/>
            <w:hideMark/>
          </w:tcPr>
          <w:p w14:paraId="33EC6C21"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2429CC39" w14:textId="77777777" w:rsidTr="001B6DBC">
        <w:trPr>
          <w:trHeight w:val="300"/>
        </w:trPr>
        <w:tc>
          <w:tcPr>
            <w:tcW w:w="1020" w:type="dxa"/>
            <w:tcBorders>
              <w:top w:val="nil"/>
              <w:left w:val="nil"/>
              <w:bottom w:val="nil"/>
              <w:right w:val="nil"/>
            </w:tcBorders>
            <w:shd w:val="clear" w:color="auto" w:fill="auto"/>
            <w:noWrap/>
            <w:vAlign w:val="bottom"/>
            <w:hideMark/>
          </w:tcPr>
          <w:p w14:paraId="79F3F83E"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50200</w:t>
            </w:r>
            <w:proofErr w:type="gramEnd"/>
          </w:p>
        </w:tc>
        <w:tc>
          <w:tcPr>
            <w:tcW w:w="6068" w:type="dxa"/>
            <w:tcBorders>
              <w:top w:val="nil"/>
              <w:left w:val="nil"/>
              <w:bottom w:val="nil"/>
              <w:right w:val="nil"/>
            </w:tcBorders>
            <w:shd w:val="clear" w:color="auto" w:fill="auto"/>
            <w:noWrap/>
            <w:vAlign w:val="bottom"/>
            <w:hideMark/>
          </w:tcPr>
          <w:p w14:paraId="1F876859"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Studiestöd (F)</w:t>
            </w:r>
          </w:p>
        </w:tc>
        <w:tc>
          <w:tcPr>
            <w:tcW w:w="1346" w:type="dxa"/>
            <w:tcBorders>
              <w:top w:val="nil"/>
              <w:left w:val="nil"/>
              <w:bottom w:val="nil"/>
              <w:right w:val="nil"/>
            </w:tcBorders>
            <w:shd w:val="clear" w:color="auto" w:fill="auto"/>
            <w:noWrap/>
            <w:vAlign w:val="bottom"/>
            <w:hideMark/>
          </w:tcPr>
          <w:p w14:paraId="28BAE1B2"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-300 000</w:t>
            </w:r>
          </w:p>
        </w:tc>
        <w:tc>
          <w:tcPr>
            <w:tcW w:w="1347" w:type="dxa"/>
            <w:tcBorders>
              <w:top w:val="nil"/>
              <w:left w:val="nil"/>
              <w:bottom w:val="nil"/>
              <w:right w:val="nil"/>
            </w:tcBorders>
            <w:shd w:val="clear" w:color="auto" w:fill="auto"/>
            <w:noWrap/>
            <w:vAlign w:val="bottom"/>
            <w:hideMark/>
          </w:tcPr>
          <w:p w14:paraId="24712875"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7DC3E1F9" w14:textId="77777777" w:rsidTr="001B6DBC">
        <w:trPr>
          <w:trHeight w:val="300"/>
        </w:trPr>
        <w:tc>
          <w:tcPr>
            <w:tcW w:w="1020" w:type="dxa"/>
            <w:tcBorders>
              <w:top w:val="nil"/>
              <w:left w:val="nil"/>
              <w:bottom w:val="nil"/>
              <w:right w:val="nil"/>
            </w:tcBorders>
            <w:shd w:val="clear" w:color="auto" w:fill="auto"/>
            <w:noWrap/>
            <w:vAlign w:val="bottom"/>
            <w:hideMark/>
          </w:tcPr>
          <w:p w14:paraId="728C77A0"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11D63BE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62C59DE1"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246B613"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43F3D962" w14:textId="77777777" w:rsidTr="001B6DBC">
        <w:trPr>
          <w:trHeight w:val="300"/>
        </w:trPr>
        <w:tc>
          <w:tcPr>
            <w:tcW w:w="1020" w:type="dxa"/>
            <w:tcBorders>
              <w:top w:val="nil"/>
              <w:left w:val="nil"/>
              <w:bottom w:val="nil"/>
              <w:right w:val="nil"/>
            </w:tcBorders>
            <w:shd w:val="clear" w:color="auto" w:fill="auto"/>
            <w:noWrap/>
            <w:vAlign w:val="bottom"/>
            <w:hideMark/>
          </w:tcPr>
          <w:p w14:paraId="5EC0FCF3"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511</w:t>
            </w:r>
          </w:p>
        </w:tc>
        <w:tc>
          <w:tcPr>
            <w:tcW w:w="6068" w:type="dxa"/>
            <w:tcBorders>
              <w:top w:val="nil"/>
              <w:left w:val="nil"/>
              <w:bottom w:val="nil"/>
              <w:right w:val="nil"/>
            </w:tcBorders>
            <w:shd w:val="clear" w:color="auto" w:fill="auto"/>
            <w:noWrap/>
            <w:vAlign w:val="bottom"/>
            <w:hideMark/>
          </w:tcPr>
          <w:p w14:paraId="2CB4DAE8"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Kultur- och kulturmiljöförvaltning</w:t>
            </w:r>
          </w:p>
        </w:tc>
        <w:tc>
          <w:tcPr>
            <w:tcW w:w="1346" w:type="dxa"/>
            <w:tcBorders>
              <w:top w:val="nil"/>
              <w:left w:val="nil"/>
              <w:bottom w:val="nil"/>
              <w:right w:val="nil"/>
            </w:tcBorders>
            <w:shd w:val="clear" w:color="auto" w:fill="auto"/>
            <w:noWrap/>
            <w:vAlign w:val="bottom"/>
            <w:hideMark/>
          </w:tcPr>
          <w:p w14:paraId="313ECDF3"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-45 000</w:t>
            </w:r>
          </w:p>
        </w:tc>
        <w:tc>
          <w:tcPr>
            <w:tcW w:w="1347" w:type="dxa"/>
            <w:tcBorders>
              <w:top w:val="nil"/>
              <w:left w:val="nil"/>
              <w:bottom w:val="nil"/>
              <w:right w:val="nil"/>
            </w:tcBorders>
            <w:shd w:val="clear" w:color="auto" w:fill="auto"/>
            <w:noWrap/>
            <w:vAlign w:val="bottom"/>
            <w:hideMark/>
          </w:tcPr>
          <w:p w14:paraId="516FAAAF"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28970DF6" w14:textId="77777777" w:rsidTr="001B6DBC">
        <w:trPr>
          <w:trHeight w:val="300"/>
        </w:trPr>
        <w:tc>
          <w:tcPr>
            <w:tcW w:w="1020" w:type="dxa"/>
            <w:tcBorders>
              <w:top w:val="nil"/>
              <w:left w:val="nil"/>
              <w:bottom w:val="nil"/>
              <w:right w:val="nil"/>
            </w:tcBorders>
            <w:shd w:val="clear" w:color="auto" w:fill="auto"/>
            <w:noWrap/>
            <w:vAlign w:val="bottom"/>
            <w:hideMark/>
          </w:tcPr>
          <w:p w14:paraId="7CE76E52"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51100</w:t>
            </w:r>
            <w:proofErr w:type="gramEnd"/>
          </w:p>
        </w:tc>
        <w:tc>
          <w:tcPr>
            <w:tcW w:w="6068" w:type="dxa"/>
            <w:tcBorders>
              <w:top w:val="nil"/>
              <w:left w:val="nil"/>
              <w:bottom w:val="nil"/>
              <w:right w:val="nil"/>
            </w:tcBorders>
            <w:shd w:val="clear" w:color="auto" w:fill="auto"/>
            <w:noWrap/>
            <w:vAlign w:val="bottom"/>
            <w:hideMark/>
          </w:tcPr>
          <w:p w14:paraId="55804B4E"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Kultur- och kulturmiljöförvaltning</w:t>
            </w:r>
          </w:p>
        </w:tc>
        <w:tc>
          <w:tcPr>
            <w:tcW w:w="1346" w:type="dxa"/>
            <w:tcBorders>
              <w:top w:val="nil"/>
              <w:left w:val="nil"/>
              <w:bottom w:val="nil"/>
              <w:right w:val="nil"/>
            </w:tcBorders>
            <w:shd w:val="clear" w:color="auto" w:fill="auto"/>
            <w:noWrap/>
            <w:vAlign w:val="bottom"/>
            <w:hideMark/>
          </w:tcPr>
          <w:p w14:paraId="35D5D191"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-45 000</w:t>
            </w:r>
          </w:p>
        </w:tc>
        <w:tc>
          <w:tcPr>
            <w:tcW w:w="1347" w:type="dxa"/>
            <w:tcBorders>
              <w:top w:val="nil"/>
              <w:left w:val="nil"/>
              <w:bottom w:val="nil"/>
              <w:right w:val="nil"/>
            </w:tcBorders>
            <w:shd w:val="clear" w:color="auto" w:fill="auto"/>
            <w:noWrap/>
            <w:vAlign w:val="bottom"/>
            <w:hideMark/>
          </w:tcPr>
          <w:p w14:paraId="66D58688"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5FEFF839" w14:textId="77777777" w:rsidTr="001B6DBC">
        <w:trPr>
          <w:trHeight w:val="300"/>
        </w:trPr>
        <w:tc>
          <w:tcPr>
            <w:tcW w:w="1020" w:type="dxa"/>
            <w:tcBorders>
              <w:top w:val="nil"/>
              <w:left w:val="nil"/>
              <w:bottom w:val="nil"/>
              <w:right w:val="nil"/>
            </w:tcBorders>
            <w:shd w:val="clear" w:color="auto" w:fill="auto"/>
            <w:noWrap/>
            <w:vAlign w:val="bottom"/>
            <w:hideMark/>
          </w:tcPr>
          <w:p w14:paraId="45FF6830"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724CE0C3"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0A578531"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A9D4F16"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46C99FFF" w14:textId="77777777" w:rsidTr="001B6DBC">
        <w:trPr>
          <w:trHeight w:val="300"/>
        </w:trPr>
        <w:tc>
          <w:tcPr>
            <w:tcW w:w="1020" w:type="dxa"/>
            <w:tcBorders>
              <w:top w:val="nil"/>
              <w:left w:val="nil"/>
              <w:bottom w:val="nil"/>
              <w:right w:val="nil"/>
            </w:tcBorders>
            <w:shd w:val="clear" w:color="auto" w:fill="auto"/>
            <w:noWrap/>
            <w:vAlign w:val="bottom"/>
            <w:hideMark/>
          </w:tcPr>
          <w:p w14:paraId="14129EDE"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516</w:t>
            </w:r>
          </w:p>
        </w:tc>
        <w:tc>
          <w:tcPr>
            <w:tcW w:w="6068" w:type="dxa"/>
            <w:tcBorders>
              <w:top w:val="nil"/>
              <w:left w:val="nil"/>
              <w:bottom w:val="nil"/>
              <w:right w:val="nil"/>
            </w:tcBorders>
            <w:shd w:val="clear" w:color="auto" w:fill="auto"/>
            <w:noWrap/>
            <w:vAlign w:val="bottom"/>
            <w:hideMark/>
          </w:tcPr>
          <w:p w14:paraId="29655D4D"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Penningautomatmedel för kulturell verksamhet</w:t>
            </w:r>
          </w:p>
        </w:tc>
        <w:tc>
          <w:tcPr>
            <w:tcW w:w="1346" w:type="dxa"/>
            <w:tcBorders>
              <w:top w:val="nil"/>
              <w:left w:val="nil"/>
              <w:bottom w:val="nil"/>
              <w:right w:val="nil"/>
            </w:tcBorders>
            <w:shd w:val="clear" w:color="auto" w:fill="auto"/>
            <w:noWrap/>
            <w:vAlign w:val="bottom"/>
            <w:hideMark/>
          </w:tcPr>
          <w:p w14:paraId="30B924B8"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-300 000</w:t>
            </w:r>
          </w:p>
        </w:tc>
        <w:tc>
          <w:tcPr>
            <w:tcW w:w="1347" w:type="dxa"/>
            <w:tcBorders>
              <w:top w:val="nil"/>
              <w:left w:val="nil"/>
              <w:bottom w:val="nil"/>
              <w:right w:val="nil"/>
            </w:tcBorders>
            <w:shd w:val="clear" w:color="auto" w:fill="auto"/>
            <w:noWrap/>
            <w:vAlign w:val="bottom"/>
            <w:hideMark/>
          </w:tcPr>
          <w:p w14:paraId="49C28734"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0B5816C7" w14:textId="77777777" w:rsidTr="001B6DBC">
        <w:trPr>
          <w:trHeight w:val="300"/>
        </w:trPr>
        <w:tc>
          <w:tcPr>
            <w:tcW w:w="1020" w:type="dxa"/>
            <w:tcBorders>
              <w:top w:val="nil"/>
              <w:left w:val="nil"/>
              <w:bottom w:val="nil"/>
              <w:right w:val="nil"/>
            </w:tcBorders>
            <w:shd w:val="clear" w:color="auto" w:fill="auto"/>
            <w:noWrap/>
            <w:vAlign w:val="bottom"/>
            <w:hideMark/>
          </w:tcPr>
          <w:p w14:paraId="400BC5C4"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51600</w:t>
            </w:r>
            <w:proofErr w:type="gramEnd"/>
          </w:p>
        </w:tc>
        <w:tc>
          <w:tcPr>
            <w:tcW w:w="6068" w:type="dxa"/>
            <w:tcBorders>
              <w:top w:val="nil"/>
              <w:left w:val="nil"/>
              <w:bottom w:val="nil"/>
              <w:right w:val="nil"/>
            </w:tcBorders>
            <w:shd w:val="clear" w:color="auto" w:fill="auto"/>
            <w:noWrap/>
            <w:vAlign w:val="bottom"/>
            <w:hideMark/>
          </w:tcPr>
          <w:p w14:paraId="1EAEB8A9"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Penningautomatmedel för kulturell verksamhet, överföringar (R)</w:t>
            </w:r>
          </w:p>
        </w:tc>
        <w:tc>
          <w:tcPr>
            <w:tcW w:w="1346" w:type="dxa"/>
            <w:tcBorders>
              <w:top w:val="nil"/>
              <w:left w:val="nil"/>
              <w:bottom w:val="nil"/>
              <w:right w:val="nil"/>
            </w:tcBorders>
            <w:shd w:val="clear" w:color="auto" w:fill="auto"/>
            <w:noWrap/>
            <w:vAlign w:val="bottom"/>
            <w:hideMark/>
          </w:tcPr>
          <w:p w14:paraId="2FEEF7AC"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-300 000</w:t>
            </w:r>
          </w:p>
        </w:tc>
        <w:tc>
          <w:tcPr>
            <w:tcW w:w="1347" w:type="dxa"/>
            <w:tcBorders>
              <w:top w:val="nil"/>
              <w:left w:val="nil"/>
              <w:bottom w:val="nil"/>
              <w:right w:val="nil"/>
            </w:tcBorders>
            <w:shd w:val="clear" w:color="auto" w:fill="auto"/>
            <w:noWrap/>
            <w:vAlign w:val="bottom"/>
            <w:hideMark/>
          </w:tcPr>
          <w:p w14:paraId="7DA057E0"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3313DC3F" w14:textId="77777777" w:rsidTr="001B6DBC">
        <w:trPr>
          <w:trHeight w:val="300"/>
        </w:trPr>
        <w:tc>
          <w:tcPr>
            <w:tcW w:w="1020" w:type="dxa"/>
            <w:tcBorders>
              <w:top w:val="nil"/>
              <w:left w:val="nil"/>
              <w:bottom w:val="nil"/>
              <w:right w:val="nil"/>
            </w:tcBorders>
            <w:shd w:val="clear" w:color="auto" w:fill="auto"/>
            <w:noWrap/>
            <w:vAlign w:val="bottom"/>
            <w:hideMark/>
          </w:tcPr>
          <w:p w14:paraId="4D6E8112"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235A72E5"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5FF68F7C"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10EB6F27"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6A9FE2C0" w14:textId="77777777" w:rsidTr="001B6DBC">
        <w:trPr>
          <w:trHeight w:val="300"/>
        </w:trPr>
        <w:tc>
          <w:tcPr>
            <w:tcW w:w="1020" w:type="dxa"/>
            <w:tcBorders>
              <w:top w:val="nil"/>
              <w:left w:val="nil"/>
              <w:bottom w:val="nil"/>
              <w:right w:val="nil"/>
            </w:tcBorders>
            <w:shd w:val="clear" w:color="auto" w:fill="auto"/>
            <w:noWrap/>
            <w:vAlign w:val="bottom"/>
            <w:hideMark/>
          </w:tcPr>
          <w:p w14:paraId="1BF535C1"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700</w:t>
            </w:r>
          </w:p>
        </w:tc>
        <w:tc>
          <w:tcPr>
            <w:tcW w:w="6068" w:type="dxa"/>
            <w:tcBorders>
              <w:top w:val="nil"/>
              <w:left w:val="nil"/>
              <w:bottom w:val="nil"/>
              <w:right w:val="nil"/>
            </w:tcBorders>
            <w:shd w:val="clear" w:color="auto" w:fill="auto"/>
            <w:noWrap/>
            <w:vAlign w:val="bottom"/>
            <w:hideMark/>
          </w:tcPr>
          <w:p w14:paraId="291BF0ED"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Infrastrukturavdelningens förvaltningsområde</w:t>
            </w:r>
          </w:p>
        </w:tc>
        <w:tc>
          <w:tcPr>
            <w:tcW w:w="1346" w:type="dxa"/>
            <w:tcBorders>
              <w:top w:val="nil"/>
              <w:left w:val="nil"/>
              <w:bottom w:val="nil"/>
              <w:right w:val="nil"/>
            </w:tcBorders>
            <w:shd w:val="clear" w:color="auto" w:fill="auto"/>
            <w:noWrap/>
            <w:vAlign w:val="bottom"/>
            <w:hideMark/>
          </w:tcPr>
          <w:p w14:paraId="2FF67656"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c>
          <w:tcPr>
            <w:tcW w:w="1347" w:type="dxa"/>
            <w:tcBorders>
              <w:top w:val="nil"/>
              <w:left w:val="nil"/>
              <w:bottom w:val="nil"/>
              <w:right w:val="nil"/>
            </w:tcBorders>
            <w:shd w:val="clear" w:color="auto" w:fill="auto"/>
            <w:noWrap/>
            <w:vAlign w:val="bottom"/>
            <w:hideMark/>
          </w:tcPr>
          <w:p w14:paraId="1D268A99"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6AAD1B50" w14:textId="77777777" w:rsidTr="001B6DBC">
        <w:trPr>
          <w:trHeight w:val="300"/>
        </w:trPr>
        <w:tc>
          <w:tcPr>
            <w:tcW w:w="1020" w:type="dxa"/>
            <w:tcBorders>
              <w:top w:val="nil"/>
              <w:left w:val="nil"/>
              <w:bottom w:val="nil"/>
              <w:right w:val="nil"/>
            </w:tcBorders>
            <w:shd w:val="clear" w:color="auto" w:fill="auto"/>
            <w:noWrap/>
            <w:vAlign w:val="bottom"/>
            <w:hideMark/>
          </w:tcPr>
          <w:p w14:paraId="12CAD16B"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09D0BE68"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282548AA"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39617408"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0E119A97" w14:textId="77777777" w:rsidTr="001B6DBC">
        <w:trPr>
          <w:trHeight w:val="300"/>
        </w:trPr>
        <w:tc>
          <w:tcPr>
            <w:tcW w:w="1020" w:type="dxa"/>
            <w:tcBorders>
              <w:top w:val="nil"/>
              <w:left w:val="nil"/>
              <w:bottom w:val="nil"/>
              <w:right w:val="nil"/>
            </w:tcBorders>
            <w:shd w:val="clear" w:color="auto" w:fill="auto"/>
            <w:noWrap/>
            <w:vAlign w:val="bottom"/>
            <w:hideMark/>
          </w:tcPr>
          <w:p w14:paraId="0DFDC60D"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747</w:t>
            </w:r>
          </w:p>
        </w:tc>
        <w:tc>
          <w:tcPr>
            <w:tcW w:w="6068" w:type="dxa"/>
            <w:tcBorders>
              <w:top w:val="nil"/>
              <w:left w:val="nil"/>
              <w:bottom w:val="nil"/>
              <w:right w:val="nil"/>
            </w:tcBorders>
            <w:shd w:val="clear" w:color="auto" w:fill="auto"/>
            <w:noWrap/>
            <w:vAlign w:val="bottom"/>
            <w:hideMark/>
          </w:tcPr>
          <w:p w14:paraId="5BA3891C"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Övrig trafik</w:t>
            </w:r>
          </w:p>
        </w:tc>
        <w:tc>
          <w:tcPr>
            <w:tcW w:w="1346" w:type="dxa"/>
            <w:tcBorders>
              <w:top w:val="nil"/>
              <w:left w:val="nil"/>
              <w:bottom w:val="nil"/>
              <w:right w:val="nil"/>
            </w:tcBorders>
            <w:shd w:val="clear" w:color="auto" w:fill="auto"/>
            <w:noWrap/>
            <w:vAlign w:val="bottom"/>
            <w:hideMark/>
          </w:tcPr>
          <w:p w14:paraId="2BCFCD57"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c>
          <w:tcPr>
            <w:tcW w:w="1347" w:type="dxa"/>
            <w:tcBorders>
              <w:top w:val="nil"/>
              <w:left w:val="nil"/>
              <w:bottom w:val="nil"/>
              <w:right w:val="nil"/>
            </w:tcBorders>
            <w:shd w:val="clear" w:color="auto" w:fill="auto"/>
            <w:noWrap/>
            <w:vAlign w:val="bottom"/>
            <w:hideMark/>
          </w:tcPr>
          <w:p w14:paraId="5E055819"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31FC266C" w14:textId="77777777" w:rsidTr="001B6DBC">
        <w:trPr>
          <w:trHeight w:val="300"/>
        </w:trPr>
        <w:tc>
          <w:tcPr>
            <w:tcW w:w="1020" w:type="dxa"/>
            <w:tcBorders>
              <w:top w:val="nil"/>
              <w:left w:val="nil"/>
              <w:bottom w:val="nil"/>
              <w:right w:val="nil"/>
            </w:tcBorders>
            <w:shd w:val="clear" w:color="auto" w:fill="auto"/>
            <w:noWrap/>
            <w:vAlign w:val="bottom"/>
            <w:hideMark/>
          </w:tcPr>
          <w:p w14:paraId="54644EB9"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74700</w:t>
            </w:r>
            <w:proofErr w:type="gramEnd"/>
          </w:p>
        </w:tc>
        <w:tc>
          <w:tcPr>
            <w:tcW w:w="6068" w:type="dxa"/>
            <w:tcBorders>
              <w:top w:val="nil"/>
              <w:left w:val="nil"/>
              <w:bottom w:val="nil"/>
              <w:right w:val="nil"/>
            </w:tcBorders>
            <w:shd w:val="clear" w:color="auto" w:fill="auto"/>
            <w:noWrap/>
            <w:vAlign w:val="bottom"/>
            <w:hideMark/>
          </w:tcPr>
          <w:p w14:paraId="272CEE11"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Övrig trafik, överföringar</w:t>
            </w:r>
          </w:p>
        </w:tc>
        <w:tc>
          <w:tcPr>
            <w:tcW w:w="1346" w:type="dxa"/>
            <w:tcBorders>
              <w:top w:val="nil"/>
              <w:left w:val="nil"/>
              <w:bottom w:val="nil"/>
              <w:right w:val="nil"/>
            </w:tcBorders>
            <w:shd w:val="clear" w:color="auto" w:fill="auto"/>
            <w:noWrap/>
            <w:vAlign w:val="bottom"/>
            <w:hideMark/>
          </w:tcPr>
          <w:p w14:paraId="01B5DA5F"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c>
          <w:tcPr>
            <w:tcW w:w="1347" w:type="dxa"/>
            <w:tcBorders>
              <w:top w:val="nil"/>
              <w:left w:val="nil"/>
              <w:bottom w:val="nil"/>
              <w:right w:val="nil"/>
            </w:tcBorders>
            <w:shd w:val="clear" w:color="auto" w:fill="auto"/>
            <w:noWrap/>
            <w:vAlign w:val="bottom"/>
            <w:hideMark/>
          </w:tcPr>
          <w:p w14:paraId="388719F9"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4249DFB5" w14:textId="77777777" w:rsidTr="001B6DBC">
        <w:trPr>
          <w:trHeight w:val="300"/>
        </w:trPr>
        <w:tc>
          <w:tcPr>
            <w:tcW w:w="1020" w:type="dxa"/>
            <w:tcBorders>
              <w:top w:val="nil"/>
              <w:left w:val="nil"/>
              <w:bottom w:val="nil"/>
              <w:right w:val="nil"/>
            </w:tcBorders>
            <w:shd w:val="clear" w:color="auto" w:fill="auto"/>
            <w:noWrap/>
            <w:vAlign w:val="bottom"/>
            <w:hideMark/>
          </w:tcPr>
          <w:p w14:paraId="315ADA39"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05728025"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14AAD134"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78286F7C"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096676DE" w14:textId="77777777" w:rsidTr="001B6DBC">
        <w:trPr>
          <w:trHeight w:val="375"/>
        </w:trPr>
        <w:tc>
          <w:tcPr>
            <w:tcW w:w="1020" w:type="dxa"/>
            <w:tcBorders>
              <w:top w:val="nil"/>
              <w:left w:val="nil"/>
              <w:bottom w:val="nil"/>
              <w:right w:val="nil"/>
            </w:tcBorders>
            <w:shd w:val="clear" w:color="auto" w:fill="auto"/>
            <w:noWrap/>
            <w:vAlign w:val="bottom"/>
            <w:hideMark/>
          </w:tcPr>
          <w:p w14:paraId="542767CB"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80 - 88</w:t>
            </w:r>
          </w:p>
        </w:tc>
        <w:tc>
          <w:tcPr>
            <w:tcW w:w="6068" w:type="dxa"/>
            <w:tcBorders>
              <w:top w:val="nil"/>
              <w:left w:val="nil"/>
              <w:bottom w:val="nil"/>
              <w:right w:val="nil"/>
            </w:tcBorders>
            <w:shd w:val="clear" w:color="auto" w:fill="auto"/>
            <w:noWrap/>
            <w:vAlign w:val="bottom"/>
            <w:hideMark/>
          </w:tcPr>
          <w:p w14:paraId="06C5B995" w14:textId="77777777" w:rsidR="001B6DBC" w:rsidRPr="001B6DBC" w:rsidRDefault="001B6DBC" w:rsidP="001B6DBC">
            <w:pPr>
              <w:spacing w:before="0" w:after="0"/>
              <w:rPr>
                <w:rFonts w:eastAsia="Times New Roman"/>
                <w:b/>
                <w:bCs/>
                <w:szCs w:val="20"/>
                <w:lang w:val="sv-FI" w:eastAsia="sv-FI"/>
              </w:rPr>
            </w:pPr>
            <w:r w:rsidRPr="001B6DBC">
              <w:rPr>
                <w:rFonts w:eastAsia="Times New Roman"/>
                <w:b/>
                <w:bCs/>
                <w:szCs w:val="20"/>
                <w:lang w:val="sv-FI" w:eastAsia="sv-FI"/>
              </w:rPr>
              <w:t>Myndigheter samt fristående enheter</w:t>
            </w:r>
          </w:p>
        </w:tc>
        <w:tc>
          <w:tcPr>
            <w:tcW w:w="1346" w:type="dxa"/>
            <w:tcBorders>
              <w:top w:val="nil"/>
              <w:left w:val="nil"/>
              <w:bottom w:val="nil"/>
              <w:right w:val="nil"/>
            </w:tcBorders>
            <w:shd w:val="clear" w:color="auto" w:fill="auto"/>
            <w:noWrap/>
            <w:vAlign w:val="bottom"/>
            <w:hideMark/>
          </w:tcPr>
          <w:p w14:paraId="6A6D2CA5"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-290 000</w:t>
            </w:r>
          </w:p>
        </w:tc>
        <w:tc>
          <w:tcPr>
            <w:tcW w:w="1347" w:type="dxa"/>
            <w:tcBorders>
              <w:top w:val="nil"/>
              <w:left w:val="nil"/>
              <w:bottom w:val="nil"/>
              <w:right w:val="nil"/>
            </w:tcBorders>
            <w:shd w:val="clear" w:color="auto" w:fill="auto"/>
            <w:noWrap/>
            <w:vAlign w:val="bottom"/>
            <w:hideMark/>
          </w:tcPr>
          <w:p w14:paraId="79569386"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770F1A7F" w14:textId="77777777" w:rsidTr="001B6DBC">
        <w:trPr>
          <w:trHeight w:val="300"/>
        </w:trPr>
        <w:tc>
          <w:tcPr>
            <w:tcW w:w="1020" w:type="dxa"/>
            <w:tcBorders>
              <w:top w:val="nil"/>
              <w:left w:val="nil"/>
              <w:bottom w:val="nil"/>
              <w:right w:val="nil"/>
            </w:tcBorders>
            <w:shd w:val="clear" w:color="auto" w:fill="auto"/>
            <w:noWrap/>
            <w:vAlign w:val="bottom"/>
            <w:hideMark/>
          </w:tcPr>
          <w:p w14:paraId="3AEAC770" w14:textId="77777777" w:rsidR="001B6DBC" w:rsidRPr="001B6DBC" w:rsidRDefault="001B6DBC" w:rsidP="001B6DBC">
            <w:pPr>
              <w:spacing w:before="0" w:after="0"/>
              <w:jc w:val="right"/>
              <w:rPr>
                <w:rFonts w:eastAsia="Times New Roman"/>
                <w:b/>
                <w:bCs/>
                <w:szCs w:val="20"/>
                <w:lang w:val="sv-FI" w:eastAsia="sv-FI"/>
              </w:rPr>
            </w:pPr>
          </w:p>
        </w:tc>
        <w:tc>
          <w:tcPr>
            <w:tcW w:w="6068" w:type="dxa"/>
            <w:tcBorders>
              <w:top w:val="nil"/>
              <w:left w:val="nil"/>
              <w:bottom w:val="nil"/>
              <w:right w:val="nil"/>
            </w:tcBorders>
            <w:shd w:val="clear" w:color="auto" w:fill="auto"/>
            <w:noWrap/>
            <w:vAlign w:val="bottom"/>
            <w:hideMark/>
          </w:tcPr>
          <w:p w14:paraId="5BF1F4A5"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6C43396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69FF027B"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5F9BF586" w14:textId="77777777" w:rsidTr="001B6DBC">
        <w:trPr>
          <w:trHeight w:val="300"/>
        </w:trPr>
        <w:tc>
          <w:tcPr>
            <w:tcW w:w="1020" w:type="dxa"/>
            <w:tcBorders>
              <w:top w:val="nil"/>
              <w:left w:val="nil"/>
              <w:bottom w:val="nil"/>
              <w:right w:val="nil"/>
            </w:tcBorders>
            <w:shd w:val="clear" w:color="auto" w:fill="auto"/>
            <w:noWrap/>
            <w:vAlign w:val="bottom"/>
            <w:hideMark/>
          </w:tcPr>
          <w:p w14:paraId="197876F8"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840</w:t>
            </w:r>
          </w:p>
        </w:tc>
        <w:tc>
          <w:tcPr>
            <w:tcW w:w="6068" w:type="dxa"/>
            <w:tcBorders>
              <w:top w:val="nil"/>
              <w:left w:val="nil"/>
              <w:bottom w:val="nil"/>
              <w:right w:val="nil"/>
            </w:tcBorders>
            <w:shd w:val="clear" w:color="auto" w:fill="auto"/>
            <w:noWrap/>
            <w:vAlign w:val="bottom"/>
            <w:hideMark/>
          </w:tcPr>
          <w:p w14:paraId="3D78D33F"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Ålands hälso- och sjukvård</w:t>
            </w:r>
          </w:p>
        </w:tc>
        <w:tc>
          <w:tcPr>
            <w:tcW w:w="1346" w:type="dxa"/>
            <w:tcBorders>
              <w:top w:val="nil"/>
              <w:left w:val="nil"/>
              <w:bottom w:val="nil"/>
              <w:right w:val="nil"/>
            </w:tcBorders>
            <w:shd w:val="clear" w:color="auto" w:fill="auto"/>
            <w:noWrap/>
            <w:vAlign w:val="bottom"/>
            <w:hideMark/>
          </w:tcPr>
          <w:p w14:paraId="5F4CF8D8"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-280 000</w:t>
            </w:r>
          </w:p>
        </w:tc>
        <w:tc>
          <w:tcPr>
            <w:tcW w:w="1347" w:type="dxa"/>
            <w:tcBorders>
              <w:top w:val="nil"/>
              <w:left w:val="nil"/>
              <w:bottom w:val="nil"/>
              <w:right w:val="nil"/>
            </w:tcBorders>
            <w:shd w:val="clear" w:color="auto" w:fill="auto"/>
            <w:noWrap/>
            <w:vAlign w:val="bottom"/>
            <w:hideMark/>
          </w:tcPr>
          <w:p w14:paraId="26F351F5"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4836674A" w14:textId="77777777" w:rsidTr="001B6DBC">
        <w:trPr>
          <w:trHeight w:val="300"/>
        </w:trPr>
        <w:tc>
          <w:tcPr>
            <w:tcW w:w="1020" w:type="dxa"/>
            <w:tcBorders>
              <w:top w:val="nil"/>
              <w:left w:val="nil"/>
              <w:bottom w:val="nil"/>
              <w:right w:val="nil"/>
            </w:tcBorders>
            <w:shd w:val="clear" w:color="auto" w:fill="auto"/>
            <w:noWrap/>
            <w:vAlign w:val="bottom"/>
            <w:hideMark/>
          </w:tcPr>
          <w:p w14:paraId="7D27077E"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84000</w:t>
            </w:r>
            <w:proofErr w:type="gramEnd"/>
          </w:p>
        </w:tc>
        <w:tc>
          <w:tcPr>
            <w:tcW w:w="6068" w:type="dxa"/>
            <w:tcBorders>
              <w:top w:val="nil"/>
              <w:left w:val="nil"/>
              <w:bottom w:val="nil"/>
              <w:right w:val="nil"/>
            </w:tcBorders>
            <w:shd w:val="clear" w:color="auto" w:fill="auto"/>
            <w:noWrap/>
            <w:vAlign w:val="bottom"/>
            <w:hideMark/>
          </w:tcPr>
          <w:p w14:paraId="5D57699A"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Ålands hälso- och sjukvård, verksamhet</w:t>
            </w:r>
          </w:p>
        </w:tc>
        <w:tc>
          <w:tcPr>
            <w:tcW w:w="1346" w:type="dxa"/>
            <w:tcBorders>
              <w:top w:val="nil"/>
              <w:left w:val="nil"/>
              <w:bottom w:val="nil"/>
              <w:right w:val="nil"/>
            </w:tcBorders>
            <w:shd w:val="clear" w:color="auto" w:fill="auto"/>
            <w:noWrap/>
            <w:vAlign w:val="bottom"/>
            <w:hideMark/>
          </w:tcPr>
          <w:p w14:paraId="7D7B2A75"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-280 000</w:t>
            </w:r>
          </w:p>
        </w:tc>
        <w:tc>
          <w:tcPr>
            <w:tcW w:w="1347" w:type="dxa"/>
            <w:tcBorders>
              <w:top w:val="nil"/>
              <w:left w:val="nil"/>
              <w:bottom w:val="nil"/>
              <w:right w:val="nil"/>
            </w:tcBorders>
            <w:shd w:val="clear" w:color="auto" w:fill="auto"/>
            <w:noWrap/>
            <w:vAlign w:val="bottom"/>
            <w:hideMark/>
          </w:tcPr>
          <w:p w14:paraId="7918D1D2"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741B8FC6" w14:textId="77777777" w:rsidTr="001B6DBC">
        <w:trPr>
          <w:trHeight w:val="300"/>
        </w:trPr>
        <w:tc>
          <w:tcPr>
            <w:tcW w:w="1020" w:type="dxa"/>
            <w:tcBorders>
              <w:top w:val="nil"/>
              <w:left w:val="nil"/>
              <w:bottom w:val="nil"/>
              <w:right w:val="nil"/>
            </w:tcBorders>
            <w:shd w:val="clear" w:color="auto" w:fill="auto"/>
            <w:noWrap/>
            <w:vAlign w:val="bottom"/>
            <w:hideMark/>
          </w:tcPr>
          <w:p w14:paraId="6A25616A"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3717100D"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0ACF95D2"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8B35D9F"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A77F9B" w:rsidRPr="001B6DBC" w14:paraId="7DB9F0F1" w14:textId="77777777" w:rsidTr="001B6DBC">
        <w:trPr>
          <w:trHeight w:val="300"/>
        </w:trPr>
        <w:tc>
          <w:tcPr>
            <w:tcW w:w="1020" w:type="dxa"/>
            <w:tcBorders>
              <w:top w:val="nil"/>
              <w:left w:val="nil"/>
              <w:bottom w:val="nil"/>
              <w:right w:val="nil"/>
            </w:tcBorders>
            <w:shd w:val="clear" w:color="auto" w:fill="auto"/>
            <w:noWrap/>
            <w:vAlign w:val="bottom"/>
          </w:tcPr>
          <w:p w14:paraId="1C71DB05" w14:textId="77777777" w:rsidR="00A77F9B" w:rsidRPr="001B6DBC" w:rsidRDefault="00A77F9B" w:rsidP="001B6DBC">
            <w:pPr>
              <w:spacing w:before="0" w:after="0"/>
              <w:rPr>
                <w:rFonts w:eastAsia="Times New Roman"/>
                <w:szCs w:val="20"/>
                <w:lang w:val="sv-FI" w:eastAsia="sv-FI"/>
              </w:rPr>
            </w:pPr>
          </w:p>
        </w:tc>
        <w:tc>
          <w:tcPr>
            <w:tcW w:w="6068" w:type="dxa"/>
            <w:tcBorders>
              <w:top w:val="nil"/>
              <w:left w:val="nil"/>
              <w:bottom w:val="nil"/>
              <w:right w:val="nil"/>
            </w:tcBorders>
            <w:shd w:val="clear" w:color="auto" w:fill="auto"/>
            <w:noWrap/>
            <w:vAlign w:val="bottom"/>
          </w:tcPr>
          <w:p w14:paraId="56EC14B9" w14:textId="77777777" w:rsidR="00A77F9B" w:rsidRPr="001B6DBC" w:rsidRDefault="00A77F9B" w:rsidP="001B6DBC">
            <w:pPr>
              <w:spacing w:before="0" w:after="0"/>
              <w:rPr>
                <w:rFonts w:eastAsia="Times New Roman"/>
                <w:szCs w:val="20"/>
                <w:lang w:val="sv-FI" w:eastAsia="sv-FI"/>
              </w:rPr>
            </w:pPr>
          </w:p>
        </w:tc>
        <w:tc>
          <w:tcPr>
            <w:tcW w:w="1346" w:type="dxa"/>
            <w:tcBorders>
              <w:top w:val="nil"/>
              <w:left w:val="nil"/>
              <w:bottom w:val="nil"/>
              <w:right w:val="nil"/>
            </w:tcBorders>
            <w:shd w:val="clear" w:color="auto" w:fill="auto"/>
            <w:noWrap/>
            <w:vAlign w:val="bottom"/>
          </w:tcPr>
          <w:p w14:paraId="39E3E91B" w14:textId="77777777" w:rsidR="00A77F9B" w:rsidRPr="001B6DBC" w:rsidRDefault="00A77F9B" w:rsidP="001B6DBC">
            <w:pPr>
              <w:spacing w:before="0" w:after="0"/>
              <w:jc w:val="right"/>
              <w:rPr>
                <w:rFonts w:eastAsia="Times New Roman"/>
                <w:szCs w:val="20"/>
                <w:u w:val="single"/>
                <w:lang w:val="sv-FI" w:eastAsia="sv-FI"/>
              </w:rPr>
            </w:pPr>
          </w:p>
        </w:tc>
        <w:tc>
          <w:tcPr>
            <w:tcW w:w="1347" w:type="dxa"/>
            <w:tcBorders>
              <w:top w:val="nil"/>
              <w:left w:val="nil"/>
              <w:bottom w:val="nil"/>
              <w:right w:val="nil"/>
            </w:tcBorders>
            <w:shd w:val="clear" w:color="auto" w:fill="auto"/>
            <w:noWrap/>
            <w:vAlign w:val="bottom"/>
          </w:tcPr>
          <w:p w14:paraId="777279DC" w14:textId="77777777" w:rsidR="00A77F9B" w:rsidRPr="001B6DBC" w:rsidRDefault="00A77F9B" w:rsidP="001B6DBC">
            <w:pPr>
              <w:spacing w:before="0" w:after="0"/>
              <w:jc w:val="right"/>
              <w:rPr>
                <w:rFonts w:eastAsia="Times New Roman"/>
                <w:szCs w:val="20"/>
                <w:u w:val="single"/>
                <w:lang w:val="sv-FI" w:eastAsia="sv-FI"/>
              </w:rPr>
            </w:pPr>
          </w:p>
        </w:tc>
      </w:tr>
      <w:tr w:rsidR="001B6DBC" w:rsidRPr="001B6DBC" w14:paraId="495E5602" w14:textId="77777777" w:rsidTr="001B6DBC">
        <w:trPr>
          <w:trHeight w:val="300"/>
        </w:trPr>
        <w:tc>
          <w:tcPr>
            <w:tcW w:w="1020" w:type="dxa"/>
            <w:tcBorders>
              <w:top w:val="nil"/>
              <w:left w:val="nil"/>
              <w:bottom w:val="nil"/>
              <w:right w:val="nil"/>
            </w:tcBorders>
            <w:shd w:val="clear" w:color="auto" w:fill="auto"/>
            <w:noWrap/>
            <w:vAlign w:val="bottom"/>
            <w:hideMark/>
          </w:tcPr>
          <w:p w14:paraId="60679829"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860</w:t>
            </w:r>
          </w:p>
        </w:tc>
        <w:tc>
          <w:tcPr>
            <w:tcW w:w="6068" w:type="dxa"/>
            <w:tcBorders>
              <w:top w:val="nil"/>
              <w:left w:val="nil"/>
              <w:bottom w:val="nil"/>
              <w:right w:val="nil"/>
            </w:tcBorders>
            <w:shd w:val="clear" w:color="auto" w:fill="auto"/>
            <w:noWrap/>
            <w:vAlign w:val="bottom"/>
            <w:hideMark/>
          </w:tcPr>
          <w:p w14:paraId="01455934"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Ålands arbetsmarknads- och studieservicemyndighet</w:t>
            </w:r>
          </w:p>
        </w:tc>
        <w:tc>
          <w:tcPr>
            <w:tcW w:w="1346" w:type="dxa"/>
            <w:tcBorders>
              <w:top w:val="nil"/>
              <w:left w:val="nil"/>
              <w:bottom w:val="nil"/>
              <w:right w:val="nil"/>
            </w:tcBorders>
            <w:shd w:val="clear" w:color="auto" w:fill="auto"/>
            <w:noWrap/>
            <w:vAlign w:val="bottom"/>
            <w:hideMark/>
          </w:tcPr>
          <w:p w14:paraId="5C7BE07A"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-10 000</w:t>
            </w:r>
          </w:p>
        </w:tc>
        <w:tc>
          <w:tcPr>
            <w:tcW w:w="1347" w:type="dxa"/>
            <w:tcBorders>
              <w:top w:val="nil"/>
              <w:left w:val="nil"/>
              <w:bottom w:val="nil"/>
              <w:right w:val="nil"/>
            </w:tcBorders>
            <w:shd w:val="clear" w:color="auto" w:fill="auto"/>
            <w:noWrap/>
            <w:vAlign w:val="bottom"/>
            <w:hideMark/>
          </w:tcPr>
          <w:p w14:paraId="175F9831" w14:textId="77777777" w:rsidR="001B6DBC" w:rsidRPr="001B6DBC" w:rsidRDefault="001B6DBC" w:rsidP="001B6DBC">
            <w:pPr>
              <w:spacing w:before="0" w:after="0"/>
              <w:jc w:val="right"/>
              <w:rPr>
                <w:rFonts w:eastAsia="Times New Roman"/>
                <w:szCs w:val="20"/>
                <w:u w:val="single"/>
                <w:lang w:val="sv-FI" w:eastAsia="sv-FI"/>
              </w:rPr>
            </w:pPr>
            <w:r w:rsidRPr="001B6DBC">
              <w:rPr>
                <w:rFonts w:eastAsia="Times New Roman"/>
                <w:szCs w:val="20"/>
                <w:u w:val="single"/>
                <w:lang w:val="sv-FI" w:eastAsia="sv-FI"/>
              </w:rPr>
              <w:t>0</w:t>
            </w:r>
          </w:p>
        </w:tc>
      </w:tr>
      <w:tr w:rsidR="001B6DBC" w:rsidRPr="001B6DBC" w14:paraId="7827B858" w14:textId="77777777" w:rsidTr="001B6DBC">
        <w:trPr>
          <w:trHeight w:val="300"/>
        </w:trPr>
        <w:tc>
          <w:tcPr>
            <w:tcW w:w="1020" w:type="dxa"/>
            <w:tcBorders>
              <w:top w:val="nil"/>
              <w:left w:val="nil"/>
              <w:bottom w:val="nil"/>
              <w:right w:val="nil"/>
            </w:tcBorders>
            <w:shd w:val="clear" w:color="auto" w:fill="auto"/>
            <w:noWrap/>
            <w:vAlign w:val="bottom"/>
            <w:hideMark/>
          </w:tcPr>
          <w:p w14:paraId="43166C22" w14:textId="77777777" w:rsidR="001B6DBC" w:rsidRPr="001B6DBC" w:rsidRDefault="001B6DBC" w:rsidP="001B6DBC">
            <w:pPr>
              <w:spacing w:before="0" w:after="0"/>
              <w:rPr>
                <w:rFonts w:eastAsia="Times New Roman"/>
                <w:szCs w:val="20"/>
                <w:lang w:val="sv-FI" w:eastAsia="sv-FI"/>
              </w:rPr>
            </w:pPr>
            <w:proofErr w:type="gramStart"/>
            <w:r w:rsidRPr="001B6DBC">
              <w:rPr>
                <w:rFonts w:eastAsia="Times New Roman"/>
                <w:szCs w:val="20"/>
                <w:lang w:val="sv-FI" w:eastAsia="sv-FI"/>
              </w:rPr>
              <w:t>86050</w:t>
            </w:r>
            <w:proofErr w:type="gramEnd"/>
          </w:p>
        </w:tc>
        <w:tc>
          <w:tcPr>
            <w:tcW w:w="6068" w:type="dxa"/>
            <w:tcBorders>
              <w:top w:val="nil"/>
              <w:left w:val="nil"/>
              <w:bottom w:val="nil"/>
              <w:right w:val="nil"/>
            </w:tcBorders>
            <w:shd w:val="clear" w:color="auto" w:fill="auto"/>
            <w:noWrap/>
            <w:vAlign w:val="bottom"/>
            <w:hideMark/>
          </w:tcPr>
          <w:p w14:paraId="4E3F3349" w14:textId="77777777" w:rsidR="001B6DBC" w:rsidRPr="001B6DBC" w:rsidRDefault="001B6DBC" w:rsidP="001B6DBC">
            <w:pPr>
              <w:spacing w:before="0" w:after="0"/>
              <w:rPr>
                <w:rFonts w:eastAsia="Times New Roman"/>
                <w:szCs w:val="20"/>
                <w:lang w:val="sv-FI" w:eastAsia="sv-FI"/>
              </w:rPr>
            </w:pPr>
            <w:r w:rsidRPr="001B6DBC">
              <w:rPr>
                <w:rFonts w:eastAsia="Times New Roman"/>
                <w:szCs w:val="20"/>
                <w:lang w:val="sv-FI" w:eastAsia="sv-FI"/>
              </w:rPr>
              <w:t>Sysselsättnings- och arbetslöshetsunderstöd, överföringar (F)</w:t>
            </w:r>
          </w:p>
        </w:tc>
        <w:tc>
          <w:tcPr>
            <w:tcW w:w="1346" w:type="dxa"/>
            <w:tcBorders>
              <w:top w:val="nil"/>
              <w:left w:val="nil"/>
              <w:bottom w:val="nil"/>
              <w:right w:val="nil"/>
            </w:tcBorders>
            <w:shd w:val="clear" w:color="auto" w:fill="auto"/>
            <w:noWrap/>
            <w:vAlign w:val="bottom"/>
            <w:hideMark/>
          </w:tcPr>
          <w:p w14:paraId="699F56AD"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-10 000</w:t>
            </w:r>
          </w:p>
        </w:tc>
        <w:tc>
          <w:tcPr>
            <w:tcW w:w="1347" w:type="dxa"/>
            <w:tcBorders>
              <w:top w:val="nil"/>
              <w:left w:val="nil"/>
              <w:bottom w:val="nil"/>
              <w:right w:val="nil"/>
            </w:tcBorders>
            <w:shd w:val="clear" w:color="auto" w:fill="auto"/>
            <w:noWrap/>
            <w:vAlign w:val="bottom"/>
            <w:hideMark/>
          </w:tcPr>
          <w:p w14:paraId="20CD1EEA" w14:textId="77777777" w:rsidR="001B6DBC" w:rsidRPr="001B6DBC" w:rsidRDefault="001B6DBC" w:rsidP="001B6DBC">
            <w:pPr>
              <w:spacing w:before="0" w:after="0"/>
              <w:jc w:val="right"/>
              <w:rPr>
                <w:rFonts w:eastAsia="Times New Roman"/>
                <w:szCs w:val="20"/>
                <w:lang w:val="sv-FI" w:eastAsia="sv-FI"/>
              </w:rPr>
            </w:pPr>
            <w:r w:rsidRPr="001B6DBC">
              <w:rPr>
                <w:rFonts w:eastAsia="Times New Roman"/>
                <w:szCs w:val="20"/>
                <w:lang w:val="sv-FI" w:eastAsia="sv-FI"/>
              </w:rPr>
              <w:t>0</w:t>
            </w:r>
          </w:p>
        </w:tc>
      </w:tr>
      <w:tr w:rsidR="001B6DBC" w:rsidRPr="001B6DBC" w14:paraId="6CC283B2" w14:textId="77777777" w:rsidTr="001B6DBC">
        <w:trPr>
          <w:trHeight w:val="300"/>
        </w:trPr>
        <w:tc>
          <w:tcPr>
            <w:tcW w:w="1020" w:type="dxa"/>
            <w:tcBorders>
              <w:top w:val="nil"/>
              <w:left w:val="nil"/>
              <w:bottom w:val="nil"/>
              <w:right w:val="nil"/>
            </w:tcBorders>
            <w:shd w:val="clear" w:color="auto" w:fill="auto"/>
            <w:noWrap/>
            <w:vAlign w:val="bottom"/>
            <w:hideMark/>
          </w:tcPr>
          <w:p w14:paraId="26D7F0CC" w14:textId="77777777" w:rsidR="001B6DBC" w:rsidRPr="001B6DBC" w:rsidRDefault="001B6DBC" w:rsidP="001B6DBC">
            <w:pPr>
              <w:spacing w:before="0" w:after="0"/>
              <w:jc w:val="right"/>
              <w:rPr>
                <w:rFonts w:eastAsia="Times New Roman"/>
                <w:szCs w:val="20"/>
                <w:lang w:val="sv-FI" w:eastAsia="sv-FI"/>
              </w:rPr>
            </w:pPr>
          </w:p>
        </w:tc>
        <w:tc>
          <w:tcPr>
            <w:tcW w:w="6068" w:type="dxa"/>
            <w:tcBorders>
              <w:top w:val="nil"/>
              <w:left w:val="nil"/>
              <w:bottom w:val="nil"/>
              <w:right w:val="nil"/>
            </w:tcBorders>
            <w:shd w:val="clear" w:color="auto" w:fill="auto"/>
            <w:noWrap/>
            <w:vAlign w:val="bottom"/>
            <w:hideMark/>
          </w:tcPr>
          <w:p w14:paraId="453D7A15"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62814567"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14506F17"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0766DDBA" w14:textId="77777777" w:rsidTr="001B6DBC">
        <w:trPr>
          <w:trHeight w:val="300"/>
        </w:trPr>
        <w:tc>
          <w:tcPr>
            <w:tcW w:w="1020" w:type="dxa"/>
            <w:tcBorders>
              <w:top w:val="nil"/>
              <w:left w:val="nil"/>
              <w:bottom w:val="nil"/>
              <w:right w:val="nil"/>
            </w:tcBorders>
            <w:shd w:val="clear" w:color="auto" w:fill="auto"/>
            <w:noWrap/>
            <w:vAlign w:val="bottom"/>
            <w:hideMark/>
          </w:tcPr>
          <w:p w14:paraId="7D43224C"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c>
          <w:tcPr>
            <w:tcW w:w="6068" w:type="dxa"/>
            <w:tcBorders>
              <w:top w:val="nil"/>
              <w:left w:val="nil"/>
              <w:bottom w:val="nil"/>
              <w:right w:val="nil"/>
            </w:tcBorders>
            <w:shd w:val="clear" w:color="auto" w:fill="auto"/>
            <w:noWrap/>
            <w:vAlign w:val="bottom"/>
            <w:hideMark/>
          </w:tcPr>
          <w:p w14:paraId="1387A756"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6" w:type="dxa"/>
            <w:tcBorders>
              <w:top w:val="nil"/>
              <w:left w:val="nil"/>
              <w:bottom w:val="nil"/>
              <w:right w:val="nil"/>
            </w:tcBorders>
            <w:shd w:val="clear" w:color="auto" w:fill="auto"/>
            <w:noWrap/>
            <w:vAlign w:val="bottom"/>
            <w:hideMark/>
          </w:tcPr>
          <w:p w14:paraId="562B4D1B" w14:textId="77777777" w:rsidR="001B6DBC" w:rsidRPr="001B6DBC" w:rsidRDefault="001B6DBC" w:rsidP="001B6DBC">
            <w:pPr>
              <w:spacing w:before="0" w:after="0"/>
              <w:rPr>
                <w:rFonts w:ascii="Times New Roman" w:eastAsia="Times New Roman" w:hAnsi="Times New Roman" w:cs="Times New Roman"/>
                <w:szCs w:val="20"/>
                <w:lang w:val="sv-FI" w:eastAsia="sv-FI"/>
              </w:rPr>
            </w:pPr>
          </w:p>
        </w:tc>
        <w:tc>
          <w:tcPr>
            <w:tcW w:w="1347" w:type="dxa"/>
            <w:tcBorders>
              <w:top w:val="nil"/>
              <w:left w:val="nil"/>
              <w:bottom w:val="nil"/>
              <w:right w:val="nil"/>
            </w:tcBorders>
            <w:shd w:val="clear" w:color="auto" w:fill="auto"/>
            <w:noWrap/>
            <w:vAlign w:val="bottom"/>
            <w:hideMark/>
          </w:tcPr>
          <w:p w14:paraId="5639EDDB"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r>
      <w:tr w:rsidR="001B6DBC" w:rsidRPr="001B6DBC" w14:paraId="2A1305D0" w14:textId="77777777" w:rsidTr="001B6DBC">
        <w:trPr>
          <w:trHeight w:val="300"/>
        </w:trPr>
        <w:tc>
          <w:tcPr>
            <w:tcW w:w="1020" w:type="dxa"/>
            <w:tcBorders>
              <w:top w:val="nil"/>
              <w:left w:val="nil"/>
              <w:bottom w:val="nil"/>
              <w:right w:val="nil"/>
            </w:tcBorders>
            <w:shd w:val="clear" w:color="auto" w:fill="auto"/>
            <w:noWrap/>
            <w:vAlign w:val="bottom"/>
            <w:hideMark/>
          </w:tcPr>
          <w:p w14:paraId="1054E305"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c>
          <w:tcPr>
            <w:tcW w:w="6068" w:type="dxa"/>
            <w:tcBorders>
              <w:top w:val="single" w:sz="4" w:space="0" w:color="4F81BD"/>
              <w:left w:val="nil"/>
              <w:bottom w:val="single" w:sz="4" w:space="0" w:color="4F81BD"/>
              <w:right w:val="nil"/>
            </w:tcBorders>
            <w:shd w:val="clear" w:color="auto" w:fill="auto"/>
            <w:noWrap/>
            <w:vAlign w:val="bottom"/>
            <w:hideMark/>
          </w:tcPr>
          <w:p w14:paraId="2395DE02" w14:textId="77777777" w:rsidR="001B6DBC" w:rsidRPr="001B6DBC" w:rsidRDefault="001B6DBC" w:rsidP="001B6DBC">
            <w:pPr>
              <w:spacing w:before="0" w:after="0"/>
              <w:rPr>
                <w:rFonts w:eastAsia="Times New Roman"/>
                <w:b/>
                <w:bCs/>
                <w:color w:val="000000"/>
                <w:szCs w:val="20"/>
                <w:lang w:val="sv-FI" w:eastAsia="sv-FI"/>
              </w:rPr>
            </w:pPr>
            <w:r w:rsidRPr="001B6DBC">
              <w:rPr>
                <w:rFonts w:eastAsia="Times New Roman"/>
                <w:b/>
                <w:bCs/>
                <w:color w:val="000000"/>
                <w:szCs w:val="20"/>
                <w:lang w:val="sv-FI" w:eastAsia="sv-FI"/>
              </w:rPr>
              <w:t>Verksamhet och överföringar sammanlagt</w:t>
            </w:r>
          </w:p>
        </w:tc>
        <w:tc>
          <w:tcPr>
            <w:tcW w:w="1346" w:type="dxa"/>
            <w:tcBorders>
              <w:top w:val="single" w:sz="4" w:space="0" w:color="4F81BD"/>
              <w:left w:val="nil"/>
              <w:bottom w:val="single" w:sz="4" w:space="0" w:color="4F81BD"/>
              <w:right w:val="nil"/>
            </w:tcBorders>
            <w:shd w:val="clear" w:color="auto" w:fill="auto"/>
            <w:noWrap/>
            <w:vAlign w:val="bottom"/>
            <w:hideMark/>
          </w:tcPr>
          <w:p w14:paraId="4772A621"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-790 000</w:t>
            </w:r>
          </w:p>
        </w:tc>
        <w:tc>
          <w:tcPr>
            <w:tcW w:w="1347" w:type="dxa"/>
            <w:tcBorders>
              <w:top w:val="single" w:sz="4" w:space="0" w:color="4F81BD"/>
              <w:left w:val="nil"/>
              <w:bottom w:val="single" w:sz="4" w:space="0" w:color="4F81BD"/>
              <w:right w:val="nil"/>
            </w:tcBorders>
            <w:shd w:val="clear" w:color="auto" w:fill="auto"/>
            <w:noWrap/>
            <w:vAlign w:val="bottom"/>
            <w:hideMark/>
          </w:tcPr>
          <w:p w14:paraId="145C0AB2" w14:textId="77777777" w:rsidR="001B6DBC" w:rsidRPr="001B6DBC" w:rsidRDefault="001B6DBC" w:rsidP="001B6DBC">
            <w:pPr>
              <w:spacing w:before="0" w:after="0"/>
              <w:jc w:val="right"/>
              <w:rPr>
                <w:rFonts w:eastAsia="Times New Roman"/>
                <w:b/>
                <w:bCs/>
                <w:szCs w:val="20"/>
                <w:lang w:val="sv-FI" w:eastAsia="sv-FI"/>
              </w:rPr>
            </w:pPr>
            <w:r w:rsidRPr="001B6DBC">
              <w:rPr>
                <w:rFonts w:eastAsia="Times New Roman"/>
                <w:b/>
                <w:bCs/>
                <w:szCs w:val="20"/>
                <w:lang w:val="sv-FI" w:eastAsia="sv-FI"/>
              </w:rPr>
              <w:t>0</w:t>
            </w:r>
          </w:p>
        </w:tc>
      </w:tr>
      <w:tr w:rsidR="001B6DBC" w:rsidRPr="001B6DBC" w14:paraId="02685F6B" w14:textId="77777777" w:rsidTr="001B6DBC">
        <w:trPr>
          <w:trHeight w:val="300"/>
        </w:trPr>
        <w:tc>
          <w:tcPr>
            <w:tcW w:w="1020" w:type="dxa"/>
            <w:tcBorders>
              <w:top w:val="nil"/>
              <w:left w:val="nil"/>
              <w:bottom w:val="nil"/>
              <w:right w:val="nil"/>
            </w:tcBorders>
            <w:shd w:val="clear" w:color="auto" w:fill="auto"/>
            <w:noWrap/>
            <w:vAlign w:val="bottom"/>
          </w:tcPr>
          <w:p w14:paraId="5B6FF0F7"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c>
          <w:tcPr>
            <w:tcW w:w="6068" w:type="dxa"/>
            <w:tcBorders>
              <w:top w:val="single" w:sz="4" w:space="0" w:color="4F81BD"/>
              <w:left w:val="nil"/>
              <w:bottom w:val="single" w:sz="4" w:space="0" w:color="4F81BD"/>
              <w:right w:val="nil"/>
            </w:tcBorders>
            <w:shd w:val="clear" w:color="auto" w:fill="auto"/>
            <w:noWrap/>
            <w:vAlign w:val="bottom"/>
          </w:tcPr>
          <w:p w14:paraId="707C1390" w14:textId="77777777" w:rsidR="001B6DBC" w:rsidRPr="001B6DBC" w:rsidRDefault="001B6DBC" w:rsidP="001B6DBC">
            <w:pPr>
              <w:spacing w:before="0" w:after="0"/>
              <w:rPr>
                <w:rFonts w:eastAsia="Times New Roman"/>
                <w:b/>
                <w:bCs/>
                <w:color w:val="000000"/>
                <w:szCs w:val="20"/>
                <w:lang w:val="sv-FI" w:eastAsia="sv-FI"/>
              </w:rPr>
            </w:pPr>
          </w:p>
        </w:tc>
        <w:tc>
          <w:tcPr>
            <w:tcW w:w="1346" w:type="dxa"/>
            <w:tcBorders>
              <w:top w:val="single" w:sz="4" w:space="0" w:color="4F81BD"/>
              <w:left w:val="nil"/>
              <w:bottom w:val="single" w:sz="4" w:space="0" w:color="4F81BD"/>
              <w:right w:val="nil"/>
            </w:tcBorders>
            <w:shd w:val="clear" w:color="auto" w:fill="auto"/>
            <w:noWrap/>
            <w:vAlign w:val="bottom"/>
          </w:tcPr>
          <w:p w14:paraId="6307615D" w14:textId="77777777" w:rsidR="001B6DBC" w:rsidRPr="001B6DBC" w:rsidRDefault="001B6DBC" w:rsidP="001B6DBC">
            <w:pPr>
              <w:spacing w:before="0" w:after="0"/>
              <w:jc w:val="right"/>
              <w:rPr>
                <w:rFonts w:eastAsia="Times New Roman"/>
                <w:b/>
                <w:bCs/>
                <w:szCs w:val="20"/>
                <w:lang w:val="sv-FI" w:eastAsia="sv-FI"/>
              </w:rPr>
            </w:pPr>
          </w:p>
        </w:tc>
        <w:tc>
          <w:tcPr>
            <w:tcW w:w="1347" w:type="dxa"/>
            <w:tcBorders>
              <w:top w:val="single" w:sz="4" w:space="0" w:color="4F81BD"/>
              <w:left w:val="nil"/>
              <w:bottom w:val="single" w:sz="4" w:space="0" w:color="4F81BD"/>
              <w:right w:val="nil"/>
            </w:tcBorders>
            <w:shd w:val="clear" w:color="auto" w:fill="auto"/>
            <w:noWrap/>
            <w:vAlign w:val="bottom"/>
          </w:tcPr>
          <w:p w14:paraId="2D2F15E9" w14:textId="77777777" w:rsidR="001B6DBC" w:rsidRPr="001B6DBC" w:rsidRDefault="001B6DBC" w:rsidP="001B6DBC">
            <w:pPr>
              <w:spacing w:before="0" w:after="0"/>
              <w:jc w:val="right"/>
              <w:rPr>
                <w:rFonts w:eastAsia="Times New Roman"/>
                <w:b/>
                <w:bCs/>
                <w:szCs w:val="20"/>
                <w:lang w:val="sv-FI" w:eastAsia="sv-FI"/>
              </w:rPr>
            </w:pPr>
          </w:p>
        </w:tc>
      </w:tr>
      <w:tr w:rsidR="001B6DBC" w:rsidRPr="001B6DBC" w14:paraId="2918FF4A" w14:textId="77777777" w:rsidTr="001B6DBC">
        <w:trPr>
          <w:trHeight w:val="300"/>
        </w:trPr>
        <w:tc>
          <w:tcPr>
            <w:tcW w:w="1020" w:type="dxa"/>
            <w:tcBorders>
              <w:top w:val="nil"/>
              <w:left w:val="nil"/>
              <w:bottom w:val="nil"/>
              <w:right w:val="nil"/>
            </w:tcBorders>
            <w:shd w:val="clear" w:color="auto" w:fill="auto"/>
            <w:noWrap/>
            <w:vAlign w:val="bottom"/>
          </w:tcPr>
          <w:p w14:paraId="7D2D33B3" w14:textId="77777777" w:rsidR="001B6DBC" w:rsidRPr="001B6DBC" w:rsidRDefault="001B6DBC" w:rsidP="001B6DBC">
            <w:pPr>
              <w:spacing w:before="0" w:after="0"/>
              <w:jc w:val="right"/>
              <w:rPr>
                <w:rFonts w:ascii="Times New Roman" w:eastAsia="Times New Roman" w:hAnsi="Times New Roman" w:cs="Times New Roman"/>
                <w:szCs w:val="20"/>
                <w:lang w:val="sv-FI" w:eastAsia="sv-FI"/>
              </w:rPr>
            </w:pPr>
          </w:p>
        </w:tc>
        <w:tc>
          <w:tcPr>
            <w:tcW w:w="6068" w:type="dxa"/>
            <w:tcBorders>
              <w:top w:val="single" w:sz="4" w:space="0" w:color="4F81BD"/>
              <w:left w:val="nil"/>
              <w:bottom w:val="double" w:sz="6" w:space="0" w:color="4F81BD"/>
              <w:right w:val="nil"/>
            </w:tcBorders>
            <w:shd w:val="clear" w:color="auto" w:fill="auto"/>
            <w:noWrap/>
            <w:vAlign w:val="bottom"/>
          </w:tcPr>
          <w:p w14:paraId="4A25634C" w14:textId="4CB1A388" w:rsidR="001B6DBC" w:rsidRPr="001B6DBC" w:rsidRDefault="001B6DBC" w:rsidP="001B6DBC">
            <w:pPr>
              <w:spacing w:before="0" w:after="0"/>
              <w:rPr>
                <w:rFonts w:eastAsia="Times New Roman"/>
                <w:b/>
                <w:bCs/>
                <w:color w:val="000000"/>
                <w:szCs w:val="20"/>
                <w:lang w:val="sv-FI" w:eastAsia="sv-FI"/>
              </w:rPr>
            </w:pPr>
            <w:r w:rsidRPr="001B6DBC">
              <w:rPr>
                <w:rFonts w:eastAsia="Times New Roman"/>
                <w:b/>
                <w:bCs/>
                <w:color w:val="000000"/>
                <w:szCs w:val="20"/>
                <w:lang w:val="sv-FI" w:eastAsia="sv-FI"/>
              </w:rPr>
              <w:t>Anslag och inkomster totalt ovanstående</w:t>
            </w:r>
          </w:p>
        </w:tc>
        <w:tc>
          <w:tcPr>
            <w:tcW w:w="1346" w:type="dxa"/>
            <w:tcBorders>
              <w:top w:val="single" w:sz="4" w:space="0" w:color="4F81BD"/>
              <w:left w:val="nil"/>
              <w:bottom w:val="double" w:sz="6" w:space="0" w:color="4F81BD"/>
              <w:right w:val="nil"/>
            </w:tcBorders>
            <w:shd w:val="clear" w:color="auto" w:fill="auto"/>
            <w:noWrap/>
            <w:vAlign w:val="bottom"/>
          </w:tcPr>
          <w:p w14:paraId="175F2B76" w14:textId="0B984984" w:rsidR="001B6DBC" w:rsidRPr="001B6DBC" w:rsidRDefault="001B6DBC" w:rsidP="001B6DBC">
            <w:pPr>
              <w:spacing w:before="0" w:after="0"/>
              <w:jc w:val="right"/>
              <w:rPr>
                <w:rFonts w:eastAsia="Times New Roman"/>
                <w:b/>
                <w:bCs/>
                <w:szCs w:val="20"/>
                <w:lang w:val="sv-FI" w:eastAsia="sv-FI"/>
              </w:rPr>
            </w:pPr>
            <w:r>
              <w:rPr>
                <w:rFonts w:eastAsia="Times New Roman"/>
                <w:b/>
                <w:bCs/>
                <w:szCs w:val="20"/>
                <w:lang w:val="sv-FI" w:eastAsia="sv-FI"/>
              </w:rPr>
              <w:t>-790 000</w:t>
            </w:r>
          </w:p>
        </w:tc>
        <w:tc>
          <w:tcPr>
            <w:tcW w:w="1347" w:type="dxa"/>
            <w:tcBorders>
              <w:top w:val="single" w:sz="4" w:space="0" w:color="4F81BD"/>
              <w:left w:val="nil"/>
              <w:bottom w:val="double" w:sz="6" w:space="0" w:color="4F81BD"/>
              <w:right w:val="nil"/>
            </w:tcBorders>
            <w:shd w:val="clear" w:color="auto" w:fill="auto"/>
            <w:noWrap/>
            <w:vAlign w:val="bottom"/>
          </w:tcPr>
          <w:p w14:paraId="391300F8" w14:textId="6C490DD7" w:rsidR="001B6DBC" w:rsidRPr="001B6DBC" w:rsidRDefault="001B6DBC" w:rsidP="001B6DBC">
            <w:pPr>
              <w:spacing w:before="0" w:after="0"/>
              <w:jc w:val="right"/>
              <w:rPr>
                <w:rFonts w:eastAsia="Times New Roman"/>
                <w:b/>
                <w:bCs/>
                <w:szCs w:val="20"/>
                <w:lang w:val="sv-FI" w:eastAsia="sv-FI"/>
              </w:rPr>
            </w:pPr>
            <w:r>
              <w:rPr>
                <w:rFonts w:eastAsia="Times New Roman"/>
                <w:b/>
                <w:bCs/>
                <w:szCs w:val="20"/>
                <w:lang w:val="sv-FI" w:eastAsia="sv-FI"/>
              </w:rPr>
              <w:t>0</w:t>
            </w:r>
          </w:p>
        </w:tc>
      </w:tr>
    </w:tbl>
    <w:p w14:paraId="3541779D" w14:textId="4F6DE235" w:rsidR="00247875" w:rsidRDefault="00247875">
      <w:pPr>
        <w:spacing w:before="0" w:after="160" w:line="259" w:lineRule="auto"/>
        <w:rPr>
          <w:rFonts w:ascii="Times New Roman" w:eastAsiaTheme="majorEastAsia" w:hAnsi="Times New Roman" w:cs="Times New Roman"/>
          <w:b/>
          <w:iCs/>
          <w:sz w:val="30"/>
          <w:szCs w:val="30"/>
        </w:rPr>
        <w:sectPr w:rsidR="0024787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70213680" w14:textId="77777777" w:rsidR="00072F75" w:rsidRDefault="00072F75" w:rsidP="00072F75">
      <w:pPr>
        <w:pStyle w:val="Rubrik1"/>
      </w:pPr>
      <w:r>
        <w:lastRenderedPageBreak/>
        <w:t>Detaljmotivering - Verksamhet och överföringar</w:t>
      </w:r>
    </w:p>
    <w:p w14:paraId="05590A6E" w14:textId="77777777" w:rsidR="00840382" w:rsidRDefault="00840382" w:rsidP="00840382">
      <w:pPr>
        <w:pStyle w:val="Rubrik2"/>
      </w:pPr>
      <w:r>
        <w:t>100 Lagtinget</w:t>
      </w:r>
    </w:p>
    <w:p w14:paraId="43F1DFD3" w14:textId="77777777" w:rsidR="00840382" w:rsidRDefault="00840382" w:rsidP="00840382">
      <w:pPr>
        <w:pStyle w:val="Rubrik3"/>
      </w:pPr>
      <w:r>
        <w:t>112 Lagtingets övriga utgifter</w:t>
      </w:r>
    </w:p>
    <w:p w14:paraId="31246E88" w14:textId="77777777" w:rsidR="00840382" w:rsidRDefault="00840382" w:rsidP="00840382">
      <w:pPr>
        <w:pStyle w:val="Rubrik4"/>
      </w:pPr>
      <w:proofErr w:type="gramStart"/>
      <w:r>
        <w:t>11220</w:t>
      </w:r>
      <w:proofErr w:type="gramEnd"/>
      <w:r>
        <w:t xml:space="preserve"> Dispositionsmedel</w:t>
      </w:r>
    </w:p>
    <w:p w14:paraId="5DB118D1" w14:textId="77777777" w:rsidR="00840382" w:rsidRDefault="00840382" w:rsidP="00840382">
      <w:pPr>
        <w:pStyle w:val="HYP-Context"/>
      </w:pPr>
      <w:r>
        <w:rPr>
          <w:b/>
        </w:rPr>
        <w:t xml:space="preserve">Organisation: </w:t>
      </w:r>
      <w:r>
        <w:t xml:space="preserve">11220 </w:t>
      </w:r>
      <w:proofErr w:type="spellStart"/>
      <w:r>
        <w:t>Dispositionsmedel</w:t>
      </w:r>
      <w:proofErr w:type="spellEnd"/>
      <w:r>
        <w:t xml:space="preserve">, </w:t>
      </w:r>
      <w:proofErr w:type="spellStart"/>
      <w:r>
        <w:t>lagting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6E7006DE"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E11F9B7" w14:textId="77777777" w:rsidR="00840382" w:rsidRDefault="00840382" w:rsidP="00F3499B">
            <w:r>
              <w:t>Sammandrag</w:t>
            </w:r>
          </w:p>
        </w:tc>
        <w:tc>
          <w:tcPr>
            <w:tcW w:w="1474" w:type="dxa"/>
          </w:tcPr>
          <w:p w14:paraId="42A5E1FC"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0DB47CD"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75E79B6"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3988C5D1"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5AC464FD" w14:textId="77777777" w:rsidR="00840382" w:rsidRDefault="00840382" w:rsidP="00F3499B">
            <w:r>
              <w:t>Intäkter</w:t>
            </w:r>
          </w:p>
        </w:tc>
        <w:tc>
          <w:tcPr>
            <w:tcW w:w="1474" w:type="dxa"/>
          </w:tcPr>
          <w:p w14:paraId="3B631EF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64A6E60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71D2A82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07FCE0C5"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4F19B5DF" w14:textId="77777777" w:rsidR="00840382" w:rsidRDefault="00840382" w:rsidP="00F3499B">
            <w:r>
              <w:t>Kostnader</w:t>
            </w:r>
          </w:p>
        </w:tc>
        <w:tc>
          <w:tcPr>
            <w:tcW w:w="1474" w:type="dxa"/>
          </w:tcPr>
          <w:p w14:paraId="286308C6"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-71 747</w:t>
            </w:r>
          </w:p>
        </w:tc>
        <w:tc>
          <w:tcPr>
            <w:tcW w:w="1474" w:type="dxa"/>
          </w:tcPr>
          <w:p w14:paraId="7A5468D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-110 000</w:t>
            </w:r>
          </w:p>
        </w:tc>
        <w:tc>
          <w:tcPr>
            <w:tcW w:w="1474" w:type="dxa"/>
          </w:tcPr>
          <w:p w14:paraId="134638C7"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-60 000</w:t>
            </w:r>
          </w:p>
        </w:tc>
      </w:tr>
      <w:tr w:rsidR="00840382" w14:paraId="063264A5"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0B479B12" w14:textId="77777777" w:rsidR="00840382" w:rsidRDefault="00840382" w:rsidP="00F3499B">
            <w:r>
              <w:t>Anslag netto</w:t>
            </w:r>
          </w:p>
        </w:tc>
        <w:tc>
          <w:tcPr>
            <w:tcW w:w="1474" w:type="dxa"/>
          </w:tcPr>
          <w:p w14:paraId="5514A92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-71 747</w:t>
            </w:r>
          </w:p>
        </w:tc>
        <w:tc>
          <w:tcPr>
            <w:tcW w:w="1474" w:type="dxa"/>
          </w:tcPr>
          <w:p w14:paraId="14AB009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-110 000</w:t>
            </w:r>
          </w:p>
        </w:tc>
        <w:tc>
          <w:tcPr>
            <w:tcW w:w="1474" w:type="dxa"/>
          </w:tcPr>
          <w:p w14:paraId="7F41464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-60 000</w:t>
            </w:r>
          </w:p>
        </w:tc>
      </w:tr>
    </w:tbl>
    <w:p w14:paraId="564BC6D0" w14:textId="77777777" w:rsidR="00840382" w:rsidRDefault="00840382" w:rsidP="00840382">
      <w:pPr>
        <w:pStyle w:val="Rubrik5"/>
      </w:pPr>
      <w:r>
        <w:t>Budgetmotivering</w:t>
      </w:r>
    </w:p>
    <w:p w14:paraId="3416EE3C" w14:textId="77777777" w:rsidR="00840382" w:rsidRDefault="00840382" w:rsidP="00840382">
      <w:r>
        <w:t xml:space="preserve">Föreslås ett tillägg om </w:t>
      </w:r>
      <w:proofErr w:type="gramStart"/>
      <w:r>
        <w:t>60.000</w:t>
      </w:r>
      <w:proofErr w:type="gramEnd"/>
      <w:r>
        <w:t xml:space="preserve"> euro.</w:t>
      </w:r>
    </w:p>
    <w:p w14:paraId="6EBE3103" w14:textId="77777777" w:rsidR="00840382" w:rsidRDefault="00840382" w:rsidP="00840382">
      <w:pPr>
        <w:pStyle w:val="Rubrik5"/>
      </w:pPr>
      <w:r>
        <w:t>Utgifter</w:t>
      </w:r>
    </w:p>
    <w:p w14:paraId="116B294B" w14:textId="77777777" w:rsidR="00840382" w:rsidRDefault="00840382" w:rsidP="00840382">
      <w:r>
        <w:t xml:space="preserve">I budgeten för Åland 2022 finns ett anslag om </w:t>
      </w:r>
      <w:proofErr w:type="gramStart"/>
      <w:r>
        <w:t>110.00</w:t>
      </w:r>
      <w:proofErr w:type="gramEnd"/>
      <w:r>
        <w:t xml:space="preserve"> euro att användas för lagtingets gästbesök, uppvaktningar, arrangemang och motsvarande. Anslaget är detsamma som för år 2021. På grund av pandemin har under år 2020 endast cirka 17 procent av anslaget om </w:t>
      </w:r>
      <w:proofErr w:type="gramStart"/>
      <w:r>
        <w:t>70.000</w:t>
      </w:r>
      <w:proofErr w:type="gramEnd"/>
      <w:r>
        <w:t xml:space="preserve"> euro nyttjats och under år 2021 cirka 65 procent av anslaget om 110.000 euro. Med anledning av att 100 års firandet av självstyrelsen kulminerar i år den 9 juni och intresset för besök i anknytning till firandet visat sig större än beräknat föreslås att anslaget under momentet höjs med </w:t>
      </w:r>
      <w:proofErr w:type="gramStart"/>
      <w:r>
        <w:t>60.000</w:t>
      </w:r>
      <w:proofErr w:type="gramEnd"/>
      <w:r>
        <w:t xml:space="preserve"> euro.</w:t>
      </w:r>
    </w:p>
    <w:p w14:paraId="571BD69F" w14:textId="77777777" w:rsidR="00840382" w:rsidRDefault="00840382" w:rsidP="00840382">
      <w:pPr>
        <w:pStyle w:val="Rubrik2"/>
      </w:pPr>
      <w:r>
        <w:t>300 Finansavdelningens förvaltningsområde</w:t>
      </w:r>
    </w:p>
    <w:p w14:paraId="62056A53" w14:textId="77777777" w:rsidR="00840382" w:rsidRDefault="00840382" w:rsidP="00840382">
      <w:pPr>
        <w:pStyle w:val="Rubrik3"/>
      </w:pPr>
      <w:r>
        <w:t>350 Penningautomatmedel</w:t>
      </w:r>
    </w:p>
    <w:p w14:paraId="04CCE6D2" w14:textId="77777777" w:rsidR="00840382" w:rsidRDefault="00840382" w:rsidP="00840382">
      <w:pPr>
        <w:pStyle w:val="Rubrik4"/>
      </w:pPr>
      <w:proofErr w:type="gramStart"/>
      <w:r>
        <w:t>35000</w:t>
      </w:r>
      <w:proofErr w:type="gramEnd"/>
      <w:r>
        <w:t xml:space="preserve"> Penningautomatmedel (R)</w:t>
      </w:r>
    </w:p>
    <w:p w14:paraId="43BFB2A6" w14:textId="77777777" w:rsidR="00840382" w:rsidRDefault="00840382" w:rsidP="00840382">
      <w:pPr>
        <w:pStyle w:val="HYP-Context"/>
      </w:pPr>
      <w:r>
        <w:rPr>
          <w:b/>
        </w:rPr>
        <w:t xml:space="preserve">Organisation: </w:t>
      </w:r>
      <w:r>
        <w:t xml:space="preserve">35000 </w:t>
      </w:r>
      <w:proofErr w:type="spellStart"/>
      <w:r>
        <w:t>Penningautomatmedel</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0B8C0B59"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C35522A" w14:textId="77777777" w:rsidR="00840382" w:rsidRDefault="00840382" w:rsidP="00F3499B">
            <w:r>
              <w:t>Sammandrag</w:t>
            </w:r>
          </w:p>
        </w:tc>
        <w:tc>
          <w:tcPr>
            <w:tcW w:w="1474" w:type="dxa"/>
          </w:tcPr>
          <w:p w14:paraId="149DD028"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547392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868E7A9"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7FED80A4"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169C1DB7" w14:textId="77777777" w:rsidR="00840382" w:rsidRDefault="00840382" w:rsidP="00F3499B">
            <w:r>
              <w:t>Intäkter</w:t>
            </w:r>
          </w:p>
        </w:tc>
        <w:tc>
          <w:tcPr>
            <w:tcW w:w="1474" w:type="dxa"/>
          </w:tcPr>
          <w:p w14:paraId="7E2CBAC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1506B1E6"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3CE38837"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0886B299"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556D0B8A" w14:textId="77777777" w:rsidR="00840382" w:rsidRDefault="00840382" w:rsidP="00F3499B">
            <w:r>
              <w:t>Kostnader</w:t>
            </w:r>
          </w:p>
        </w:tc>
        <w:tc>
          <w:tcPr>
            <w:tcW w:w="1474" w:type="dxa"/>
          </w:tcPr>
          <w:p w14:paraId="53607FA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-5 645 024</w:t>
            </w:r>
          </w:p>
        </w:tc>
        <w:tc>
          <w:tcPr>
            <w:tcW w:w="1474" w:type="dxa"/>
          </w:tcPr>
          <w:p w14:paraId="380D1CCE"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-5 129 000</w:t>
            </w:r>
          </w:p>
        </w:tc>
        <w:tc>
          <w:tcPr>
            <w:tcW w:w="1474" w:type="dxa"/>
          </w:tcPr>
          <w:p w14:paraId="6A16D217"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r w:rsidR="00840382" w14:paraId="0FA2C6D7"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327E3CD3" w14:textId="77777777" w:rsidR="00840382" w:rsidRDefault="00840382" w:rsidP="00F3499B">
            <w:r>
              <w:t>Anslag netto</w:t>
            </w:r>
          </w:p>
        </w:tc>
        <w:tc>
          <w:tcPr>
            <w:tcW w:w="1474" w:type="dxa"/>
          </w:tcPr>
          <w:p w14:paraId="2FF028B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-5 645 024</w:t>
            </w:r>
          </w:p>
        </w:tc>
        <w:tc>
          <w:tcPr>
            <w:tcW w:w="1474" w:type="dxa"/>
          </w:tcPr>
          <w:p w14:paraId="2B55F76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-5 129 000</w:t>
            </w:r>
          </w:p>
        </w:tc>
        <w:tc>
          <w:tcPr>
            <w:tcW w:w="1474" w:type="dxa"/>
          </w:tcPr>
          <w:p w14:paraId="1C01E45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bl>
    <w:p w14:paraId="72B2CDAA" w14:textId="77777777" w:rsidR="00840382" w:rsidRDefault="00840382" w:rsidP="00840382">
      <w:pPr>
        <w:pStyle w:val="Rubrik5"/>
      </w:pPr>
      <w:r>
        <w:t>Budgetmotivering</w:t>
      </w:r>
    </w:p>
    <w:p w14:paraId="5088EF5D" w14:textId="77777777" w:rsidR="00840382" w:rsidRDefault="00840382" w:rsidP="00840382">
      <w:r>
        <w:t xml:space="preserve">Föreslås en minskning av anslaget om </w:t>
      </w:r>
      <w:proofErr w:type="gramStart"/>
      <w:r>
        <w:t>300.000</w:t>
      </w:r>
      <w:proofErr w:type="gramEnd"/>
      <w:r>
        <w:t xml:space="preserve"> euro. Se även moment </w:t>
      </w:r>
      <w:proofErr w:type="gramStart"/>
      <w:r>
        <w:t>51600</w:t>
      </w:r>
      <w:proofErr w:type="gramEnd"/>
      <w:r>
        <w:t>.</w:t>
      </w:r>
    </w:p>
    <w:p w14:paraId="30539F53" w14:textId="77777777" w:rsidR="00840382" w:rsidRDefault="00840382" w:rsidP="00840382">
      <w:pPr>
        <w:pStyle w:val="Rubrik5"/>
      </w:pPr>
      <w:r>
        <w:t>Utgifter</w:t>
      </w:r>
    </w:p>
    <w:p w14:paraId="1313F325" w14:textId="77777777" w:rsidR="00840382" w:rsidRDefault="00840382" w:rsidP="00840382">
      <w:r>
        <w:t xml:space="preserve">Föreslås att beloppet för stöd för aktivitetsfrämjande och sysselsättningsskapande projekt eller andra investeringar som faller inom ramen för principer för fördelning av penningautomatmedel i enlighet med 3 § LL (1966:10) om lotterier minskas med </w:t>
      </w:r>
      <w:proofErr w:type="gramStart"/>
      <w:r>
        <w:t>300.000</w:t>
      </w:r>
      <w:proofErr w:type="gramEnd"/>
      <w:r>
        <w:t xml:space="preserve"> euro.</w:t>
      </w:r>
    </w:p>
    <w:p w14:paraId="7F638A8F" w14:textId="77777777" w:rsidR="00840382" w:rsidRDefault="00840382" w:rsidP="00840382">
      <w:pPr>
        <w:pStyle w:val="Rubrik2"/>
      </w:pPr>
      <w:r>
        <w:lastRenderedPageBreak/>
        <w:t>400 Social- och miljöavdelningens förvaltningsområde</w:t>
      </w:r>
    </w:p>
    <w:p w14:paraId="28C79207" w14:textId="77777777" w:rsidR="00840382" w:rsidRDefault="00840382" w:rsidP="00840382">
      <w:pPr>
        <w:pStyle w:val="Rubrik3"/>
      </w:pPr>
      <w:r>
        <w:t>400 Allmän förvaltning</w:t>
      </w:r>
    </w:p>
    <w:p w14:paraId="0B39D69C" w14:textId="77777777" w:rsidR="00840382" w:rsidRDefault="00840382" w:rsidP="00840382">
      <w:pPr>
        <w:pStyle w:val="Rubrik4"/>
      </w:pPr>
      <w:proofErr w:type="gramStart"/>
      <w:r>
        <w:t>40010</w:t>
      </w:r>
      <w:proofErr w:type="gramEnd"/>
      <w:r>
        <w:t xml:space="preserve"> Social- och miljöavdelningens allmänna förvaltning, verksamhet</w:t>
      </w:r>
    </w:p>
    <w:p w14:paraId="44EADDC3" w14:textId="77777777" w:rsidR="00840382" w:rsidRDefault="00840382" w:rsidP="00840382">
      <w:pPr>
        <w:pStyle w:val="HYP-Context"/>
      </w:pPr>
      <w:r>
        <w:rPr>
          <w:b/>
        </w:rPr>
        <w:t xml:space="preserve">Organisation: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708C28D4"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14A596F" w14:textId="77777777" w:rsidR="00840382" w:rsidRDefault="00840382" w:rsidP="00F3499B">
            <w:r>
              <w:t>Sammandrag</w:t>
            </w:r>
          </w:p>
        </w:tc>
        <w:tc>
          <w:tcPr>
            <w:tcW w:w="1474" w:type="dxa"/>
          </w:tcPr>
          <w:p w14:paraId="1C55B7C4"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1F7795C6"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9B99B6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09EEB62E"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4C074427" w14:textId="77777777" w:rsidR="00840382" w:rsidRDefault="00840382" w:rsidP="00F3499B">
            <w:r>
              <w:t>Intäkter</w:t>
            </w:r>
          </w:p>
        </w:tc>
        <w:tc>
          <w:tcPr>
            <w:tcW w:w="1474" w:type="dxa"/>
          </w:tcPr>
          <w:p w14:paraId="4DCE5ED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587 557</w:t>
            </w:r>
          </w:p>
        </w:tc>
        <w:tc>
          <w:tcPr>
            <w:tcW w:w="1474" w:type="dxa"/>
          </w:tcPr>
          <w:p w14:paraId="011838D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194868F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0E37923C"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25CFAC69" w14:textId="77777777" w:rsidR="00840382" w:rsidRDefault="00840382" w:rsidP="00F3499B">
            <w:r>
              <w:t>Kostnader</w:t>
            </w:r>
          </w:p>
        </w:tc>
        <w:tc>
          <w:tcPr>
            <w:tcW w:w="1474" w:type="dxa"/>
          </w:tcPr>
          <w:p w14:paraId="2B1601F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-1 676 350</w:t>
            </w:r>
          </w:p>
        </w:tc>
        <w:tc>
          <w:tcPr>
            <w:tcW w:w="1474" w:type="dxa"/>
          </w:tcPr>
          <w:p w14:paraId="06570DD5"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-1 915 000</w:t>
            </w:r>
          </w:p>
        </w:tc>
        <w:tc>
          <w:tcPr>
            <w:tcW w:w="1474" w:type="dxa"/>
          </w:tcPr>
          <w:p w14:paraId="54BA681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-60 000</w:t>
            </w:r>
          </w:p>
        </w:tc>
      </w:tr>
      <w:tr w:rsidR="00840382" w14:paraId="1C8B79C2"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04F1C431" w14:textId="77777777" w:rsidR="00840382" w:rsidRDefault="00840382" w:rsidP="00F3499B">
            <w:r>
              <w:t>Anslag netto</w:t>
            </w:r>
          </w:p>
        </w:tc>
        <w:tc>
          <w:tcPr>
            <w:tcW w:w="1474" w:type="dxa"/>
          </w:tcPr>
          <w:p w14:paraId="4A004EB6"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-1 088 792</w:t>
            </w:r>
          </w:p>
        </w:tc>
        <w:tc>
          <w:tcPr>
            <w:tcW w:w="1474" w:type="dxa"/>
          </w:tcPr>
          <w:p w14:paraId="08D87DD4"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-1 870 000</w:t>
            </w:r>
          </w:p>
        </w:tc>
        <w:tc>
          <w:tcPr>
            <w:tcW w:w="1474" w:type="dxa"/>
          </w:tcPr>
          <w:p w14:paraId="745FDC18"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-60 000</w:t>
            </w:r>
          </w:p>
        </w:tc>
      </w:tr>
    </w:tbl>
    <w:p w14:paraId="2DCAD6D4" w14:textId="77777777" w:rsidR="00840382" w:rsidRDefault="00840382" w:rsidP="00840382">
      <w:pPr>
        <w:pStyle w:val="Rubrik5"/>
      </w:pPr>
      <w:r>
        <w:t>Budgetmotivering</w:t>
      </w:r>
    </w:p>
    <w:p w14:paraId="59A04434" w14:textId="77777777" w:rsidR="00840382" w:rsidRDefault="00840382" w:rsidP="00840382">
      <w:r>
        <w:t xml:space="preserve">Föreslås ett tilläggsanslag om </w:t>
      </w:r>
      <w:proofErr w:type="gramStart"/>
      <w:r>
        <w:t>60.000</w:t>
      </w:r>
      <w:proofErr w:type="gramEnd"/>
      <w:r>
        <w:t xml:space="preserve"> euro.</w:t>
      </w:r>
    </w:p>
    <w:p w14:paraId="746559C7" w14:textId="77777777" w:rsidR="00840382" w:rsidRDefault="00840382" w:rsidP="00840382">
      <w:pPr>
        <w:pStyle w:val="Rubrik5"/>
      </w:pPr>
      <w:r>
        <w:t>Utgifter</w:t>
      </w:r>
    </w:p>
    <w:p w14:paraId="6F320DCB" w14:textId="48B0D0A4" w:rsidR="00840382" w:rsidRDefault="00840382" w:rsidP="00840382">
      <w:r>
        <w:t xml:space="preserve">Tillägget avser kostnader för en förstärkning av personalresurserna i syfte att svara mot behovet av långsiktigt strategiskt utvecklingsarbete inom hälso- och sjukvården, hållbarhetsarbete, pandemiarbete, tillsyn samt utveckling av lagstiftning. </w:t>
      </w:r>
    </w:p>
    <w:p w14:paraId="6E48112A" w14:textId="77777777" w:rsidR="00840382" w:rsidRDefault="00840382" w:rsidP="00840382">
      <w:pPr>
        <w:pStyle w:val="Rubrik3"/>
      </w:pPr>
      <w:r>
        <w:t>420 Övriga hälso- och sjukvårdsuppgifter</w:t>
      </w:r>
    </w:p>
    <w:p w14:paraId="5DC7722A" w14:textId="77777777" w:rsidR="00840382" w:rsidRDefault="00840382" w:rsidP="00840382">
      <w:pPr>
        <w:pStyle w:val="Rubrik4"/>
      </w:pPr>
      <w:proofErr w:type="gramStart"/>
      <w:r>
        <w:t>42000</w:t>
      </w:r>
      <w:proofErr w:type="gramEnd"/>
      <w:r>
        <w:t xml:space="preserve"> Övriga hälso- och sjukvårdsuppgifter, verksamhet</w:t>
      </w:r>
    </w:p>
    <w:p w14:paraId="4773A37A" w14:textId="77777777" w:rsidR="00840382" w:rsidRDefault="00840382" w:rsidP="00840382">
      <w:pPr>
        <w:pStyle w:val="HYP-Context"/>
      </w:pPr>
      <w:r>
        <w:rPr>
          <w:b/>
        </w:rPr>
        <w:t xml:space="preserve">Organisation: </w:t>
      </w:r>
      <w:r>
        <w:t xml:space="preserve">42000 </w:t>
      </w:r>
      <w:proofErr w:type="spellStart"/>
      <w:r>
        <w:t>Övrig</w:t>
      </w:r>
      <w:proofErr w:type="spellEnd"/>
      <w:r>
        <w:t xml:space="preserve"> </w:t>
      </w:r>
      <w:proofErr w:type="spellStart"/>
      <w:r>
        <w:t>hälso</w:t>
      </w:r>
      <w:proofErr w:type="spellEnd"/>
      <w:r>
        <w:t xml:space="preserve">- </w:t>
      </w:r>
      <w:proofErr w:type="spellStart"/>
      <w:r>
        <w:t>och</w:t>
      </w:r>
      <w:proofErr w:type="spellEnd"/>
      <w:r>
        <w:t xml:space="preserve"> </w:t>
      </w:r>
      <w:proofErr w:type="spellStart"/>
      <w:r>
        <w:t>sjukvård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6912E1B3"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A536094" w14:textId="77777777" w:rsidR="00840382" w:rsidRDefault="00840382" w:rsidP="00F3499B">
            <w:r>
              <w:t>Sammandrag</w:t>
            </w:r>
          </w:p>
        </w:tc>
        <w:tc>
          <w:tcPr>
            <w:tcW w:w="1474" w:type="dxa"/>
          </w:tcPr>
          <w:p w14:paraId="2BACDEC4"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1EAC63E"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6C4057A"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584448C3"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14697BB4" w14:textId="77777777" w:rsidR="00840382" w:rsidRDefault="00840382" w:rsidP="00F3499B">
            <w:r>
              <w:t>Intäkter</w:t>
            </w:r>
          </w:p>
        </w:tc>
        <w:tc>
          <w:tcPr>
            <w:tcW w:w="1474" w:type="dxa"/>
          </w:tcPr>
          <w:p w14:paraId="2DBB5C8B"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33 000</w:t>
            </w:r>
          </w:p>
        </w:tc>
        <w:tc>
          <w:tcPr>
            <w:tcW w:w="1474" w:type="dxa"/>
          </w:tcPr>
          <w:p w14:paraId="07DA042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51DE4D3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73D4EF38"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4EA83343" w14:textId="77777777" w:rsidR="00840382" w:rsidRDefault="00840382" w:rsidP="00F3499B">
            <w:r>
              <w:t>Kostnader</w:t>
            </w:r>
          </w:p>
        </w:tc>
        <w:tc>
          <w:tcPr>
            <w:tcW w:w="1474" w:type="dxa"/>
          </w:tcPr>
          <w:p w14:paraId="25C363B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-71 981</w:t>
            </w:r>
          </w:p>
        </w:tc>
        <w:tc>
          <w:tcPr>
            <w:tcW w:w="1474" w:type="dxa"/>
          </w:tcPr>
          <w:p w14:paraId="53D4225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0C354CEE"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-35 000</w:t>
            </w:r>
          </w:p>
        </w:tc>
      </w:tr>
      <w:tr w:rsidR="00840382" w14:paraId="646088C6"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4AEA305A" w14:textId="77777777" w:rsidR="00840382" w:rsidRDefault="00840382" w:rsidP="00F3499B">
            <w:r>
              <w:t>Anslag netto</w:t>
            </w:r>
          </w:p>
        </w:tc>
        <w:tc>
          <w:tcPr>
            <w:tcW w:w="1474" w:type="dxa"/>
          </w:tcPr>
          <w:p w14:paraId="154DD406"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-38 981</w:t>
            </w:r>
          </w:p>
        </w:tc>
        <w:tc>
          <w:tcPr>
            <w:tcW w:w="1474" w:type="dxa"/>
          </w:tcPr>
          <w:p w14:paraId="65CBB02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523207C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-35 000</w:t>
            </w:r>
          </w:p>
        </w:tc>
      </w:tr>
    </w:tbl>
    <w:p w14:paraId="666BF1F6" w14:textId="77777777" w:rsidR="00840382" w:rsidRDefault="00840382" w:rsidP="00840382">
      <w:pPr>
        <w:pStyle w:val="Rubrik5"/>
      </w:pPr>
      <w:r>
        <w:t>Budgetmotivering</w:t>
      </w:r>
    </w:p>
    <w:p w14:paraId="562E68FF" w14:textId="77777777" w:rsidR="00840382" w:rsidRDefault="00840382" w:rsidP="00840382">
      <w:r>
        <w:t xml:space="preserve">Föreslås ett anslag om </w:t>
      </w:r>
      <w:proofErr w:type="gramStart"/>
      <w:r>
        <w:t>35.000</w:t>
      </w:r>
      <w:proofErr w:type="gramEnd"/>
      <w:r>
        <w:t xml:space="preserve"> euro.</w:t>
      </w:r>
    </w:p>
    <w:p w14:paraId="4D7ED76D" w14:textId="77777777" w:rsidR="00840382" w:rsidRDefault="00840382" w:rsidP="00840382">
      <w:pPr>
        <w:pStyle w:val="Rubrik5"/>
      </w:pPr>
      <w:r>
        <w:t>Utgifter</w:t>
      </w:r>
    </w:p>
    <w:p w14:paraId="161B53CE" w14:textId="77777777" w:rsidR="00840382" w:rsidRDefault="00840382" w:rsidP="00840382">
      <w:r>
        <w:t>Anslaget avser utdelning av kostnadsfria mun- och nässkydd i kollektivtrafiken. Enligt landskapsregeringens beslut (ÅLR 2020/6701, 5.1.2022) distribueras kostnadsfria mun- och nässkydd i kollektivtrafiken då rekommendationen till allmänheten om användning av mun- och nässkydd i kollektivtrafiken är i kraft. Distribution av kostnadsfria mun- och nässkydd gäller inom landskapet Åland för alla personer som har fyllt 12 år och använder kollektivtrafik vilket även inkluderar skärgårdsfärjor och matartrafik.</w:t>
      </w:r>
    </w:p>
    <w:p w14:paraId="316ACC32" w14:textId="77777777" w:rsidR="00840382" w:rsidRDefault="00840382" w:rsidP="00840382">
      <w:r>
        <w:t>Distribution och utdelning av kostnadsfria mun- och nässkydd i kollektivtrafiken görs enligt samma modell som utvecklades av landskapsregeringen tillsammans med Ålands hälso- och sjukvård och Ålandstrafiken med hjälp av skolor och andra aktörer.</w:t>
      </w:r>
    </w:p>
    <w:p w14:paraId="69286324" w14:textId="77777777" w:rsidR="00840382" w:rsidRDefault="00840382" w:rsidP="00840382">
      <w:pPr>
        <w:pStyle w:val="Rubrik2"/>
      </w:pPr>
      <w:r>
        <w:lastRenderedPageBreak/>
        <w:t>500 Utbildnings- och kulturavdelningens förvaltningsområde</w:t>
      </w:r>
    </w:p>
    <w:p w14:paraId="4D705922" w14:textId="77777777" w:rsidR="00840382" w:rsidRDefault="00840382" w:rsidP="00840382">
      <w:pPr>
        <w:pStyle w:val="Rubrik3"/>
      </w:pPr>
      <w:r>
        <w:t>502 Studiestöd</w:t>
      </w:r>
    </w:p>
    <w:p w14:paraId="6A184D42" w14:textId="77777777" w:rsidR="00840382" w:rsidRDefault="00840382" w:rsidP="00840382">
      <w:pPr>
        <w:pStyle w:val="Rubrik4"/>
      </w:pPr>
      <w:proofErr w:type="gramStart"/>
      <w:r>
        <w:t>50200</w:t>
      </w:r>
      <w:proofErr w:type="gramEnd"/>
      <w:r>
        <w:t xml:space="preserve"> Studiestöd (F)</w:t>
      </w:r>
    </w:p>
    <w:p w14:paraId="4158C9FF" w14:textId="77777777" w:rsidR="00840382" w:rsidRDefault="00840382" w:rsidP="00840382">
      <w:pPr>
        <w:pStyle w:val="HYP-Context"/>
      </w:pPr>
      <w:r>
        <w:rPr>
          <w:b/>
        </w:rPr>
        <w:t xml:space="preserve">Organisation: </w:t>
      </w:r>
      <w:r>
        <w:t xml:space="preserve">50200 </w:t>
      </w:r>
      <w:proofErr w:type="spellStart"/>
      <w:r>
        <w:t>Studiestöd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3C0F988B"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64A207E" w14:textId="77777777" w:rsidR="00840382" w:rsidRDefault="00840382" w:rsidP="00F3499B">
            <w:r>
              <w:t>Sammandrag</w:t>
            </w:r>
          </w:p>
        </w:tc>
        <w:tc>
          <w:tcPr>
            <w:tcW w:w="1474" w:type="dxa"/>
          </w:tcPr>
          <w:p w14:paraId="64CD47F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24F4997"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6C704C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05FFAB23"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3D5BDA32" w14:textId="77777777" w:rsidR="00840382" w:rsidRDefault="00840382" w:rsidP="00F3499B">
            <w:r>
              <w:t>Intäkter</w:t>
            </w:r>
          </w:p>
        </w:tc>
        <w:tc>
          <w:tcPr>
            <w:tcW w:w="1474" w:type="dxa"/>
          </w:tcPr>
          <w:p w14:paraId="07CE97DE"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39 335</w:t>
            </w:r>
          </w:p>
        </w:tc>
        <w:tc>
          <w:tcPr>
            <w:tcW w:w="1474" w:type="dxa"/>
          </w:tcPr>
          <w:p w14:paraId="1BA4E21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80 000</w:t>
            </w:r>
          </w:p>
        </w:tc>
        <w:tc>
          <w:tcPr>
            <w:tcW w:w="1474" w:type="dxa"/>
          </w:tcPr>
          <w:p w14:paraId="1F832A6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4FDB77A7"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3C5503C7" w14:textId="77777777" w:rsidR="00840382" w:rsidRDefault="00840382" w:rsidP="00F3499B">
            <w:r>
              <w:t>Kostnader</w:t>
            </w:r>
          </w:p>
        </w:tc>
        <w:tc>
          <w:tcPr>
            <w:tcW w:w="1474" w:type="dxa"/>
          </w:tcPr>
          <w:p w14:paraId="247ECDA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-8 039 759</w:t>
            </w:r>
          </w:p>
        </w:tc>
        <w:tc>
          <w:tcPr>
            <w:tcW w:w="1474" w:type="dxa"/>
          </w:tcPr>
          <w:p w14:paraId="2FA32EEB"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-8 251 000</w:t>
            </w:r>
          </w:p>
        </w:tc>
        <w:tc>
          <w:tcPr>
            <w:tcW w:w="1474" w:type="dxa"/>
          </w:tcPr>
          <w:p w14:paraId="224BC544"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r w:rsidR="00840382" w14:paraId="1E07D882"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318A131E" w14:textId="77777777" w:rsidR="00840382" w:rsidRDefault="00840382" w:rsidP="00F3499B">
            <w:r>
              <w:t>Anslag netto</w:t>
            </w:r>
          </w:p>
        </w:tc>
        <w:tc>
          <w:tcPr>
            <w:tcW w:w="1474" w:type="dxa"/>
          </w:tcPr>
          <w:p w14:paraId="190C2A6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-8 000 424</w:t>
            </w:r>
          </w:p>
        </w:tc>
        <w:tc>
          <w:tcPr>
            <w:tcW w:w="1474" w:type="dxa"/>
          </w:tcPr>
          <w:p w14:paraId="02C2CC3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-8 171 000</w:t>
            </w:r>
          </w:p>
        </w:tc>
        <w:tc>
          <w:tcPr>
            <w:tcW w:w="1474" w:type="dxa"/>
          </w:tcPr>
          <w:p w14:paraId="06203E6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bl>
    <w:p w14:paraId="2E09B5D4" w14:textId="77777777" w:rsidR="00840382" w:rsidRDefault="00840382" w:rsidP="00840382">
      <w:pPr>
        <w:pStyle w:val="Rubrik5"/>
      </w:pPr>
      <w:r>
        <w:t>Budgetmotivering</w:t>
      </w:r>
    </w:p>
    <w:p w14:paraId="459162F7" w14:textId="77777777" w:rsidR="00840382" w:rsidRDefault="00840382" w:rsidP="00840382">
      <w:r>
        <w:t xml:space="preserve">Föreslås ett tillägg om </w:t>
      </w:r>
      <w:proofErr w:type="gramStart"/>
      <w:r>
        <w:t>300.000</w:t>
      </w:r>
      <w:proofErr w:type="gramEnd"/>
      <w:r>
        <w:t xml:space="preserve"> euro.</w:t>
      </w:r>
    </w:p>
    <w:p w14:paraId="758E70DC" w14:textId="77777777" w:rsidR="00840382" w:rsidRDefault="00840382" w:rsidP="00840382">
      <w:pPr>
        <w:pStyle w:val="Rubrik5"/>
      </w:pPr>
      <w:r>
        <w:t>Utgifter</w:t>
      </w:r>
    </w:p>
    <w:p w14:paraId="748CA93F" w14:textId="77777777" w:rsidR="00840382" w:rsidRDefault="00840382" w:rsidP="00840382">
      <w:r>
        <w:t>Coronavirusepidemin har fortsatt påverkan på det åländska samhället och beräknas även ha det under år 2022. Åtgärder krävs av olika slag för att lindra de konsekvenser epidemin skapar. Det finns ett behov av att studerande under epidemin ska kunna arbeta och tillfälligt avlasta vård och omsorg men även andra för samhället viktiga funktioner.</w:t>
      </w:r>
    </w:p>
    <w:p w14:paraId="5345C382" w14:textId="560958A9" w:rsidR="00840382" w:rsidRDefault="00840382" w:rsidP="00840382">
      <w:r>
        <w:t>Landskapsregeringen föreslår därför i ett lagförslag</w:t>
      </w:r>
      <w:r w:rsidR="009F790B">
        <w:t xml:space="preserve"> (</w:t>
      </w:r>
      <w:hyperlink r:id="rId22" w:history="1">
        <w:r w:rsidR="009F790B" w:rsidRPr="009F790B">
          <w:rPr>
            <w:rStyle w:val="Hyperlnk"/>
          </w:rPr>
          <w:t>LF</w:t>
        </w:r>
        <w:r w:rsidR="002F37FA">
          <w:rPr>
            <w:rStyle w:val="Hyperlnk"/>
          </w:rPr>
          <w:t xml:space="preserve"> nr</w:t>
        </w:r>
        <w:r w:rsidR="009F790B" w:rsidRPr="009F790B">
          <w:rPr>
            <w:rStyle w:val="Hyperlnk"/>
          </w:rPr>
          <w:t xml:space="preserve"> 9/</w:t>
        </w:r>
        <w:proofErr w:type="gramStart"/>
        <w:r w:rsidR="009F790B" w:rsidRPr="009F790B">
          <w:rPr>
            <w:rStyle w:val="Hyperlnk"/>
          </w:rPr>
          <w:t>2021-2022</w:t>
        </w:r>
        <w:proofErr w:type="gramEnd"/>
      </w:hyperlink>
      <w:r w:rsidR="009F790B">
        <w:t>)</w:t>
      </w:r>
      <w:r>
        <w:t xml:space="preserve"> att inkomstgränsen för lyftande av studiestöd i fråga om förvärvsinkomst slopas temporärt under år 2022 för de studiestöd som utbetalas efter att den föreslagna lagen har trätt i kraft. Slopandet av inkomstgränsen möjliggör för studerande att vid sidan av studierna kunna arbeta som vikarier under kortare perioder utan att arbetsinsatsen påverkar möjligheten att lyfta studiestöd. Förslaget bidrar också till att öka studerandes intresse för en arbetsinsats vid sidan av studierna. Förslagets inverkan på landskapets kostnader för studiestödet under år 2022 är svåra att bedöma men har kalkylerats uppgå till </w:t>
      </w:r>
      <w:proofErr w:type="gramStart"/>
      <w:r>
        <w:t>300.000</w:t>
      </w:r>
      <w:proofErr w:type="gramEnd"/>
      <w:r>
        <w:t xml:space="preserve"> euro om lagen kan träda i kraft den 1 mars 2022.</w:t>
      </w:r>
    </w:p>
    <w:p w14:paraId="366A222D" w14:textId="77777777" w:rsidR="00840382" w:rsidRDefault="00840382" w:rsidP="00840382">
      <w:r>
        <w:t>Lagförslaget är avsett att behandlas som en så kallad budgetlag. Landskapsregeringen anser det viktigt att de förändringar som föreslås i fråga om studiestödet kan träda i kraft så snart som möjligt, redan innan den lagstiftningskontroll som avses i 19 § i självstyrelselagen är slutförd.</w:t>
      </w:r>
    </w:p>
    <w:p w14:paraId="20ADEAEC" w14:textId="77777777" w:rsidR="00840382" w:rsidRDefault="00840382" w:rsidP="00840382">
      <w:pPr>
        <w:pStyle w:val="Rubrik3"/>
      </w:pPr>
      <w:r>
        <w:t>511 Kultur- och kulturmiljöförvaltning</w:t>
      </w:r>
    </w:p>
    <w:p w14:paraId="4B1A19A7" w14:textId="77777777" w:rsidR="00840382" w:rsidRDefault="00840382" w:rsidP="00840382">
      <w:pPr>
        <w:pStyle w:val="Rubrik4"/>
      </w:pPr>
      <w:proofErr w:type="gramStart"/>
      <w:r>
        <w:t>51100</w:t>
      </w:r>
      <w:proofErr w:type="gramEnd"/>
      <w:r>
        <w:t xml:space="preserve"> Kultur- och kulturmiljöförvaltning</w:t>
      </w:r>
    </w:p>
    <w:p w14:paraId="4357052B" w14:textId="77777777" w:rsidR="00840382" w:rsidRDefault="00840382" w:rsidP="00840382">
      <w:pPr>
        <w:pStyle w:val="HYP-Context"/>
      </w:pPr>
      <w:r>
        <w:rPr>
          <w:b/>
        </w:rPr>
        <w:t xml:space="preserve">Organisation: </w:t>
      </w:r>
      <w:r>
        <w:t xml:space="preserve">51100 Kultur o </w:t>
      </w:r>
      <w:proofErr w:type="spellStart"/>
      <w:r>
        <w:t>kulturmiljöförvaltn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698E2995"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C6E12DE" w14:textId="77777777" w:rsidR="00840382" w:rsidRDefault="00840382" w:rsidP="00F3499B">
            <w:r>
              <w:t>Sammandrag</w:t>
            </w:r>
          </w:p>
        </w:tc>
        <w:tc>
          <w:tcPr>
            <w:tcW w:w="1474" w:type="dxa"/>
          </w:tcPr>
          <w:p w14:paraId="25D6BD18"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A2111A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1AF9FB2"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50936749"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0DDE22A2" w14:textId="77777777" w:rsidR="00840382" w:rsidRDefault="00840382" w:rsidP="00F3499B">
            <w:r>
              <w:t>Intäkter</w:t>
            </w:r>
          </w:p>
        </w:tc>
        <w:tc>
          <w:tcPr>
            <w:tcW w:w="1474" w:type="dxa"/>
          </w:tcPr>
          <w:p w14:paraId="1DE34AB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2 308</w:t>
            </w:r>
          </w:p>
        </w:tc>
        <w:tc>
          <w:tcPr>
            <w:tcW w:w="1474" w:type="dxa"/>
          </w:tcPr>
          <w:p w14:paraId="33B6FCBE"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0E0AD4D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57EDA700"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41EE440B" w14:textId="77777777" w:rsidR="00840382" w:rsidRDefault="00840382" w:rsidP="00F3499B">
            <w:r>
              <w:t>Kostnader</w:t>
            </w:r>
          </w:p>
        </w:tc>
        <w:tc>
          <w:tcPr>
            <w:tcW w:w="1474" w:type="dxa"/>
          </w:tcPr>
          <w:p w14:paraId="6CB542BE"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-788 845</w:t>
            </w:r>
          </w:p>
        </w:tc>
        <w:tc>
          <w:tcPr>
            <w:tcW w:w="1474" w:type="dxa"/>
          </w:tcPr>
          <w:p w14:paraId="00CE70A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-686 000</w:t>
            </w:r>
          </w:p>
        </w:tc>
        <w:tc>
          <w:tcPr>
            <w:tcW w:w="1474" w:type="dxa"/>
          </w:tcPr>
          <w:p w14:paraId="0AC58E38"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-45 000</w:t>
            </w:r>
          </w:p>
        </w:tc>
      </w:tr>
      <w:tr w:rsidR="00840382" w14:paraId="45887B0C"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532C9A3B" w14:textId="77777777" w:rsidR="00840382" w:rsidRDefault="00840382" w:rsidP="00F3499B">
            <w:r>
              <w:t>Anslag netto</w:t>
            </w:r>
          </w:p>
        </w:tc>
        <w:tc>
          <w:tcPr>
            <w:tcW w:w="1474" w:type="dxa"/>
          </w:tcPr>
          <w:p w14:paraId="7125A8E4"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-786 537</w:t>
            </w:r>
          </w:p>
        </w:tc>
        <w:tc>
          <w:tcPr>
            <w:tcW w:w="1474" w:type="dxa"/>
          </w:tcPr>
          <w:p w14:paraId="4CCD1C67"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-683 000</w:t>
            </w:r>
          </w:p>
        </w:tc>
        <w:tc>
          <w:tcPr>
            <w:tcW w:w="1474" w:type="dxa"/>
          </w:tcPr>
          <w:p w14:paraId="73C772B5"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-45 000</w:t>
            </w:r>
          </w:p>
        </w:tc>
      </w:tr>
    </w:tbl>
    <w:p w14:paraId="1FE5476A" w14:textId="77777777" w:rsidR="00840382" w:rsidRDefault="00840382" w:rsidP="00840382">
      <w:pPr>
        <w:pStyle w:val="Rubrik5"/>
      </w:pPr>
      <w:r>
        <w:t>Budgetmotivering</w:t>
      </w:r>
    </w:p>
    <w:p w14:paraId="39F16EFF" w14:textId="77777777" w:rsidR="00840382" w:rsidRDefault="00840382" w:rsidP="00840382">
      <w:r>
        <w:t xml:space="preserve">Föreslås en ökning av anslaget om </w:t>
      </w:r>
      <w:proofErr w:type="gramStart"/>
      <w:r>
        <w:t>45.000</w:t>
      </w:r>
      <w:proofErr w:type="gramEnd"/>
      <w:r>
        <w:t xml:space="preserve"> euro.</w:t>
      </w:r>
    </w:p>
    <w:p w14:paraId="7E3BFD08" w14:textId="77777777" w:rsidR="00840382" w:rsidRDefault="00840382" w:rsidP="00840382">
      <w:pPr>
        <w:pStyle w:val="Rubrik5"/>
      </w:pPr>
      <w:r>
        <w:t>Utgifter</w:t>
      </w:r>
    </w:p>
    <w:p w14:paraId="5E671849" w14:textId="77777777" w:rsidR="00840382" w:rsidRDefault="00840382" w:rsidP="00840382">
      <w:r>
        <w:t xml:space="preserve">Anslaget avser kostnader för lagstadgade arkeologiska undersökningar i </w:t>
      </w:r>
      <w:proofErr w:type="spellStart"/>
      <w:r>
        <w:t>Sålis</w:t>
      </w:r>
      <w:proofErr w:type="spellEnd"/>
      <w:r>
        <w:t xml:space="preserve">, Saltvik och </w:t>
      </w:r>
      <w:proofErr w:type="spellStart"/>
      <w:r>
        <w:t>Lövvik</w:t>
      </w:r>
      <w:proofErr w:type="spellEnd"/>
      <w:r>
        <w:t xml:space="preserve">, Sund. Undersökningarna görs med stöd av landskapsregeringens beslut i enlighet med 11 § i landskapslagen (1965:9) om fornminnen (245 U3a, dat. 26.10.2021 respektive 272 U3a, dat. 30.11.2021). De totala </w:t>
      </w:r>
      <w:r>
        <w:lastRenderedPageBreak/>
        <w:t xml:space="preserve">kostnaderna för undersökningarna uppskattas till </w:t>
      </w:r>
      <w:proofErr w:type="gramStart"/>
      <w:r>
        <w:t>55.000</w:t>
      </w:r>
      <w:proofErr w:type="gramEnd"/>
      <w:r>
        <w:t xml:space="preserve"> euro, varav 10.000 bekostas med ordinarie budget. Anslaget överförs till Ålands museum som genomför undersökningarna.</w:t>
      </w:r>
    </w:p>
    <w:p w14:paraId="341B9671" w14:textId="77777777" w:rsidR="00840382" w:rsidRDefault="00840382" w:rsidP="00840382">
      <w:r>
        <w:t>Undersökningarna planeras att äga rum från april och pågå till hösten. Genom att genomföra undersökningarna under verksamhetsåret 2022 säkrar landskapsregeringen att de privata fastighetsägarna som under hösten 2021 beviljats tillstånd att rubba fast fornlämning kan ges tillgång till de berörda ytorna under slutet av året.</w:t>
      </w:r>
    </w:p>
    <w:p w14:paraId="21673270" w14:textId="77777777" w:rsidR="00840382" w:rsidRDefault="00840382" w:rsidP="00840382">
      <w:pPr>
        <w:pStyle w:val="Rubrik3"/>
      </w:pPr>
      <w:r>
        <w:t>516 Penningautomatmedel för kulturell verksamhet</w:t>
      </w:r>
    </w:p>
    <w:p w14:paraId="0F06ADCF" w14:textId="77777777" w:rsidR="00840382" w:rsidRDefault="00840382" w:rsidP="00840382">
      <w:pPr>
        <w:pStyle w:val="Rubrik4"/>
      </w:pPr>
      <w:proofErr w:type="gramStart"/>
      <w:r>
        <w:t>51600</w:t>
      </w:r>
      <w:proofErr w:type="gramEnd"/>
      <w:r>
        <w:t xml:space="preserve"> Penningautomatmedel för kulturell verksamhet, överföringar (R)</w:t>
      </w:r>
    </w:p>
    <w:p w14:paraId="0E469DBE" w14:textId="77777777" w:rsidR="00840382" w:rsidRDefault="00840382" w:rsidP="00840382">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840382" w14:paraId="6091F21A"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61E36B3" w14:textId="77777777" w:rsidR="00840382" w:rsidRDefault="00840382" w:rsidP="00F3499B">
            <w:r>
              <w:t>Sammandrag</w:t>
            </w:r>
          </w:p>
        </w:tc>
        <w:tc>
          <w:tcPr>
            <w:tcW w:w="1474" w:type="dxa"/>
          </w:tcPr>
          <w:p w14:paraId="10253F1B"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FF2AC9F"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BD54A59"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840382" w14:paraId="04DF3BC9"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5A01AB02" w14:textId="77777777" w:rsidR="00840382" w:rsidRDefault="00840382" w:rsidP="00F3499B">
            <w:r>
              <w:t>Intäkter</w:t>
            </w:r>
          </w:p>
        </w:tc>
        <w:tc>
          <w:tcPr>
            <w:tcW w:w="1474" w:type="dxa"/>
          </w:tcPr>
          <w:p w14:paraId="0D0A4438"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5DE7DFA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c>
          <w:tcPr>
            <w:tcW w:w="1474" w:type="dxa"/>
          </w:tcPr>
          <w:p w14:paraId="237CC6B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57862C8D"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03054C70" w14:textId="77777777" w:rsidR="00840382" w:rsidRDefault="00840382" w:rsidP="00F3499B">
            <w:r>
              <w:t>Kostnader</w:t>
            </w:r>
          </w:p>
        </w:tc>
        <w:tc>
          <w:tcPr>
            <w:tcW w:w="1474" w:type="dxa"/>
          </w:tcPr>
          <w:p w14:paraId="7D5223EC"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-1 758 495</w:t>
            </w:r>
          </w:p>
        </w:tc>
        <w:tc>
          <w:tcPr>
            <w:tcW w:w="1474" w:type="dxa"/>
          </w:tcPr>
          <w:p w14:paraId="533920A1"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-2 190 000</w:t>
            </w:r>
          </w:p>
        </w:tc>
        <w:tc>
          <w:tcPr>
            <w:tcW w:w="1474" w:type="dxa"/>
          </w:tcPr>
          <w:p w14:paraId="51A58FB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r w:rsidR="00840382" w14:paraId="0A84C485" w14:textId="77777777" w:rsidTr="00F3499B">
        <w:tc>
          <w:tcPr>
            <w:cnfStyle w:val="001000000000" w:firstRow="0" w:lastRow="0" w:firstColumn="1" w:lastColumn="0" w:oddVBand="0" w:evenVBand="0" w:oddHBand="0" w:evenHBand="0" w:firstRowFirstColumn="0" w:firstRowLastColumn="0" w:lastRowFirstColumn="0" w:lastRowLastColumn="0"/>
            <w:tcW w:w="4649" w:type="dxa"/>
          </w:tcPr>
          <w:p w14:paraId="5168005A" w14:textId="77777777" w:rsidR="00840382" w:rsidRDefault="00840382" w:rsidP="00F3499B">
            <w:r>
              <w:t>Anslag netto</w:t>
            </w:r>
          </w:p>
        </w:tc>
        <w:tc>
          <w:tcPr>
            <w:tcW w:w="1474" w:type="dxa"/>
          </w:tcPr>
          <w:p w14:paraId="1DE2627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-1 758 495</w:t>
            </w:r>
          </w:p>
        </w:tc>
        <w:tc>
          <w:tcPr>
            <w:tcW w:w="1474" w:type="dxa"/>
          </w:tcPr>
          <w:p w14:paraId="10E7A2E2"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-2 190 000</w:t>
            </w:r>
          </w:p>
        </w:tc>
        <w:tc>
          <w:tcPr>
            <w:tcW w:w="1474" w:type="dxa"/>
          </w:tcPr>
          <w:p w14:paraId="2160680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-300 000</w:t>
            </w:r>
          </w:p>
        </w:tc>
      </w:tr>
    </w:tbl>
    <w:p w14:paraId="2273D738" w14:textId="77777777" w:rsidR="00840382" w:rsidRDefault="00840382" w:rsidP="00840382">
      <w:pPr>
        <w:pStyle w:val="Rubrik5"/>
      </w:pPr>
      <w:r>
        <w:t>Budgetmotivering</w:t>
      </w:r>
    </w:p>
    <w:p w14:paraId="51143BF6" w14:textId="77777777" w:rsidR="00840382" w:rsidRDefault="00840382" w:rsidP="00840382">
      <w:r>
        <w:t xml:space="preserve">Föreslås en ökning av anslaget om </w:t>
      </w:r>
      <w:proofErr w:type="gramStart"/>
      <w:r>
        <w:t>300.000</w:t>
      </w:r>
      <w:proofErr w:type="gramEnd"/>
      <w:r>
        <w:t xml:space="preserve"> euro. Se även moment </w:t>
      </w:r>
      <w:proofErr w:type="gramStart"/>
      <w:r>
        <w:t>35000</w:t>
      </w:r>
      <w:proofErr w:type="gramEnd"/>
      <w:r>
        <w:t>.</w:t>
      </w:r>
    </w:p>
    <w:p w14:paraId="104D2430" w14:textId="77777777" w:rsidR="00840382" w:rsidRDefault="00840382" w:rsidP="00840382">
      <w:pPr>
        <w:pStyle w:val="Rubrik5"/>
      </w:pPr>
      <w:r>
        <w:t>Utgifter</w:t>
      </w:r>
    </w:p>
    <w:p w14:paraId="7A71F46A" w14:textId="77777777" w:rsidR="00840382" w:rsidRDefault="00840382" w:rsidP="00840382">
      <w:r>
        <w:t>Anslaget avser produktionsstöd till produktionsbolaget Solar Films filmprojekt Stormskärs Maja. Stödet, som kan beviljas i enlighet med kapitel I, artikel 53 och artikel 54 i kommissionens förordning (EU) nr 651/2014, är ett maxbelopp som täcker en del av bolagets kostnader på Åland och utbetalas mot redovisning.</w:t>
      </w:r>
    </w:p>
    <w:p w14:paraId="00BA8272" w14:textId="77777777" w:rsidR="00840382" w:rsidRDefault="00840382" w:rsidP="00840382">
      <w:r>
        <w:t>Genom att bevilja stödet säkras inspelningen till Åland vilket i sin tur innebär att det åländska näringslivet ges möjlighet till inkomster i form av ersättningar för bland annat tjänster, varor och övernattningar. Inspelningen av filmen kommer att äga rum under lågsäsong.</w:t>
      </w:r>
    </w:p>
    <w:p w14:paraId="5DC67933" w14:textId="77777777" w:rsidR="00C60E6C" w:rsidRDefault="00C60E6C" w:rsidP="00C60E6C">
      <w:pPr>
        <w:pStyle w:val="Rubrik2"/>
      </w:pPr>
      <w:r>
        <w:t>700 Infrastrukturavdelningens förvaltningsområde</w:t>
      </w:r>
    </w:p>
    <w:p w14:paraId="22248688" w14:textId="77777777" w:rsidR="00C60E6C" w:rsidRDefault="00C60E6C" w:rsidP="00C60E6C">
      <w:pPr>
        <w:pStyle w:val="Rubrik3"/>
      </w:pPr>
      <w:r>
        <w:t>747 Övrig trafik</w:t>
      </w:r>
    </w:p>
    <w:p w14:paraId="6E49D5C3" w14:textId="77777777" w:rsidR="00C60E6C" w:rsidRDefault="00C60E6C" w:rsidP="00C60E6C">
      <w:pPr>
        <w:pStyle w:val="Rubrik4"/>
      </w:pPr>
      <w:proofErr w:type="gramStart"/>
      <w:r>
        <w:t>74700</w:t>
      </w:r>
      <w:proofErr w:type="gramEnd"/>
      <w:r>
        <w:t xml:space="preserve"> Övrig trafik, överföringar</w:t>
      </w:r>
    </w:p>
    <w:p w14:paraId="219A892F" w14:textId="77777777" w:rsidR="00C60E6C" w:rsidRDefault="00C60E6C" w:rsidP="00C60E6C">
      <w:pPr>
        <w:pStyle w:val="HYP-Context"/>
      </w:pPr>
      <w:r>
        <w:rPr>
          <w:b/>
        </w:rPr>
        <w:t xml:space="preserve">Organisation: </w:t>
      </w:r>
      <w:r>
        <w:t xml:space="preserve">74700 </w:t>
      </w:r>
      <w:proofErr w:type="spellStart"/>
      <w:r>
        <w:t>Understöd</w:t>
      </w:r>
      <w:proofErr w:type="spellEnd"/>
      <w:r>
        <w:t xml:space="preserve"> för </w:t>
      </w:r>
      <w:proofErr w:type="spellStart"/>
      <w:r>
        <w:t>övrig</w:t>
      </w:r>
      <w:proofErr w:type="spellEnd"/>
      <w:r>
        <w:t xml:space="preserve"> </w:t>
      </w:r>
      <w:proofErr w:type="spellStart"/>
      <w:r>
        <w:t>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C60E6C" w14:paraId="6C7785FA" w14:textId="77777777" w:rsidTr="00E80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08DA6EB" w14:textId="77777777" w:rsidR="00C60E6C" w:rsidRDefault="00C60E6C" w:rsidP="00E8007A">
            <w:r>
              <w:t>Sammandrag</w:t>
            </w:r>
          </w:p>
        </w:tc>
        <w:tc>
          <w:tcPr>
            <w:tcW w:w="1474" w:type="dxa"/>
          </w:tcPr>
          <w:p w14:paraId="15494CDB"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8162BFA"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5A1D50F"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C60E6C" w14:paraId="12FBE953"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405BA661" w14:textId="77777777" w:rsidR="00C60E6C" w:rsidRDefault="00C60E6C" w:rsidP="00E8007A">
            <w:r>
              <w:t>Intäkter</w:t>
            </w:r>
          </w:p>
        </w:tc>
        <w:tc>
          <w:tcPr>
            <w:tcW w:w="1474" w:type="dxa"/>
          </w:tcPr>
          <w:p w14:paraId="170ABA12"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c>
          <w:tcPr>
            <w:tcW w:w="1474" w:type="dxa"/>
          </w:tcPr>
          <w:p w14:paraId="11910E6C"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c>
          <w:tcPr>
            <w:tcW w:w="1474" w:type="dxa"/>
          </w:tcPr>
          <w:p w14:paraId="04E2FC76"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r>
      <w:tr w:rsidR="00C60E6C" w14:paraId="58AF999D"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6532E04E" w14:textId="77777777" w:rsidR="00C60E6C" w:rsidRDefault="00C60E6C" w:rsidP="00E8007A">
            <w:r>
              <w:t>Kostnader</w:t>
            </w:r>
          </w:p>
        </w:tc>
        <w:tc>
          <w:tcPr>
            <w:tcW w:w="1474" w:type="dxa"/>
          </w:tcPr>
          <w:p w14:paraId="6BD3F14A"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-2 801 599</w:t>
            </w:r>
          </w:p>
        </w:tc>
        <w:tc>
          <w:tcPr>
            <w:tcW w:w="1474" w:type="dxa"/>
          </w:tcPr>
          <w:p w14:paraId="3CDCA5BC"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-2 134 000</w:t>
            </w:r>
          </w:p>
        </w:tc>
        <w:tc>
          <w:tcPr>
            <w:tcW w:w="1474" w:type="dxa"/>
          </w:tcPr>
          <w:p w14:paraId="77CEEEE4"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r>
      <w:tr w:rsidR="00C60E6C" w14:paraId="6E1A09AC"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63A4EE61" w14:textId="77777777" w:rsidR="00C60E6C" w:rsidRDefault="00C60E6C" w:rsidP="00E8007A">
            <w:r>
              <w:t>Anslag netto</w:t>
            </w:r>
          </w:p>
        </w:tc>
        <w:tc>
          <w:tcPr>
            <w:tcW w:w="1474" w:type="dxa"/>
          </w:tcPr>
          <w:p w14:paraId="4959F0FB"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-2 801 599</w:t>
            </w:r>
          </w:p>
        </w:tc>
        <w:tc>
          <w:tcPr>
            <w:tcW w:w="1474" w:type="dxa"/>
          </w:tcPr>
          <w:p w14:paraId="1A7E9CAF"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-2 134 000</w:t>
            </w:r>
          </w:p>
        </w:tc>
        <w:tc>
          <w:tcPr>
            <w:tcW w:w="1474" w:type="dxa"/>
          </w:tcPr>
          <w:p w14:paraId="064DB4B4"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r>
    </w:tbl>
    <w:p w14:paraId="77F1F2BC" w14:textId="77777777" w:rsidR="00C60E6C" w:rsidRDefault="00C60E6C" w:rsidP="00C60E6C">
      <w:pPr>
        <w:pStyle w:val="Rubrik5"/>
      </w:pPr>
      <w:r>
        <w:t>Budgetmotivering</w:t>
      </w:r>
    </w:p>
    <w:p w14:paraId="17F9FBD4" w14:textId="77777777" w:rsidR="00C60E6C" w:rsidRDefault="00C60E6C" w:rsidP="00C60E6C">
      <w:r>
        <w:t>Föreslås att motiveringen kompletteras enligt nedanstående.</w:t>
      </w:r>
    </w:p>
    <w:p w14:paraId="6C3EAC49" w14:textId="77777777" w:rsidR="00C60E6C" w:rsidRDefault="00C60E6C" w:rsidP="00C60E6C">
      <w:pPr>
        <w:pStyle w:val="Rubrik5"/>
      </w:pPr>
      <w:r>
        <w:t>Utgifter</w:t>
      </w:r>
    </w:p>
    <w:p w14:paraId="3B64562B" w14:textId="6DB01DB2" w:rsidR="00C60E6C" w:rsidRDefault="00C60E6C" w:rsidP="00C60E6C">
      <w:r>
        <w:t xml:space="preserve">I grundbudgeten ingår ett anslag om </w:t>
      </w:r>
      <w:proofErr w:type="gramStart"/>
      <w:r>
        <w:t>2.034.000</w:t>
      </w:r>
      <w:proofErr w:type="gramEnd"/>
      <w:r>
        <w:t xml:space="preserve"> euro för avtalsenliga kostnader för flygtrafik på linjen Mariehamn-Stockholm/Arlanda. Till följd av en företagsrekonstruktion har flygbolaget som verkar på linjen ställt in flygtrafiken med omedelbar verkan i slutet på januari</w:t>
      </w:r>
      <w:r w:rsidR="00077DCC">
        <w:t xml:space="preserve"> och som ett resultat av detta har landskapsregeringen hävt avtalet</w:t>
      </w:r>
      <w:r>
        <w:t>. Landskapsregeringen</w:t>
      </w:r>
      <w:r w:rsidR="003B21E5">
        <w:t xml:space="preserve"> har inlett arb</w:t>
      </w:r>
      <w:r>
        <w:t>et</w:t>
      </w:r>
      <w:r w:rsidR="003B21E5">
        <w:t>e</w:t>
      </w:r>
      <w:r w:rsidR="00077DCC">
        <w:t>t</w:t>
      </w:r>
      <w:r>
        <w:t xml:space="preserve"> med att lösa trafiken. Landskapsregeringen har som en tillfällig lösning avtalat om trafik på linjen Mariehamn-Åbo då den är viktig för patienttransporter. Föreliggande moment belastas</w:t>
      </w:r>
      <w:r w:rsidR="003B21E5">
        <w:t xml:space="preserve"> således även</w:t>
      </w:r>
      <w:r>
        <w:t xml:space="preserve"> med kostnader för trafiken </w:t>
      </w:r>
      <w:r>
        <w:lastRenderedPageBreak/>
        <w:t xml:space="preserve">på linjen Mariehamn-Åbo. </w:t>
      </w:r>
      <w:r w:rsidR="003B21E5">
        <w:t xml:space="preserve">Landskapsregeringen </w:t>
      </w:r>
      <w:r>
        <w:t>återkommer i ett senare förslag till tilläggsbudget</w:t>
      </w:r>
      <w:r w:rsidR="00077DCC">
        <w:t xml:space="preserve"> med förslag om fullmakt för en långsiktig lösning</w:t>
      </w:r>
      <w:r>
        <w:t>.</w:t>
      </w:r>
    </w:p>
    <w:p w14:paraId="0E2AED50" w14:textId="346926D2" w:rsidR="00840382" w:rsidRDefault="00840382" w:rsidP="00840382">
      <w:pPr>
        <w:pStyle w:val="Rubrik2"/>
      </w:pPr>
      <w:r>
        <w:t>80 - 88 Myndigheter samt fristående enheter</w:t>
      </w:r>
    </w:p>
    <w:p w14:paraId="1FDEDBC0" w14:textId="77777777" w:rsidR="00840382" w:rsidRDefault="00840382" w:rsidP="00840382">
      <w:pPr>
        <w:pStyle w:val="Rubrik3"/>
      </w:pPr>
      <w:r>
        <w:t>840 Ålands hälso- och sjukvård</w:t>
      </w:r>
    </w:p>
    <w:p w14:paraId="43A110E1" w14:textId="77777777" w:rsidR="00840382" w:rsidRDefault="00840382" w:rsidP="00840382">
      <w:pPr>
        <w:pStyle w:val="Rubrik4"/>
      </w:pPr>
      <w:r>
        <w:t>84000 Ålands hälso- och sjukvård, verksamhet</w:t>
      </w:r>
    </w:p>
    <w:tbl>
      <w:tblPr>
        <w:tblStyle w:val="Tabellrutnt"/>
        <w:tblW w:w="0" w:type="auto"/>
        <w:tblLook w:val="04A0" w:firstRow="1" w:lastRow="0" w:firstColumn="1" w:lastColumn="0" w:noHBand="0" w:noVBand="1"/>
      </w:tblPr>
      <w:tblGrid>
        <w:gridCol w:w="3119"/>
        <w:gridCol w:w="2018"/>
        <w:gridCol w:w="2016"/>
        <w:gridCol w:w="1919"/>
      </w:tblGrid>
      <w:tr w:rsidR="00840382" w14:paraId="7564324A" w14:textId="77777777" w:rsidTr="00F3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tcPr>
          <w:p w14:paraId="15116BCF" w14:textId="77777777" w:rsidR="00840382" w:rsidRDefault="00840382" w:rsidP="00F3499B">
            <w:r>
              <w:t>Sammandrag</w:t>
            </w:r>
          </w:p>
        </w:tc>
        <w:tc>
          <w:tcPr>
            <w:tcW w:w="2139" w:type="dxa"/>
          </w:tcPr>
          <w:p w14:paraId="58619ABF"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Bokslut 2021</w:t>
            </w:r>
          </w:p>
        </w:tc>
        <w:tc>
          <w:tcPr>
            <w:tcW w:w="2139" w:type="dxa"/>
          </w:tcPr>
          <w:p w14:paraId="337A7438"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Budget 2022</w:t>
            </w:r>
          </w:p>
        </w:tc>
        <w:tc>
          <w:tcPr>
            <w:tcW w:w="2031" w:type="dxa"/>
          </w:tcPr>
          <w:p w14:paraId="7BC95238" w14:textId="77777777" w:rsidR="00840382" w:rsidRDefault="00840382" w:rsidP="00F3499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w:t>
            </w:r>
          </w:p>
        </w:tc>
      </w:tr>
      <w:tr w:rsidR="00840382" w14:paraId="7A581581"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1FEA3C24" w14:textId="77777777" w:rsidR="00840382" w:rsidRDefault="00840382" w:rsidP="00F3499B">
            <w:r>
              <w:t>Verksamhetens intäkter</w:t>
            </w:r>
          </w:p>
        </w:tc>
        <w:tc>
          <w:tcPr>
            <w:tcW w:w="2139" w:type="dxa"/>
          </w:tcPr>
          <w:p w14:paraId="78120345" w14:textId="2A3DD68D" w:rsidR="00840382" w:rsidRDefault="00840382" w:rsidP="00F3499B">
            <w:pPr>
              <w:cnfStyle w:val="000000000000" w:firstRow="0" w:lastRow="0" w:firstColumn="0" w:lastColumn="0" w:oddVBand="0" w:evenVBand="0" w:oddHBand="0" w:evenHBand="0" w:firstRowFirstColumn="0" w:firstRowLastColumn="0" w:lastRowFirstColumn="0" w:lastRowLastColumn="0"/>
            </w:pPr>
            <w:r>
              <w:t xml:space="preserve">11 </w:t>
            </w:r>
            <w:r w:rsidR="00DE2F71">
              <w:t>932</w:t>
            </w:r>
            <w:r>
              <w:t xml:space="preserve"> </w:t>
            </w:r>
            <w:r w:rsidR="00DE2F71">
              <w:t>558</w:t>
            </w:r>
          </w:p>
        </w:tc>
        <w:tc>
          <w:tcPr>
            <w:tcW w:w="2139" w:type="dxa"/>
          </w:tcPr>
          <w:p w14:paraId="6614783B"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8 099 000</w:t>
            </w:r>
          </w:p>
        </w:tc>
        <w:tc>
          <w:tcPr>
            <w:tcW w:w="2031" w:type="dxa"/>
          </w:tcPr>
          <w:p w14:paraId="3A556D8A"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3995AB1E"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203DF5EB" w14:textId="77777777" w:rsidR="00840382" w:rsidRDefault="00840382" w:rsidP="00F3499B">
            <w:r>
              <w:t>Verksamhetens kostnader</w:t>
            </w:r>
          </w:p>
        </w:tc>
        <w:tc>
          <w:tcPr>
            <w:tcW w:w="2139" w:type="dxa"/>
          </w:tcPr>
          <w:p w14:paraId="040FFC2F" w14:textId="337A5B02" w:rsidR="00840382" w:rsidRDefault="00840382" w:rsidP="00F3499B">
            <w:pPr>
              <w:cnfStyle w:val="000000000000" w:firstRow="0" w:lastRow="0" w:firstColumn="0" w:lastColumn="0" w:oddVBand="0" w:evenVBand="0" w:oddHBand="0" w:evenHBand="0" w:firstRowFirstColumn="0" w:firstRowLastColumn="0" w:lastRowFirstColumn="0" w:lastRowLastColumn="0"/>
            </w:pPr>
            <w:r>
              <w:t xml:space="preserve">-101 </w:t>
            </w:r>
            <w:r w:rsidR="00DE2F71">
              <w:t>432</w:t>
            </w:r>
            <w:r>
              <w:t xml:space="preserve"> </w:t>
            </w:r>
            <w:r w:rsidR="00DE2F71">
              <w:t>024</w:t>
            </w:r>
          </w:p>
        </w:tc>
        <w:tc>
          <w:tcPr>
            <w:tcW w:w="2139" w:type="dxa"/>
          </w:tcPr>
          <w:p w14:paraId="744A594F"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-100 452 000</w:t>
            </w:r>
          </w:p>
        </w:tc>
        <w:tc>
          <w:tcPr>
            <w:tcW w:w="2031" w:type="dxa"/>
          </w:tcPr>
          <w:p w14:paraId="63511B6A"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-280 000</w:t>
            </w:r>
          </w:p>
        </w:tc>
      </w:tr>
      <w:tr w:rsidR="00840382" w14:paraId="380022BB"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3DD2702C" w14:textId="77777777" w:rsidR="00840382" w:rsidRDefault="00840382" w:rsidP="00F3499B">
            <w:r>
              <w:rPr>
                <w:b/>
              </w:rPr>
              <w:t>Verksamhetsbidrag</w:t>
            </w:r>
          </w:p>
        </w:tc>
        <w:tc>
          <w:tcPr>
            <w:tcW w:w="2139" w:type="dxa"/>
          </w:tcPr>
          <w:p w14:paraId="4D260C65" w14:textId="118C9699"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-89 4</w:t>
            </w:r>
            <w:r w:rsidR="00DE2F71">
              <w:rPr>
                <w:b/>
              </w:rPr>
              <w:t>99</w:t>
            </w:r>
            <w:r>
              <w:rPr>
                <w:b/>
              </w:rPr>
              <w:t xml:space="preserve"> </w:t>
            </w:r>
            <w:r w:rsidR="00DE2F71">
              <w:rPr>
                <w:b/>
              </w:rPr>
              <w:t>466</w:t>
            </w:r>
          </w:p>
        </w:tc>
        <w:tc>
          <w:tcPr>
            <w:tcW w:w="2139" w:type="dxa"/>
          </w:tcPr>
          <w:p w14:paraId="47B6525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-92 353 000</w:t>
            </w:r>
          </w:p>
        </w:tc>
        <w:tc>
          <w:tcPr>
            <w:tcW w:w="2031" w:type="dxa"/>
          </w:tcPr>
          <w:p w14:paraId="388095D0"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-280 000</w:t>
            </w:r>
          </w:p>
        </w:tc>
      </w:tr>
      <w:tr w:rsidR="00840382" w14:paraId="372537D1"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7841356C" w14:textId="77777777" w:rsidR="00840382" w:rsidRDefault="00840382" w:rsidP="00F3499B">
            <w:r>
              <w:t>Finansiella intäkter och kostnader</w:t>
            </w:r>
          </w:p>
        </w:tc>
        <w:tc>
          <w:tcPr>
            <w:tcW w:w="2139" w:type="dxa"/>
          </w:tcPr>
          <w:p w14:paraId="78AB7A1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7 189</w:t>
            </w:r>
          </w:p>
        </w:tc>
        <w:tc>
          <w:tcPr>
            <w:tcW w:w="2139" w:type="dxa"/>
          </w:tcPr>
          <w:p w14:paraId="657819A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23 000</w:t>
            </w:r>
          </w:p>
        </w:tc>
        <w:tc>
          <w:tcPr>
            <w:tcW w:w="2031" w:type="dxa"/>
          </w:tcPr>
          <w:p w14:paraId="4B7DE0C8"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618F8716"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29DB1AA1" w14:textId="77777777" w:rsidR="00840382" w:rsidRDefault="00840382" w:rsidP="00F3499B">
            <w:r>
              <w:rPr>
                <w:b/>
              </w:rPr>
              <w:t>Årsbidrag</w:t>
            </w:r>
          </w:p>
        </w:tc>
        <w:tc>
          <w:tcPr>
            <w:tcW w:w="2139" w:type="dxa"/>
          </w:tcPr>
          <w:p w14:paraId="559953D3" w14:textId="274E8E59"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-89 4</w:t>
            </w:r>
            <w:r w:rsidR="00DE2F71">
              <w:rPr>
                <w:b/>
              </w:rPr>
              <w:t>92</w:t>
            </w:r>
            <w:r>
              <w:rPr>
                <w:b/>
              </w:rPr>
              <w:t xml:space="preserve"> </w:t>
            </w:r>
            <w:r w:rsidR="00DE2F71">
              <w:rPr>
                <w:b/>
              </w:rPr>
              <w:t>277</w:t>
            </w:r>
          </w:p>
        </w:tc>
        <w:tc>
          <w:tcPr>
            <w:tcW w:w="2139" w:type="dxa"/>
          </w:tcPr>
          <w:p w14:paraId="7631AE79"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-92 330 000</w:t>
            </w:r>
          </w:p>
        </w:tc>
        <w:tc>
          <w:tcPr>
            <w:tcW w:w="2031" w:type="dxa"/>
          </w:tcPr>
          <w:p w14:paraId="6AFF5C94"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-280 000</w:t>
            </w:r>
          </w:p>
        </w:tc>
      </w:tr>
      <w:tr w:rsidR="00840382" w14:paraId="04E69A8C"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5A3E316E" w14:textId="77777777" w:rsidR="00840382" w:rsidRDefault="00840382" w:rsidP="00F3499B">
            <w:r>
              <w:t>Avskrivningar enligt plan</w:t>
            </w:r>
          </w:p>
        </w:tc>
        <w:tc>
          <w:tcPr>
            <w:tcW w:w="2139" w:type="dxa"/>
          </w:tcPr>
          <w:p w14:paraId="1EFB2C05"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-1 173 358</w:t>
            </w:r>
          </w:p>
        </w:tc>
        <w:tc>
          <w:tcPr>
            <w:tcW w:w="2139" w:type="dxa"/>
          </w:tcPr>
          <w:p w14:paraId="24D4743D"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t>-1 810 000</w:t>
            </w:r>
          </w:p>
        </w:tc>
        <w:tc>
          <w:tcPr>
            <w:tcW w:w="2031" w:type="dxa"/>
          </w:tcPr>
          <w:p w14:paraId="057C196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p>
        </w:tc>
      </w:tr>
      <w:tr w:rsidR="00840382" w14:paraId="7040087B" w14:textId="77777777" w:rsidTr="00F3499B">
        <w:tc>
          <w:tcPr>
            <w:cnfStyle w:val="001000000000" w:firstRow="0" w:lastRow="0" w:firstColumn="1" w:lastColumn="0" w:oddVBand="0" w:evenVBand="0" w:oddHBand="0" w:evenHBand="0" w:firstRowFirstColumn="0" w:firstRowLastColumn="0" w:lastRowFirstColumn="0" w:lastRowLastColumn="0"/>
            <w:tcW w:w="3216" w:type="dxa"/>
          </w:tcPr>
          <w:p w14:paraId="1DC3AD73" w14:textId="77777777" w:rsidR="00840382" w:rsidRDefault="00840382" w:rsidP="00F3499B">
            <w:r>
              <w:rPr>
                <w:b/>
              </w:rPr>
              <w:t>Räkenskapsperiodens under- eller överskott</w:t>
            </w:r>
          </w:p>
        </w:tc>
        <w:tc>
          <w:tcPr>
            <w:tcW w:w="2139" w:type="dxa"/>
          </w:tcPr>
          <w:p w14:paraId="76E1DE47" w14:textId="202497C5"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 xml:space="preserve">-90 </w:t>
            </w:r>
            <w:r w:rsidR="00DE2F71">
              <w:rPr>
                <w:b/>
              </w:rPr>
              <w:t>665</w:t>
            </w:r>
            <w:r>
              <w:rPr>
                <w:b/>
              </w:rPr>
              <w:t xml:space="preserve"> </w:t>
            </w:r>
            <w:r w:rsidR="00DE2F71">
              <w:rPr>
                <w:b/>
              </w:rPr>
              <w:t>635</w:t>
            </w:r>
          </w:p>
        </w:tc>
        <w:tc>
          <w:tcPr>
            <w:tcW w:w="2139" w:type="dxa"/>
          </w:tcPr>
          <w:p w14:paraId="52195143"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-94 140 000</w:t>
            </w:r>
          </w:p>
        </w:tc>
        <w:tc>
          <w:tcPr>
            <w:tcW w:w="2031" w:type="dxa"/>
          </w:tcPr>
          <w:p w14:paraId="304F60C4" w14:textId="77777777" w:rsidR="00840382" w:rsidRDefault="00840382" w:rsidP="00F3499B">
            <w:pPr>
              <w:cnfStyle w:val="000000000000" w:firstRow="0" w:lastRow="0" w:firstColumn="0" w:lastColumn="0" w:oddVBand="0" w:evenVBand="0" w:oddHBand="0" w:evenHBand="0" w:firstRowFirstColumn="0" w:firstRowLastColumn="0" w:lastRowFirstColumn="0" w:lastRowLastColumn="0"/>
            </w:pPr>
            <w:r>
              <w:rPr>
                <w:b/>
              </w:rPr>
              <w:t>-280 000</w:t>
            </w:r>
          </w:p>
        </w:tc>
      </w:tr>
    </w:tbl>
    <w:p w14:paraId="6392493F" w14:textId="77777777" w:rsidR="00840382" w:rsidRDefault="00840382" w:rsidP="00840382">
      <w:pPr>
        <w:pStyle w:val="Rubrik5"/>
      </w:pPr>
      <w:r>
        <w:t>Budgetmotivering</w:t>
      </w:r>
    </w:p>
    <w:p w14:paraId="7E10EBBF" w14:textId="77777777" w:rsidR="00840382" w:rsidRDefault="00840382" w:rsidP="00840382">
      <w:r>
        <w:t xml:space="preserve">Föreslås ett tillägg om </w:t>
      </w:r>
      <w:proofErr w:type="gramStart"/>
      <w:r>
        <w:t>280.000</w:t>
      </w:r>
      <w:proofErr w:type="gramEnd"/>
      <w:r>
        <w:t xml:space="preserve"> euro.</w:t>
      </w:r>
    </w:p>
    <w:p w14:paraId="6A30F3DF" w14:textId="77777777" w:rsidR="00840382" w:rsidRDefault="00840382" w:rsidP="00840382">
      <w:pPr>
        <w:pStyle w:val="Rubrik5"/>
      </w:pPr>
      <w:r>
        <w:t>Utgifter</w:t>
      </w:r>
    </w:p>
    <w:p w14:paraId="7308AB05" w14:textId="77777777" w:rsidR="00840382" w:rsidRDefault="00840382" w:rsidP="00840382">
      <w:r>
        <w:t xml:space="preserve">I anslaget ingår </w:t>
      </w:r>
      <w:proofErr w:type="gramStart"/>
      <w:r>
        <w:t>180.000</w:t>
      </w:r>
      <w:proofErr w:type="gramEnd"/>
      <w:r>
        <w:t xml:space="preserve"> euro för att styrelsen för ÅHS ska kunna genomföra en planerad omorganisation inom den medicinska ledningen i syfte att stärka såväl den kliniska ledningen som förvaltningsledningen.</w:t>
      </w:r>
    </w:p>
    <w:p w14:paraId="2E95C612" w14:textId="77777777" w:rsidR="00840382" w:rsidRDefault="00840382" w:rsidP="00840382">
      <w:r>
        <w:t xml:space="preserve">I enlighet med målsättningarna i budgeten för år 2022 förverkligas en utvidgning av hälso- och sjukvårdsverksamheten vid primärvården genom att inrätta en lågtröskelmottagning för mental hälsa för barn och unga under 18 år. För ändamålet föreslås ett anslag om </w:t>
      </w:r>
      <w:proofErr w:type="gramStart"/>
      <w:r>
        <w:t>70.000</w:t>
      </w:r>
      <w:proofErr w:type="gramEnd"/>
      <w:r>
        <w:t xml:space="preserve"> euro för kostnader under år 2022. Årskostnaden bedöms vara i storleksordningen </w:t>
      </w:r>
      <w:proofErr w:type="gramStart"/>
      <w:r>
        <w:t>85.000</w:t>
      </w:r>
      <w:proofErr w:type="gramEnd"/>
      <w:r>
        <w:t xml:space="preserve"> euro.</w:t>
      </w:r>
    </w:p>
    <w:p w14:paraId="42DC5FB4" w14:textId="77777777" w:rsidR="00840382" w:rsidRDefault="00840382" w:rsidP="00840382">
      <w:r>
        <w:t xml:space="preserve">Av befolkningen på Åland är </w:t>
      </w:r>
      <w:proofErr w:type="gramStart"/>
      <w:r>
        <w:t>5.955</w:t>
      </w:r>
      <w:proofErr w:type="gramEnd"/>
      <w:r>
        <w:t xml:space="preserve"> barn och unga 0 - 17 år, varav 2.585 är i åldersgruppen 10 - 17 år vilket motsvarar ca 8,6 % av hela Ålands befolkning (ÅSUB 2020). Psykisk ohälsa bland barn och unga även Corona relaterat ökar och hör till de vanligaste hälsoproblemen bland skolelever och studerande. I enkäten Hälsa i skolan 2017 framkommer det bland annat att 16 % av elever i årskurs 8 - 9 upplever sig ha måttlig eller svår ångest. Motsvarande svar 2021 i enkäten Hälsa i skolan är att 23,3 % av årskurs 8 - 9, 22,9 % av Ålands lyceum och 24,7 % av Ålands yrkesgymnasium upplever måttlig eller svår ångest. Siffrorna för Åland är högre jämfört med övriga delar av Finland. Slutsatsen att åländska ungdomar mår sämre än i Finland är dock svår att dra på basen av resultaten i enkäten då det kan förekomma lokala och kulturella faktorer som påverkar, men det självrapporterade psykiska illamåendet är ändå anmärkningsvärt.</w:t>
      </w:r>
    </w:p>
    <w:p w14:paraId="1B505AF4" w14:textId="77777777" w:rsidR="00840382" w:rsidRDefault="00840382" w:rsidP="00840382">
      <w:r>
        <w:t>Sedan september 2020 finns vid hälsocentralen/primärvården en lågtröskelmottagning för mental hälsa med utökade sjukskötarresurser och utökad verksamhet. Mottagningen är en öppenvårdsmottagning för patienter från 18 år och uppåt. Ingen remiss behövs för att besöka mottagningen för mental hälsa. Där bedöms och behandlas de som behöver psykiatriskt stöd eller vård och det ges stöd för bland annat nedstämdhet, ångest, sömnsvårigheter, livskriser och annan problematik. Motsvarande lågtröskelmottagning för mental hälsa finns inte för barn och unga under 18 år.</w:t>
      </w:r>
    </w:p>
    <w:p w14:paraId="74BDFEF4" w14:textId="77777777" w:rsidR="00840382" w:rsidRDefault="00840382" w:rsidP="00840382">
      <w:r>
        <w:lastRenderedPageBreak/>
        <w:t>Lagtinget har gett sitt bifall till att barnkonventionen ska gälla inom landskapets behörighet. Enligt barnkonventionen ska barnets bästa komma i främsta rummet vid alla beslut eller samhällspolitiska avgöranden som gäller barn. Att inte erbjuda barn och unga under 18 år en lågtröskelmottagning för mental hälsa såsom för den vuxna befolkningen över 18 år är inte att sätta barnets bästa i främsta rummet. Enligt artikel 24 har alla barn rätt till bästa möjliga hälsa och tillgång till hälso- och sjukvård och rehabilitering.</w:t>
      </w:r>
    </w:p>
    <w:p w14:paraId="37EADF50" w14:textId="77777777" w:rsidR="00840382" w:rsidRDefault="00840382" w:rsidP="00840382">
      <w:r>
        <w:t>I nuläget finns vid Ålands hälso- och sjukvård en barn- och ungdomspsykiatrisk mottagning (BUP) som är en öppenvårdsmottagning för barn och unga upp till 18 år som behöver psykiatriskt stöd eller vård men med remisskrav. Tidiga insatser och tidig behandling minskar risken för allvarlig psykisk ohälsa och således finns det ett behov att inrätta en lågtröskelmottagning för mental hälsa för barn och unga under 18 år dit man kan komma utan remiss. En öppenvårdsmottagning för barn och unga under 18 år utan remisskrav som är lättillgänglig och en del av det förebyggande arbetet av psykisk ohälsa kan bli en kompletterande del av den nu befintliga lågtröskelmottagningen för mental hälsa för patienter över 18 år. Där kan personalen jobba i team och ta del av varandras kunskap och utgöra en del av en större helhet inom hälsocentralen med tillgång till medicinsk kompetens.</w:t>
      </w:r>
    </w:p>
    <w:p w14:paraId="4885BF87" w14:textId="77777777" w:rsidR="00840382" w:rsidRDefault="00840382" w:rsidP="00840382">
      <w:r>
        <w:t xml:space="preserve">Dessutom ingår ett anslag om </w:t>
      </w:r>
      <w:proofErr w:type="gramStart"/>
      <w:r>
        <w:t>30.000</w:t>
      </w:r>
      <w:proofErr w:type="gramEnd"/>
      <w:r>
        <w:t xml:space="preserve"> euro för att under år 2022 inleda utvidgning av mammografiscreeningen på Åland till åldersgrupperna 40 - 49 år respektive 70 - 74 år. Årskostnaden bedöms vara i storleksordningen </w:t>
      </w:r>
      <w:proofErr w:type="gramStart"/>
      <w:r>
        <w:t>45.000</w:t>
      </w:r>
      <w:proofErr w:type="gramEnd"/>
      <w:r>
        <w:t xml:space="preserve"> euro.</w:t>
      </w:r>
    </w:p>
    <w:p w14:paraId="4E11721D" w14:textId="77777777" w:rsidR="00840382" w:rsidRDefault="00840382" w:rsidP="00840382">
      <w:r>
        <w:t>Ålands hälso- och sjukvård kallar idag alla kvinnor i åldern 50 - 69 år till en avgiftsfri screening av bröstcancer. Screeningen sker med två års mellanrum och syftet är att hitta bröstcancer i ett tidigt stadium. Det ger både en bättre prognos och ett bättre vårdresultat för cancern.</w:t>
      </w:r>
    </w:p>
    <w:p w14:paraId="0E5394BC" w14:textId="77777777" w:rsidR="00840382" w:rsidRDefault="00840382" w:rsidP="00840382">
      <w:r>
        <w:t xml:space="preserve">Baserat på svenska Socialstyrelsens beräkningar kan mammografiscreening var 18 – 24:e månad för kvinnor i åldern 40 – 74 år sänka dödligheten i bröstcancer med 16 – 25 procent. Den hälsoekonomiska analysen visar att programmet har en rimlig kostnad per effekt (vilket innebär </w:t>
      </w:r>
      <w:proofErr w:type="gramStart"/>
      <w:r>
        <w:t>10.000</w:t>
      </w:r>
      <w:proofErr w:type="gramEnd"/>
      <w:r>
        <w:t xml:space="preserve"> – 50.000 euro per vunnet kvalitetsjusterat levnadsår). Effekten och därmed kostnadseffektiviteten är något lägre i den yngre åldersgruppen, 40 – 49 år, än för kvinnor över 49 år bland annat beroende på lägre prevalens av bröstcancer och att mammografi som metod har sämre sensitivitet i denna åldersgrupp på grund av tät körtelvävnad. Risken för negativa effekter av mammografi (falsk trygghet vid missad diagnos, överdiagnostik, strålningsrisker samt psykologisk belastning på kvinnor som återkallas för kompletterande undersökning och befinns vara friska) bedöms vara betydligt lägre än de positiva effekterna för kvinnor i åldern 40 – 74 år. Det finns inga rigorösa studier av screeningprogram för kvinnor under 40 år eller över 74 år och därmed inte heller någon bra bild av hälsovinster och risker i dessa åldrar. Landskapsregeringen bedömer att mammografi ger betydande hälsovinster till en rimlig kostnad för kvinnor i åldern 40 – 74 år.</w:t>
      </w:r>
    </w:p>
    <w:p w14:paraId="77189CF7" w14:textId="77777777" w:rsidR="00C60E6C" w:rsidRDefault="00C60E6C" w:rsidP="00C60E6C">
      <w:pPr>
        <w:pStyle w:val="Rubrik3"/>
      </w:pPr>
      <w:r>
        <w:t>860 Ålands arbetsmarknads- och studieservicemyndighet</w:t>
      </w:r>
    </w:p>
    <w:p w14:paraId="064AB39C" w14:textId="77777777" w:rsidR="00C60E6C" w:rsidRDefault="00C60E6C" w:rsidP="00C60E6C">
      <w:pPr>
        <w:pStyle w:val="Rubrik4"/>
      </w:pPr>
      <w:proofErr w:type="gramStart"/>
      <w:r>
        <w:t>86050</w:t>
      </w:r>
      <w:proofErr w:type="gramEnd"/>
      <w:r>
        <w:t xml:space="preserve"> Sysselsättnings- och arbetslöshetsunderstöd, överföringar (F)</w:t>
      </w:r>
    </w:p>
    <w:p w14:paraId="7AD90F28" w14:textId="77777777" w:rsidR="00C60E6C" w:rsidRDefault="00C60E6C" w:rsidP="00C60E6C">
      <w:pPr>
        <w:pStyle w:val="HYP-Context"/>
      </w:pPr>
      <w:r>
        <w:rPr>
          <w:b/>
        </w:rPr>
        <w:t xml:space="preserve">Organisation: </w:t>
      </w:r>
      <w:r>
        <w:t xml:space="preserve">86050 </w:t>
      </w:r>
      <w:proofErr w:type="spellStart"/>
      <w:r>
        <w:t>Sysselsättn</w:t>
      </w:r>
      <w:proofErr w:type="spellEnd"/>
      <w:r>
        <w:t xml:space="preserve">. o </w:t>
      </w:r>
      <w:proofErr w:type="spellStart"/>
      <w:proofErr w:type="gramStart"/>
      <w:r>
        <w:t>arb.löshet</w:t>
      </w:r>
      <w:proofErr w:type="gramEnd"/>
      <w:r>
        <w:t>.stöd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4649"/>
        <w:gridCol w:w="1474"/>
        <w:gridCol w:w="1474"/>
        <w:gridCol w:w="1474"/>
      </w:tblGrid>
      <w:tr w:rsidR="00C60E6C" w14:paraId="57133899" w14:textId="77777777" w:rsidTr="00E80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427672A" w14:textId="77777777" w:rsidR="00C60E6C" w:rsidRDefault="00C60E6C" w:rsidP="00E8007A">
            <w:r>
              <w:t>Sammandrag</w:t>
            </w:r>
          </w:p>
        </w:tc>
        <w:tc>
          <w:tcPr>
            <w:tcW w:w="1474" w:type="dxa"/>
          </w:tcPr>
          <w:p w14:paraId="26ADBD5B"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24612B7"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0548DB56" w14:textId="77777777" w:rsidR="00C60E6C" w:rsidRDefault="00C60E6C" w:rsidP="00E8007A">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1 2022 </w:t>
            </w:r>
          </w:p>
        </w:tc>
      </w:tr>
      <w:tr w:rsidR="00C60E6C" w14:paraId="2982DCD9"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176F34EE" w14:textId="77777777" w:rsidR="00C60E6C" w:rsidRDefault="00C60E6C" w:rsidP="00E8007A">
            <w:r>
              <w:t>Intäkter</w:t>
            </w:r>
          </w:p>
        </w:tc>
        <w:tc>
          <w:tcPr>
            <w:tcW w:w="1474" w:type="dxa"/>
          </w:tcPr>
          <w:p w14:paraId="204E3ECB"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c>
          <w:tcPr>
            <w:tcW w:w="1474" w:type="dxa"/>
          </w:tcPr>
          <w:p w14:paraId="74CBAB4A"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c>
          <w:tcPr>
            <w:tcW w:w="1474" w:type="dxa"/>
          </w:tcPr>
          <w:p w14:paraId="447722E7"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p>
        </w:tc>
      </w:tr>
      <w:tr w:rsidR="00C60E6C" w14:paraId="0C7D4BC3"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1C5F3E03" w14:textId="77777777" w:rsidR="00C60E6C" w:rsidRDefault="00C60E6C" w:rsidP="00E8007A">
            <w:r>
              <w:t>Kostnader</w:t>
            </w:r>
          </w:p>
        </w:tc>
        <w:tc>
          <w:tcPr>
            <w:tcW w:w="1474" w:type="dxa"/>
          </w:tcPr>
          <w:p w14:paraId="0CDAB004"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-8 567 860</w:t>
            </w:r>
          </w:p>
        </w:tc>
        <w:tc>
          <w:tcPr>
            <w:tcW w:w="1474" w:type="dxa"/>
          </w:tcPr>
          <w:p w14:paraId="3C9F4266"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44C31EB1"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-10 000</w:t>
            </w:r>
          </w:p>
        </w:tc>
      </w:tr>
      <w:tr w:rsidR="00C60E6C" w14:paraId="7348CE2F" w14:textId="77777777" w:rsidTr="00E8007A">
        <w:tc>
          <w:tcPr>
            <w:cnfStyle w:val="001000000000" w:firstRow="0" w:lastRow="0" w:firstColumn="1" w:lastColumn="0" w:oddVBand="0" w:evenVBand="0" w:oddHBand="0" w:evenHBand="0" w:firstRowFirstColumn="0" w:firstRowLastColumn="0" w:lastRowFirstColumn="0" w:lastRowLastColumn="0"/>
            <w:tcW w:w="4649" w:type="dxa"/>
          </w:tcPr>
          <w:p w14:paraId="3DD03B0D" w14:textId="77777777" w:rsidR="00C60E6C" w:rsidRDefault="00C60E6C" w:rsidP="00E8007A">
            <w:r>
              <w:t>Anslag netto</w:t>
            </w:r>
          </w:p>
        </w:tc>
        <w:tc>
          <w:tcPr>
            <w:tcW w:w="1474" w:type="dxa"/>
          </w:tcPr>
          <w:p w14:paraId="787638F0"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-8 567 860</w:t>
            </w:r>
          </w:p>
        </w:tc>
        <w:tc>
          <w:tcPr>
            <w:tcW w:w="1474" w:type="dxa"/>
          </w:tcPr>
          <w:p w14:paraId="6A733982"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617226D6" w14:textId="77777777" w:rsidR="00C60E6C" w:rsidRDefault="00C60E6C" w:rsidP="00E8007A">
            <w:pPr>
              <w:cnfStyle w:val="000000000000" w:firstRow="0" w:lastRow="0" w:firstColumn="0" w:lastColumn="0" w:oddVBand="0" w:evenVBand="0" w:oddHBand="0" w:evenHBand="0" w:firstRowFirstColumn="0" w:firstRowLastColumn="0" w:lastRowFirstColumn="0" w:lastRowLastColumn="0"/>
            </w:pPr>
            <w:r>
              <w:t>-10 000</w:t>
            </w:r>
          </w:p>
        </w:tc>
      </w:tr>
    </w:tbl>
    <w:p w14:paraId="4B1AD73C" w14:textId="77777777" w:rsidR="00C60E6C" w:rsidRDefault="00C60E6C" w:rsidP="00C60E6C">
      <w:pPr>
        <w:pStyle w:val="Rubrik5"/>
      </w:pPr>
      <w:r>
        <w:t>Budgetmotivering</w:t>
      </w:r>
    </w:p>
    <w:p w14:paraId="5FC003DE" w14:textId="77777777" w:rsidR="00C60E6C" w:rsidRDefault="00C60E6C" w:rsidP="00C60E6C">
      <w:r>
        <w:t xml:space="preserve">Föreslås ett tillägg om </w:t>
      </w:r>
      <w:proofErr w:type="gramStart"/>
      <w:r>
        <w:t>10.000</w:t>
      </w:r>
      <w:proofErr w:type="gramEnd"/>
      <w:r>
        <w:t xml:space="preserve"> euro.</w:t>
      </w:r>
    </w:p>
    <w:p w14:paraId="031D8544" w14:textId="77777777" w:rsidR="00F06830" w:rsidRDefault="00F06830" w:rsidP="00F06830">
      <w:pPr>
        <w:pStyle w:val="Rubrik5"/>
      </w:pPr>
      <w:r>
        <w:t>Utgifter</w:t>
      </w:r>
    </w:p>
    <w:p w14:paraId="1E8E3C00" w14:textId="77777777" w:rsidR="00F06830" w:rsidRDefault="00F06830" w:rsidP="00F06830">
      <w:r>
        <w:t xml:space="preserve">I syfte att påskynda sysselsättningen av arbetssökande och hänvisa dem till ändamålsenliga tjänster som stöder sökandet av arbete kommer landskapsregeringen att föreslå ändringar i ett kommande </w:t>
      </w:r>
      <w:r>
        <w:lastRenderedPageBreak/>
        <w:t>lagförslag om ny serviceprocess för arbetssökande. Ändringarna gäller också på vilka grunder arbetslöshetsförmåner ska erhållas. I lagförslaget ingår ändringar i fyra landskapslagar och ändringarna motsvarar till största delen de ändringar i rikslagstiftningen som nyligen har godkänts av riksdagen och som träder i kraft i riket den 2 maj 2022. En bidragande orsak till att landskapsregeringen föreslår att de åländska lagstiftningslösningarna huvudsakligen ska följa de i riket är att landskapets behörighet och landskapslagstiftningen på området är inbäddad i och beroende av rikets lagstiftningslösningar.</w:t>
      </w:r>
    </w:p>
    <w:p w14:paraId="51A08B9E" w14:textId="77777777" w:rsidR="00F06830" w:rsidRDefault="00F06830" w:rsidP="00F06830">
      <w:r>
        <w:t xml:space="preserve">Förslagets inverkan på landskapets kostnader för utkomstskyddet för arbetslösa under år 2022 är svåra att bedöma men har kalkylerats uppgå till </w:t>
      </w:r>
      <w:proofErr w:type="gramStart"/>
      <w:r>
        <w:t>10.000</w:t>
      </w:r>
      <w:proofErr w:type="gramEnd"/>
      <w:r>
        <w:t xml:space="preserve"> euro.</w:t>
      </w:r>
    </w:p>
    <w:p w14:paraId="1718FF0C" w14:textId="77777777" w:rsidR="00F06830" w:rsidRDefault="00F06830" w:rsidP="00F06830">
      <w:r>
        <w:t>Landskapsregeringen anser det viktigt att de förändringar som föreslås kan träda i kraft den 2 maj 2022, samtidigt med rikslagstiftningen, eftersom behörigheten gällande utkomstskyddet för arbetslösa är delad behörighet.</w:t>
      </w:r>
    </w:p>
    <w:p w14:paraId="4D70FB86" w14:textId="618A2004" w:rsidR="00F06830" w:rsidRPr="00F06830" w:rsidRDefault="00F06830" w:rsidP="00905206">
      <w:r>
        <w:t>Eftersom de föreslagna landskapslagarna ska träda i kraft snabbt bör de behandlas som så kallade budgetlagar så att de kan sättas i kraft före lagstiftningskontrollen har slutförts. Behovet av behandling som budgetlagar bör utvärderas på nytt om lagförslaget kunde behandlas slutligt av lagtinget redan inom februari månad.</w:t>
      </w:r>
    </w:p>
    <w:p w14:paraId="43198E7A" w14:textId="77777777" w:rsidR="00C60E6C" w:rsidRDefault="00C60E6C" w:rsidP="00247875"/>
    <w:p w14:paraId="13FF460A" w14:textId="6C832CA3" w:rsidR="00247875" w:rsidRDefault="00247875">
      <w:pPr>
        <w:spacing w:before="0" w:after="160" w:line="259" w:lineRule="auto"/>
        <w:rPr>
          <w:rFonts w:eastAsiaTheme="majorEastAsia"/>
          <w:b/>
          <w:iCs/>
          <w:sz w:val="40"/>
          <w:szCs w:val="32"/>
        </w:rPr>
      </w:pPr>
      <w:r>
        <w:br w:type="page"/>
      </w:r>
    </w:p>
    <w:p w14:paraId="6C0B64D1" w14:textId="0AAFC402" w:rsidR="00247875" w:rsidRDefault="00247875" w:rsidP="00247875">
      <w:pPr>
        <w:pStyle w:val="Rubrik1"/>
      </w:pPr>
      <w:r>
        <w:lastRenderedPageBreak/>
        <w:t>Bilaga</w:t>
      </w:r>
    </w:p>
    <w:p w14:paraId="00221DF3" w14:textId="720CC945" w:rsidR="00247875" w:rsidRPr="00CC31E9" w:rsidRDefault="00F0581C">
      <w:pPr>
        <w:spacing w:before="0" w:after="160" w:line="259" w:lineRule="auto"/>
        <w:rPr>
          <w:rFonts w:ascii="Times New Roman" w:eastAsiaTheme="majorEastAsia" w:hAnsi="Times New Roman" w:cs="Times New Roman"/>
          <w:b/>
          <w:iCs/>
          <w:sz w:val="30"/>
          <w:szCs w:val="30"/>
        </w:rPr>
      </w:pPr>
      <w:r w:rsidRPr="00F0581C">
        <w:rPr>
          <w:noProof/>
        </w:rPr>
        <w:drawing>
          <wp:inline distT="0" distB="0" distL="0" distR="0" wp14:anchorId="1294A79C" wp14:editId="01F29F38">
            <wp:extent cx="5760720" cy="8035925"/>
            <wp:effectExtent l="0" t="0" r="0"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8035925"/>
                    </a:xfrm>
                    <a:prstGeom prst="rect">
                      <a:avLst/>
                    </a:prstGeom>
                    <a:noFill/>
                    <a:ln>
                      <a:noFill/>
                    </a:ln>
                  </pic:spPr>
                </pic:pic>
              </a:graphicData>
            </a:graphic>
          </wp:inline>
        </w:drawing>
      </w:r>
    </w:p>
    <w:sectPr w:rsidR="00247875" w:rsidRPr="00CC31E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8A51" w14:textId="77777777" w:rsidR="007A05E9" w:rsidRDefault="007A05E9" w:rsidP="00410F70">
      <w:r>
        <w:separator/>
      </w:r>
    </w:p>
    <w:p w14:paraId="13CD2F4D" w14:textId="77777777" w:rsidR="007A05E9" w:rsidRDefault="007A05E9" w:rsidP="00410F70"/>
    <w:p w14:paraId="419C69B3" w14:textId="77777777" w:rsidR="007A05E9" w:rsidRDefault="007A05E9" w:rsidP="00410F70"/>
    <w:p w14:paraId="288FD1DE" w14:textId="77777777" w:rsidR="007A05E9" w:rsidRDefault="007A05E9" w:rsidP="00410F70"/>
    <w:p w14:paraId="30730352" w14:textId="77777777" w:rsidR="007A05E9" w:rsidRDefault="007A05E9" w:rsidP="00410F70"/>
    <w:p w14:paraId="47533A2E" w14:textId="77777777" w:rsidR="007A05E9" w:rsidRDefault="007A05E9" w:rsidP="00410F70"/>
    <w:p w14:paraId="5EEBC4EF" w14:textId="77777777" w:rsidR="007A05E9" w:rsidRDefault="007A05E9" w:rsidP="00410F70"/>
  </w:endnote>
  <w:endnote w:type="continuationSeparator" w:id="0">
    <w:p w14:paraId="0B844788" w14:textId="77777777" w:rsidR="007A05E9" w:rsidRDefault="007A05E9" w:rsidP="00410F70">
      <w:r>
        <w:continuationSeparator/>
      </w:r>
    </w:p>
    <w:p w14:paraId="6CB8E6EC" w14:textId="77777777" w:rsidR="007A05E9" w:rsidRDefault="007A05E9" w:rsidP="00410F70"/>
    <w:p w14:paraId="0C7FE69F" w14:textId="77777777" w:rsidR="007A05E9" w:rsidRDefault="007A05E9" w:rsidP="00410F70"/>
    <w:p w14:paraId="21BF110B" w14:textId="77777777" w:rsidR="007A05E9" w:rsidRDefault="007A05E9" w:rsidP="00410F70"/>
    <w:p w14:paraId="39FD9E13" w14:textId="77777777" w:rsidR="007A05E9" w:rsidRDefault="007A05E9" w:rsidP="00410F70"/>
    <w:p w14:paraId="51A618E4" w14:textId="77777777" w:rsidR="007A05E9" w:rsidRDefault="007A05E9" w:rsidP="00410F70"/>
    <w:p w14:paraId="6C15C26F" w14:textId="77777777" w:rsidR="007A05E9" w:rsidRDefault="007A05E9"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9B3B" w14:textId="6FF86198" w:rsidR="007A05E9" w:rsidRDefault="007A05E9">
    <w:pPr>
      <w:pStyle w:val="Sidfot"/>
    </w:pPr>
    <w:r>
      <w:rPr>
        <w:noProof/>
      </w:rPr>
      <w:fldChar w:fldCharType="begin"/>
    </w:r>
    <w:r>
      <w:rPr>
        <w:noProof/>
      </w:rPr>
      <w:instrText xml:space="preserve"> FILENAME  \* MERGEFORMAT </w:instrText>
    </w:r>
    <w:r>
      <w:rPr>
        <w:noProof/>
      </w:rPr>
      <w:fldChar w:fldCharType="separate"/>
    </w:r>
    <w:r w:rsidR="004977B7">
      <w:rPr>
        <w:noProof/>
      </w:rPr>
      <w:t>BF0320212022.docx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0E17" w14:textId="77777777" w:rsidR="007A05E9" w:rsidRDefault="007A05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AA1" w14:textId="77777777" w:rsidR="007A05E9" w:rsidRDefault="007A05E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CD1" w14:textId="77777777" w:rsidR="007A05E9" w:rsidRPr="00A849B7" w:rsidRDefault="004977B7" w:rsidP="0049108F">
    <w:pPr>
      <w:pStyle w:val="Sidfot"/>
      <w:jc w:val="center"/>
    </w:pPr>
    <w:sdt>
      <w:sdtPr>
        <w:id w:val="610245187"/>
        <w:docPartObj>
          <w:docPartGallery w:val="Page Numbers (Bottom of Page)"/>
          <w:docPartUnique/>
        </w:docPartObj>
      </w:sdtPr>
      <w:sdtEndPr/>
      <w:sdtContent>
        <w:r w:rsidR="007A05E9" w:rsidRPr="00A849B7">
          <w:fldChar w:fldCharType="begin"/>
        </w:r>
        <w:r w:rsidR="007A05E9" w:rsidRPr="00A849B7">
          <w:instrText>PAGE   \* MERGEFORMAT</w:instrText>
        </w:r>
        <w:r w:rsidR="007A05E9" w:rsidRPr="00A849B7">
          <w:fldChar w:fldCharType="separate"/>
        </w:r>
        <w:r w:rsidR="007A05E9">
          <w:rPr>
            <w:noProof/>
          </w:rPr>
          <w:t>4</w:t>
        </w:r>
        <w:r w:rsidR="007A05E9" w:rsidRPr="00A849B7">
          <w:fldChar w:fldCharType="end"/>
        </w:r>
      </w:sdtContent>
    </w:sdt>
  </w:p>
  <w:p w14:paraId="27F05299" w14:textId="77777777" w:rsidR="007A05E9" w:rsidRDefault="007A05E9" w:rsidP="00410F70"/>
  <w:p w14:paraId="499D74CC" w14:textId="77777777" w:rsidR="007A05E9" w:rsidRDefault="007A05E9" w:rsidP="00410F70"/>
  <w:p w14:paraId="38969F4F" w14:textId="77777777" w:rsidR="007A05E9" w:rsidRDefault="007A05E9"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FBA" w14:textId="77777777" w:rsidR="007A05E9" w:rsidRDefault="007A05E9">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F82" w14:textId="77777777" w:rsidR="00502365" w:rsidRPr="00A849B7" w:rsidRDefault="004977B7" w:rsidP="0049108F">
    <w:pPr>
      <w:pStyle w:val="Sidfot"/>
      <w:jc w:val="center"/>
    </w:pPr>
    <w:sdt>
      <w:sdtPr>
        <w:id w:val="-1753423093"/>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3895" w14:textId="77777777" w:rsidR="007A05E9" w:rsidRDefault="007A05E9" w:rsidP="00410F70">
      <w:r>
        <w:separator/>
      </w:r>
    </w:p>
    <w:p w14:paraId="684894CD" w14:textId="77777777" w:rsidR="007A05E9" w:rsidRDefault="007A05E9" w:rsidP="00410F70"/>
    <w:p w14:paraId="43817329" w14:textId="77777777" w:rsidR="007A05E9" w:rsidRDefault="007A05E9" w:rsidP="00410F70"/>
    <w:p w14:paraId="582BBAF1" w14:textId="77777777" w:rsidR="007A05E9" w:rsidRDefault="007A05E9" w:rsidP="00410F70"/>
    <w:p w14:paraId="20AFA198" w14:textId="77777777" w:rsidR="007A05E9" w:rsidRDefault="007A05E9" w:rsidP="00410F70"/>
    <w:p w14:paraId="0CD7093B" w14:textId="77777777" w:rsidR="007A05E9" w:rsidRDefault="007A05E9" w:rsidP="00410F70"/>
    <w:p w14:paraId="3089DB13" w14:textId="77777777" w:rsidR="007A05E9" w:rsidRDefault="007A05E9" w:rsidP="00410F70"/>
  </w:footnote>
  <w:footnote w:type="continuationSeparator" w:id="0">
    <w:p w14:paraId="0B5A7187" w14:textId="77777777" w:rsidR="007A05E9" w:rsidRDefault="007A05E9" w:rsidP="00410F70">
      <w:r>
        <w:continuationSeparator/>
      </w:r>
    </w:p>
    <w:p w14:paraId="27C2015D" w14:textId="77777777" w:rsidR="007A05E9" w:rsidRDefault="007A05E9" w:rsidP="00410F70"/>
    <w:p w14:paraId="58BB24E6" w14:textId="77777777" w:rsidR="007A05E9" w:rsidRDefault="007A05E9" w:rsidP="00410F70"/>
    <w:p w14:paraId="1E837CC6" w14:textId="77777777" w:rsidR="007A05E9" w:rsidRDefault="007A05E9" w:rsidP="00410F70"/>
    <w:p w14:paraId="35567D04" w14:textId="77777777" w:rsidR="007A05E9" w:rsidRDefault="007A05E9" w:rsidP="00410F70"/>
    <w:p w14:paraId="5206C810" w14:textId="77777777" w:rsidR="007A05E9" w:rsidRDefault="007A05E9" w:rsidP="00410F70"/>
    <w:p w14:paraId="6935DDD5" w14:textId="77777777" w:rsidR="007A05E9" w:rsidRDefault="007A05E9"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AF7E" w14:textId="77777777" w:rsidR="007A05E9" w:rsidRDefault="007A05E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C3C" w14:textId="77777777" w:rsidR="007A05E9" w:rsidRDefault="007A05E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CED95A1" w14:textId="77777777" w:rsidR="007A05E9" w:rsidRDefault="007A05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064"/>
      <w:docPartObj>
        <w:docPartGallery w:val="Page Numbers (Top of Page)"/>
        <w:docPartUnique/>
      </w:docPartObj>
    </w:sdtPr>
    <w:sdtEndPr/>
    <w:sdtContent>
      <w:p w14:paraId="6EAD85FC" w14:textId="77777777" w:rsidR="007A05E9" w:rsidRDefault="007A05E9">
        <w:pPr>
          <w:pStyle w:val="Sidhuvud"/>
          <w:jc w:val="center"/>
        </w:pPr>
        <w:r>
          <w:fldChar w:fldCharType="begin"/>
        </w:r>
        <w:r>
          <w:instrText>PAGE   \* MERGEFORMAT</w:instrText>
        </w:r>
        <w:r>
          <w:fldChar w:fldCharType="separate"/>
        </w:r>
        <w:r>
          <w:t>2</w:t>
        </w:r>
        <w:r>
          <w:fldChar w:fldCharType="end"/>
        </w:r>
      </w:p>
    </w:sdtContent>
  </w:sdt>
  <w:p w14:paraId="11FA094A" w14:textId="77777777" w:rsidR="007A05E9" w:rsidRDefault="007A05E9">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7EF" w14:textId="77777777" w:rsidR="007A05E9" w:rsidRDefault="007A05E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224" w14:textId="77777777" w:rsidR="007A05E9" w:rsidRDefault="007A05E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540" w14:textId="77777777" w:rsidR="007A05E9" w:rsidRDefault="007A05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E674CC"/>
    <w:multiLevelType w:val="hybridMultilevel"/>
    <w:tmpl w:val="1D12A1E0"/>
    <w:lvl w:ilvl="0" w:tplc="C00288EE">
      <w:start w:val="1"/>
      <w:numFmt w:val="bullet"/>
      <w:pStyle w:val="Liststycke"/>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891EB9"/>
    <w:multiLevelType w:val="hybridMultilevel"/>
    <w:tmpl w:val="2326F2FE"/>
    <w:lvl w:ilvl="0" w:tplc="9C0284B8">
      <w:numFmt w:val="bullet"/>
      <w:lvlText w:val="-"/>
      <w:lvlJc w:val="left"/>
      <w:pPr>
        <w:ind w:left="1920" w:hanging="15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1"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B5BEC"/>
    <w:multiLevelType w:val="hybridMultilevel"/>
    <w:tmpl w:val="7572F5A6"/>
    <w:lvl w:ilvl="0" w:tplc="62B2ACB8">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4"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97BB6"/>
    <w:multiLevelType w:val="hybridMultilevel"/>
    <w:tmpl w:val="58ECCE88"/>
    <w:lvl w:ilvl="0" w:tplc="FB42AE0A">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5"/>
  </w:num>
  <w:num w:numId="3">
    <w:abstractNumId w:val="19"/>
  </w:num>
  <w:num w:numId="4">
    <w:abstractNumId w:val="21"/>
  </w:num>
  <w:num w:numId="5">
    <w:abstractNumId w:val="25"/>
  </w:num>
  <w:num w:numId="6">
    <w:abstractNumId w:val="24"/>
  </w:num>
  <w:num w:numId="7">
    <w:abstractNumId w:val="12"/>
  </w:num>
  <w:num w:numId="8">
    <w:abstractNumId w:val="27"/>
  </w:num>
  <w:num w:numId="9">
    <w:abstractNumId w:val="20"/>
  </w:num>
  <w:num w:numId="10">
    <w:abstractNumId w:val="18"/>
  </w:num>
  <w:num w:numId="11">
    <w:abstractNumId w:val="17"/>
  </w:num>
  <w:num w:numId="12">
    <w:abstractNumId w:val="11"/>
  </w:num>
  <w:num w:numId="13">
    <w:abstractNumId w:val="22"/>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4"/>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30531"/>
    <w:rsid w:val="00042CA8"/>
    <w:rsid w:val="00045D39"/>
    <w:rsid w:val="000509E3"/>
    <w:rsid w:val="00050D50"/>
    <w:rsid w:val="0005158C"/>
    <w:rsid w:val="000642F5"/>
    <w:rsid w:val="000651FE"/>
    <w:rsid w:val="00066BED"/>
    <w:rsid w:val="00067AC8"/>
    <w:rsid w:val="00072C5A"/>
    <w:rsid w:val="00072F75"/>
    <w:rsid w:val="000763D3"/>
    <w:rsid w:val="00077DCC"/>
    <w:rsid w:val="00082186"/>
    <w:rsid w:val="000849D9"/>
    <w:rsid w:val="00084BFD"/>
    <w:rsid w:val="000946F6"/>
    <w:rsid w:val="00094B25"/>
    <w:rsid w:val="000A2B70"/>
    <w:rsid w:val="000A5157"/>
    <w:rsid w:val="000A5A26"/>
    <w:rsid w:val="000A6C6C"/>
    <w:rsid w:val="000A70A4"/>
    <w:rsid w:val="000B6619"/>
    <w:rsid w:val="000C12D3"/>
    <w:rsid w:val="000C4252"/>
    <w:rsid w:val="000C608A"/>
    <w:rsid w:val="000C727D"/>
    <w:rsid w:val="000D2EFF"/>
    <w:rsid w:val="000E02DE"/>
    <w:rsid w:val="000E181E"/>
    <w:rsid w:val="000E6D00"/>
    <w:rsid w:val="000E73E7"/>
    <w:rsid w:val="000E7C98"/>
    <w:rsid w:val="000F1FC8"/>
    <w:rsid w:val="000F5005"/>
    <w:rsid w:val="000F5E47"/>
    <w:rsid w:val="00100EDE"/>
    <w:rsid w:val="00102149"/>
    <w:rsid w:val="001045E0"/>
    <w:rsid w:val="00105A9E"/>
    <w:rsid w:val="00107AAC"/>
    <w:rsid w:val="00110DBC"/>
    <w:rsid w:val="00121A53"/>
    <w:rsid w:val="0012412D"/>
    <w:rsid w:val="00134777"/>
    <w:rsid w:val="00136AFF"/>
    <w:rsid w:val="00145015"/>
    <w:rsid w:val="00147913"/>
    <w:rsid w:val="001500C2"/>
    <w:rsid w:val="00153967"/>
    <w:rsid w:val="00154A6E"/>
    <w:rsid w:val="00155CFA"/>
    <w:rsid w:val="00161461"/>
    <w:rsid w:val="00161B07"/>
    <w:rsid w:val="00163371"/>
    <w:rsid w:val="00163462"/>
    <w:rsid w:val="00164779"/>
    <w:rsid w:val="0017046D"/>
    <w:rsid w:val="001706DB"/>
    <w:rsid w:val="00174BF2"/>
    <w:rsid w:val="00191F28"/>
    <w:rsid w:val="00193AA9"/>
    <w:rsid w:val="0019766A"/>
    <w:rsid w:val="00197E4B"/>
    <w:rsid w:val="001A1442"/>
    <w:rsid w:val="001A58DA"/>
    <w:rsid w:val="001A63EC"/>
    <w:rsid w:val="001B0E3F"/>
    <w:rsid w:val="001B3770"/>
    <w:rsid w:val="001B3C96"/>
    <w:rsid w:val="001B6DBC"/>
    <w:rsid w:val="001C120B"/>
    <w:rsid w:val="001C1958"/>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3E6"/>
    <w:rsid w:val="001F467E"/>
    <w:rsid w:val="001F4F17"/>
    <w:rsid w:val="001F54ED"/>
    <w:rsid w:val="001F711C"/>
    <w:rsid w:val="00206171"/>
    <w:rsid w:val="002070B8"/>
    <w:rsid w:val="00214205"/>
    <w:rsid w:val="002149FE"/>
    <w:rsid w:val="0022040E"/>
    <w:rsid w:val="00222E5E"/>
    <w:rsid w:val="0022354E"/>
    <w:rsid w:val="00223E5F"/>
    <w:rsid w:val="00223FE7"/>
    <w:rsid w:val="0022636D"/>
    <w:rsid w:val="002317BF"/>
    <w:rsid w:val="00232B36"/>
    <w:rsid w:val="00234314"/>
    <w:rsid w:val="002358BF"/>
    <w:rsid w:val="00235F21"/>
    <w:rsid w:val="00241DC4"/>
    <w:rsid w:val="00247875"/>
    <w:rsid w:val="00250FF0"/>
    <w:rsid w:val="00257824"/>
    <w:rsid w:val="00257E6C"/>
    <w:rsid w:val="002604B0"/>
    <w:rsid w:val="00264BCD"/>
    <w:rsid w:val="002717C4"/>
    <w:rsid w:val="002743A9"/>
    <w:rsid w:val="00277809"/>
    <w:rsid w:val="00285DD5"/>
    <w:rsid w:val="002868FF"/>
    <w:rsid w:val="002869C9"/>
    <w:rsid w:val="00293CDB"/>
    <w:rsid w:val="00296494"/>
    <w:rsid w:val="002975E5"/>
    <w:rsid w:val="00297AF5"/>
    <w:rsid w:val="002A1461"/>
    <w:rsid w:val="002A1B52"/>
    <w:rsid w:val="002A1CEC"/>
    <w:rsid w:val="002A23BE"/>
    <w:rsid w:val="002A43F2"/>
    <w:rsid w:val="002A54F2"/>
    <w:rsid w:val="002B0090"/>
    <w:rsid w:val="002B3192"/>
    <w:rsid w:val="002B629A"/>
    <w:rsid w:val="002B6ABF"/>
    <w:rsid w:val="002C47FC"/>
    <w:rsid w:val="002C6100"/>
    <w:rsid w:val="002C6DCD"/>
    <w:rsid w:val="002C7564"/>
    <w:rsid w:val="002C7F5B"/>
    <w:rsid w:val="002D1457"/>
    <w:rsid w:val="002D4B3A"/>
    <w:rsid w:val="002E36CD"/>
    <w:rsid w:val="002F37FA"/>
    <w:rsid w:val="002F756E"/>
    <w:rsid w:val="0030632E"/>
    <w:rsid w:val="00311310"/>
    <w:rsid w:val="00311F1D"/>
    <w:rsid w:val="003121A8"/>
    <w:rsid w:val="00316EEA"/>
    <w:rsid w:val="00321069"/>
    <w:rsid w:val="00321E7F"/>
    <w:rsid w:val="003221E1"/>
    <w:rsid w:val="00331DFB"/>
    <w:rsid w:val="00335468"/>
    <w:rsid w:val="0033686B"/>
    <w:rsid w:val="003372DE"/>
    <w:rsid w:val="0034636C"/>
    <w:rsid w:val="003531B5"/>
    <w:rsid w:val="00354CBE"/>
    <w:rsid w:val="00356DDD"/>
    <w:rsid w:val="00360477"/>
    <w:rsid w:val="00371171"/>
    <w:rsid w:val="003715EE"/>
    <w:rsid w:val="00371B01"/>
    <w:rsid w:val="00377E3B"/>
    <w:rsid w:val="00382C5D"/>
    <w:rsid w:val="00387BB1"/>
    <w:rsid w:val="003967E5"/>
    <w:rsid w:val="003A3EC5"/>
    <w:rsid w:val="003A69B4"/>
    <w:rsid w:val="003A7D4F"/>
    <w:rsid w:val="003B13FC"/>
    <w:rsid w:val="003B15F2"/>
    <w:rsid w:val="003B21E5"/>
    <w:rsid w:val="003C231B"/>
    <w:rsid w:val="003C2E21"/>
    <w:rsid w:val="003C7046"/>
    <w:rsid w:val="003C7430"/>
    <w:rsid w:val="003D0024"/>
    <w:rsid w:val="003D29CC"/>
    <w:rsid w:val="003D5163"/>
    <w:rsid w:val="003D7290"/>
    <w:rsid w:val="003D75B5"/>
    <w:rsid w:val="003E1396"/>
    <w:rsid w:val="003E1C06"/>
    <w:rsid w:val="003E308A"/>
    <w:rsid w:val="003E6AD6"/>
    <w:rsid w:val="003E78C4"/>
    <w:rsid w:val="003E7CF6"/>
    <w:rsid w:val="003F02E7"/>
    <w:rsid w:val="003F39A5"/>
    <w:rsid w:val="003F4CC3"/>
    <w:rsid w:val="003F4E65"/>
    <w:rsid w:val="00400A2F"/>
    <w:rsid w:val="004019F1"/>
    <w:rsid w:val="00410F70"/>
    <w:rsid w:val="00413502"/>
    <w:rsid w:val="004177C4"/>
    <w:rsid w:val="00421533"/>
    <w:rsid w:val="00422A34"/>
    <w:rsid w:val="00425DE7"/>
    <w:rsid w:val="0043006A"/>
    <w:rsid w:val="00432F69"/>
    <w:rsid w:val="00437ED5"/>
    <w:rsid w:val="004459DB"/>
    <w:rsid w:val="00447256"/>
    <w:rsid w:val="0045045F"/>
    <w:rsid w:val="00457C23"/>
    <w:rsid w:val="004648B9"/>
    <w:rsid w:val="00466BB4"/>
    <w:rsid w:val="00473480"/>
    <w:rsid w:val="004737C2"/>
    <w:rsid w:val="00484354"/>
    <w:rsid w:val="004868AF"/>
    <w:rsid w:val="0049108F"/>
    <w:rsid w:val="00495EC4"/>
    <w:rsid w:val="004977B7"/>
    <w:rsid w:val="00497B42"/>
    <w:rsid w:val="004A00AE"/>
    <w:rsid w:val="004A51E4"/>
    <w:rsid w:val="004B1937"/>
    <w:rsid w:val="004B67C6"/>
    <w:rsid w:val="004C2275"/>
    <w:rsid w:val="004C3B67"/>
    <w:rsid w:val="004C53EE"/>
    <w:rsid w:val="004D22C4"/>
    <w:rsid w:val="004D4C25"/>
    <w:rsid w:val="004D4EC2"/>
    <w:rsid w:val="004D63C8"/>
    <w:rsid w:val="004E40F0"/>
    <w:rsid w:val="004E6B9C"/>
    <w:rsid w:val="004F0ACC"/>
    <w:rsid w:val="004F1933"/>
    <w:rsid w:val="004F21A5"/>
    <w:rsid w:val="004F48C5"/>
    <w:rsid w:val="004F66CC"/>
    <w:rsid w:val="00502365"/>
    <w:rsid w:val="00503893"/>
    <w:rsid w:val="0051121D"/>
    <w:rsid w:val="005112A1"/>
    <w:rsid w:val="005118A1"/>
    <w:rsid w:val="005136BD"/>
    <w:rsid w:val="00514125"/>
    <w:rsid w:val="00517404"/>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96CD0"/>
    <w:rsid w:val="005A1D52"/>
    <w:rsid w:val="005A6F50"/>
    <w:rsid w:val="005B70B5"/>
    <w:rsid w:val="005B7E52"/>
    <w:rsid w:val="005C0681"/>
    <w:rsid w:val="005C1D53"/>
    <w:rsid w:val="005C382A"/>
    <w:rsid w:val="005C4846"/>
    <w:rsid w:val="005C5D49"/>
    <w:rsid w:val="005C7892"/>
    <w:rsid w:val="005D2328"/>
    <w:rsid w:val="005D3968"/>
    <w:rsid w:val="005D43F0"/>
    <w:rsid w:val="005D5D1F"/>
    <w:rsid w:val="005D7597"/>
    <w:rsid w:val="005D79CA"/>
    <w:rsid w:val="005E1FF4"/>
    <w:rsid w:val="005E45ED"/>
    <w:rsid w:val="005E60B4"/>
    <w:rsid w:val="005F405F"/>
    <w:rsid w:val="00602204"/>
    <w:rsid w:val="00602CB1"/>
    <w:rsid w:val="006035A9"/>
    <w:rsid w:val="00603CD3"/>
    <w:rsid w:val="006113ED"/>
    <w:rsid w:val="0061189F"/>
    <w:rsid w:val="00614E53"/>
    <w:rsid w:val="0061514A"/>
    <w:rsid w:val="00616290"/>
    <w:rsid w:val="00616417"/>
    <w:rsid w:val="006171B3"/>
    <w:rsid w:val="00621F76"/>
    <w:rsid w:val="0062322D"/>
    <w:rsid w:val="006263C0"/>
    <w:rsid w:val="0062671B"/>
    <w:rsid w:val="00634133"/>
    <w:rsid w:val="0063739B"/>
    <w:rsid w:val="00637C36"/>
    <w:rsid w:val="00637F4A"/>
    <w:rsid w:val="006407F6"/>
    <w:rsid w:val="006409C7"/>
    <w:rsid w:val="0064157B"/>
    <w:rsid w:val="006436F8"/>
    <w:rsid w:val="00645365"/>
    <w:rsid w:val="006661A3"/>
    <w:rsid w:val="00666530"/>
    <w:rsid w:val="00671F93"/>
    <w:rsid w:val="00676D66"/>
    <w:rsid w:val="00680C8E"/>
    <w:rsid w:val="0068475B"/>
    <w:rsid w:val="00684E26"/>
    <w:rsid w:val="00685A48"/>
    <w:rsid w:val="006903F5"/>
    <w:rsid w:val="00693514"/>
    <w:rsid w:val="00693CAE"/>
    <w:rsid w:val="00693DFB"/>
    <w:rsid w:val="006968A0"/>
    <w:rsid w:val="00696E62"/>
    <w:rsid w:val="00697832"/>
    <w:rsid w:val="006A5637"/>
    <w:rsid w:val="006B1A17"/>
    <w:rsid w:val="006B22A0"/>
    <w:rsid w:val="006B26C8"/>
    <w:rsid w:val="006C07A1"/>
    <w:rsid w:val="006C0812"/>
    <w:rsid w:val="006D0C09"/>
    <w:rsid w:val="006D1297"/>
    <w:rsid w:val="006D440B"/>
    <w:rsid w:val="006D446B"/>
    <w:rsid w:val="006D4CF5"/>
    <w:rsid w:val="006D534B"/>
    <w:rsid w:val="006D6311"/>
    <w:rsid w:val="006D746E"/>
    <w:rsid w:val="006E2D8B"/>
    <w:rsid w:val="006E3BB4"/>
    <w:rsid w:val="006E48AE"/>
    <w:rsid w:val="006F35D6"/>
    <w:rsid w:val="00702238"/>
    <w:rsid w:val="00702A2D"/>
    <w:rsid w:val="0071000F"/>
    <w:rsid w:val="0071027A"/>
    <w:rsid w:val="00710AD8"/>
    <w:rsid w:val="00722718"/>
    <w:rsid w:val="007240C4"/>
    <w:rsid w:val="00724352"/>
    <w:rsid w:val="00724B28"/>
    <w:rsid w:val="0072645F"/>
    <w:rsid w:val="00726A1E"/>
    <w:rsid w:val="00731D47"/>
    <w:rsid w:val="00733AEA"/>
    <w:rsid w:val="007341E4"/>
    <w:rsid w:val="00734B71"/>
    <w:rsid w:val="0073543A"/>
    <w:rsid w:val="0074392E"/>
    <w:rsid w:val="00743CBD"/>
    <w:rsid w:val="007453A9"/>
    <w:rsid w:val="00746A4B"/>
    <w:rsid w:val="00747824"/>
    <w:rsid w:val="007622DF"/>
    <w:rsid w:val="00762918"/>
    <w:rsid w:val="007641E6"/>
    <w:rsid w:val="00764C3F"/>
    <w:rsid w:val="007705ED"/>
    <w:rsid w:val="0077460D"/>
    <w:rsid w:val="00775D0B"/>
    <w:rsid w:val="007768F4"/>
    <w:rsid w:val="007855A0"/>
    <w:rsid w:val="0078576A"/>
    <w:rsid w:val="007858F4"/>
    <w:rsid w:val="00786809"/>
    <w:rsid w:val="00791E1C"/>
    <w:rsid w:val="00794B28"/>
    <w:rsid w:val="00795939"/>
    <w:rsid w:val="007960ED"/>
    <w:rsid w:val="007977E9"/>
    <w:rsid w:val="00797846"/>
    <w:rsid w:val="007A05E9"/>
    <w:rsid w:val="007A64B1"/>
    <w:rsid w:val="007B231B"/>
    <w:rsid w:val="007B4C46"/>
    <w:rsid w:val="007C275F"/>
    <w:rsid w:val="007C3A1E"/>
    <w:rsid w:val="007C4B36"/>
    <w:rsid w:val="007C57F3"/>
    <w:rsid w:val="007C5E4D"/>
    <w:rsid w:val="007D35C0"/>
    <w:rsid w:val="007D45EE"/>
    <w:rsid w:val="007D4AD7"/>
    <w:rsid w:val="007D6C74"/>
    <w:rsid w:val="007E1439"/>
    <w:rsid w:val="007E15D6"/>
    <w:rsid w:val="007E24F4"/>
    <w:rsid w:val="007E3874"/>
    <w:rsid w:val="007E4A2B"/>
    <w:rsid w:val="007F579C"/>
    <w:rsid w:val="007F57B1"/>
    <w:rsid w:val="007F6E4A"/>
    <w:rsid w:val="007F78C3"/>
    <w:rsid w:val="00800A99"/>
    <w:rsid w:val="00802695"/>
    <w:rsid w:val="00802D5D"/>
    <w:rsid w:val="00804000"/>
    <w:rsid w:val="008073FE"/>
    <w:rsid w:val="00811F94"/>
    <w:rsid w:val="00816D20"/>
    <w:rsid w:val="00821850"/>
    <w:rsid w:val="00821A8E"/>
    <w:rsid w:val="008249A2"/>
    <w:rsid w:val="00831054"/>
    <w:rsid w:val="00834461"/>
    <w:rsid w:val="00834C0F"/>
    <w:rsid w:val="008366B0"/>
    <w:rsid w:val="00840382"/>
    <w:rsid w:val="00841A58"/>
    <w:rsid w:val="00844BF6"/>
    <w:rsid w:val="00850337"/>
    <w:rsid w:val="008540A8"/>
    <w:rsid w:val="008543E1"/>
    <w:rsid w:val="00856CAE"/>
    <w:rsid w:val="00862E9C"/>
    <w:rsid w:val="00873101"/>
    <w:rsid w:val="00873765"/>
    <w:rsid w:val="00882FD1"/>
    <w:rsid w:val="0088761B"/>
    <w:rsid w:val="00887FCF"/>
    <w:rsid w:val="008A21E4"/>
    <w:rsid w:val="008A2810"/>
    <w:rsid w:val="008A4D03"/>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562"/>
    <w:rsid w:val="008E5E73"/>
    <w:rsid w:val="008F0177"/>
    <w:rsid w:val="008F058B"/>
    <w:rsid w:val="008F0FC1"/>
    <w:rsid w:val="008F1C4F"/>
    <w:rsid w:val="0090077F"/>
    <w:rsid w:val="00901EA9"/>
    <w:rsid w:val="00905206"/>
    <w:rsid w:val="009073DF"/>
    <w:rsid w:val="00907818"/>
    <w:rsid w:val="009109D3"/>
    <w:rsid w:val="00912D86"/>
    <w:rsid w:val="00920C0E"/>
    <w:rsid w:val="009218D4"/>
    <w:rsid w:val="00923F57"/>
    <w:rsid w:val="009251A3"/>
    <w:rsid w:val="0092782B"/>
    <w:rsid w:val="00931846"/>
    <w:rsid w:val="009341FC"/>
    <w:rsid w:val="009346C1"/>
    <w:rsid w:val="00940E87"/>
    <w:rsid w:val="00943740"/>
    <w:rsid w:val="00945289"/>
    <w:rsid w:val="009479A1"/>
    <w:rsid w:val="009518AE"/>
    <w:rsid w:val="00954253"/>
    <w:rsid w:val="00967646"/>
    <w:rsid w:val="0096768C"/>
    <w:rsid w:val="00970A14"/>
    <w:rsid w:val="00970F89"/>
    <w:rsid w:val="009723DF"/>
    <w:rsid w:val="00982B12"/>
    <w:rsid w:val="00983D56"/>
    <w:rsid w:val="009849D8"/>
    <w:rsid w:val="00992031"/>
    <w:rsid w:val="00993AB7"/>
    <w:rsid w:val="00996EE9"/>
    <w:rsid w:val="009A21DF"/>
    <w:rsid w:val="009A25B8"/>
    <w:rsid w:val="009A273D"/>
    <w:rsid w:val="009A396D"/>
    <w:rsid w:val="009A514E"/>
    <w:rsid w:val="009A68FC"/>
    <w:rsid w:val="009A7B17"/>
    <w:rsid w:val="009B3559"/>
    <w:rsid w:val="009B5EAA"/>
    <w:rsid w:val="009B628C"/>
    <w:rsid w:val="009B66B1"/>
    <w:rsid w:val="009C011F"/>
    <w:rsid w:val="009C7270"/>
    <w:rsid w:val="009D2D98"/>
    <w:rsid w:val="009D2F22"/>
    <w:rsid w:val="009D4B77"/>
    <w:rsid w:val="009D7EB6"/>
    <w:rsid w:val="009E44BE"/>
    <w:rsid w:val="009E6079"/>
    <w:rsid w:val="009E65BF"/>
    <w:rsid w:val="009E6A50"/>
    <w:rsid w:val="009E7835"/>
    <w:rsid w:val="009F04DE"/>
    <w:rsid w:val="009F291D"/>
    <w:rsid w:val="009F52EE"/>
    <w:rsid w:val="009F7006"/>
    <w:rsid w:val="009F790B"/>
    <w:rsid w:val="00A01257"/>
    <w:rsid w:val="00A05BF1"/>
    <w:rsid w:val="00A0674A"/>
    <w:rsid w:val="00A0684C"/>
    <w:rsid w:val="00A06AB1"/>
    <w:rsid w:val="00A1121C"/>
    <w:rsid w:val="00A15B7A"/>
    <w:rsid w:val="00A17CB3"/>
    <w:rsid w:val="00A20600"/>
    <w:rsid w:val="00A212D0"/>
    <w:rsid w:val="00A2266C"/>
    <w:rsid w:val="00A267F3"/>
    <w:rsid w:val="00A26D83"/>
    <w:rsid w:val="00A2701C"/>
    <w:rsid w:val="00A33515"/>
    <w:rsid w:val="00A36F21"/>
    <w:rsid w:val="00A40CCF"/>
    <w:rsid w:val="00A45359"/>
    <w:rsid w:val="00A4554B"/>
    <w:rsid w:val="00A54C7D"/>
    <w:rsid w:val="00A602C5"/>
    <w:rsid w:val="00A60DC1"/>
    <w:rsid w:val="00A6363E"/>
    <w:rsid w:val="00A64F66"/>
    <w:rsid w:val="00A67CF0"/>
    <w:rsid w:val="00A709DF"/>
    <w:rsid w:val="00A71BD1"/>
    <w:rsid w:val="00A77F9B"/>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41AA"/>
    <w:rsid w:val="00B10A5D"/>
    <w:rsid w:val="00B10E16"/>
    <w:rsid w:val="00B10EEA"/>
    <w:rsid w:val="00B1140F"/>
    <w:rsid w:val="00B128E0"/>
    <w:rsid w:val="00B13872"/>
    <w:rsid w:val="00B13961"/>
    <w:rsid w:val="00B16260"/>
    <w:rsid w:val="00B20A0B"/>
    <w:rsid w:val="00B25898"/>
    <w:rsid w:val="00B25ECB"/>
    <w:rsid w:val="00B30FD3"/>
    <w:rsid w:val="00B310D8"/>
    <w:rsid w:val="00B365CF"/>
    <w:rsid w:val="00B405A2"/>
    <w:rsid w:val="00B42011"/>
    <w:rsid w:val="00B47416"/>
    <w:rsid w:val="00B51C06"/>
    <w:rsid w:val="00B52BCF"/>
    <w:rsid w:val="00B542DB"/>
    <w:rsid w:val="00B55E40"/>
    <w:rsid w:val="00B578EE"/>
    <w:rsid w:val="00B60C49"/>
    <w:rsid w:val="00B6407C"/>
    <w:rsid w:val="00B64900"/>
    <w:rsid w:val="00B706CE"/>
    <w:rsid w:val="00B7202C"/>
    <w:rsid w:val="00B732D6"/>
    <w:rsid w:val="00B815AD"/>
    <w:rsid w:val="00B82166"/>
    <w:rsid w:val="00B83147"/>
    <w:rsid w:val="00BA192A"/>
    <w:rsid w:val="00BA237C"/>
    <w:rsid w:val="00BA4085"/>
    <w:rsid w:val="00BA4DD3"/>
    <w:rsid w:val="00BB0E41"/>
    <w:rsid w:val="00BB60EB"/>
    <w:rsid w:val="00BB68CF"/>
    <w:rsid w:val="00BD2D3C"/>
    <w:rsid w:val="00BD4AA3"/>
    <w:rsid w:val="00BD75CC"/>
    <w:rsid w:val="00BE732A"/>
    <w:rsid w:val="00BF10CC"/>
    <w:rsid w:val="00BF2C97"/>
    <w:rsid w:val="00BF362F"/>
    <w:rsid w:val="00BF3AD1"/>
    <w:rsid w:val="00BF7AE1"/>
    <w:rsid w:val="00BF7C97"/>
    <w:rsid w:val="00C01272"/>
    <w:rsid w:val="00C05F5C"/>
    <w:rsid w:val="00C07DB3"/>
    <w:rsid w:val="00C104BE"/>
    <w:rsid w:val="00C1597C"/>
    <w:rsid w:val="00C15C08"/>
    <w:rsid w:val="00C160BE"/>
    <w:rsid w:val="00C16DDE"/>
    <w:rsid w:val="00C208CE"/>
    <w:rsid w:val="00C210B6"/>
    <w:rsid w:val="00C21C2D"/>
    <w:rsid w:val="00C233AD"/>
    <w:rsid w:val="00C23ED1"/>
    <w:rsid w:val="00C276B1"/>
    <w:rsid w:val="00C31455"/>
    <w:rsid w:val="00C3470D"/>
    <w:rsid w:val="00C34B74"/>
    <w:rsid w:val="00C36E74"/>
    <w:rsid w:val="00C37C6A"/>
    <w:rsid w:val="00C45030"/>
    <w:rsid w:val="00C510EE"/>
    <w:rsid w:val="00C57D2D"/>
    <w:rsid w:val="00C60E6C"/>
    <w:rsid w:val="00C61370"/>
    <w:rsid w:val="00C65F62"/>
    <w:rsid w:val="00C73D59"/>
    <w:rsid w:val="00C76604"/>
    <w:rsid w:val="00C808FE"/>
    <w:rsid w:val="00C8125E"/>
    <w:rsid w:val="00C90340"/>
    <w:rsid w:val="00C92882"/>
    <w:rsid w:val="00C92CDE"/>
    <w:rsid w:val="00CA312B"/>
    <w:rsid w:val="00CA3884"/>
    <w:rsid w:val="00CA6359"/>
    <w:rsid w:val="00CA7278"/>
    <w:rsid w:val="00CA7860"/>
    <w:rsid w:val="00CB0EB9"/>
    <w:rsid w:val="00CB7BC4"/>
    <w:rsid w:val="00CC31E9"/>
    <w:rsid w:val="00CC78FD"/>
    <w:rsid w:val="00CD0985"/>
    <w:rsid w:val="00CD480A"/>
    <w:rsid w:val="00CD5846"/>
    <w:rsid w:val="00CD6BE0"/>
    <w:rsid w:val="00CD6F36"/>
    <w:rsid w:val="00CD7F7E"/>
    <w:rsid w:val="00CE4DC0"/>
    <w:rsid w:val="00CF06B9"/>
    <w:rsid w:val="00CF1E82"/>
    <w:rsid w:val="00D00C98"/>
    <w:rsid w:val="00D07957"/>
    <w:rsid w:val="00D1238B"/>
    <w:rsid w:val="00D12728"/>
    <w:rsid w:val="00D135A3"/>
    <w:rsid w:val="00D1445A"/>
    <w:rsid w:val="00D23AC9"/>
    <w:rsid w:val="00D30A8D"/>
    <w:rsid w:val="00D30CA9"/>
    <w:rsid w:val="00D34D7B"/>
    <w:rsid w:val="00D4093D"/>
    <w:rsid w:val="00D41F9B"/>
    <w:rsid w:val="00D422A2"/>
    <w:rsid w:val="00D54FFE"/>
    <w:rsid w:val="00D56AD9"/>
    <w:rsid w:val="00D57D5B"/>
    <w:rsid w:val="00D62872"/>
    <w:rsid w:val="00D62FBB"/>
    <w:rsid w:val="00D641AD"/>
    <w:rsid w:val="00D6477D"/>
    <w:rsid w:val="00D7115D"/>
    <w:rsid w:val="00D7332B"/>
    <w:rsid w:val="00D74B91"/>
    <w:rsid w:val="00D821F5"/>
    <w:rsid w:val="00D84C5F"/>
    <w:rsid w:val="00D86936"/>
    <w:rsid w:val="00D9572D"/>
    <w:rsid w:val="00D95C68"/>
    <w:rsid w:val="00DA00DA"/>
    <w:rsid w:val="00DA1C95"/>
    <w:rsid w:val="00DA4790"/>
    <w:rsid w:val="00DA5E32"/>
    <w:rsid w:val="00DB0DE0"/>
    <w:rsid w:val="00DB18D4"/>
    <w:rsid w:val="00DB4814"/>
    <w:rsid w:val="00DB6B88"/>
    <w:rsid w:val="00DC5BFB"/>
    <w:rsid w:val="00DC78E2"/>
    <w:rsid w:val="00DE2F71"/>
    <w:rsid w:val="00DE3308"/>
    <w:rsid w:val="00DF0C8E"/>
    <w:rsid w:val="00DF1C19"/>
    <w:rsid w:val="00DF2C59"/>
    <w:rsid w:val="00DF56A4"/>
    <w:rsid w:val="00DF7AAA"/>
    <w:rsid w:val="00E01904"/>
    <w:rsid w:val="00E02B70"/>
    <w:rsid w:val="00E064E4"/>
    <w:rsid w:val="00E1165F"/>
    <w:rsid w:val="00E154DC"/>
    <w:rsid w:val="00E21858"/>
    <w:rsid w:val="00E21A4F"/>
    <w:rsid w:val="00E22160"/>
    <w:rsid w:val="00E24F1E"/>
    <w:rsid w:val="00E27293"/>
    <w:rsid w:val="00E37A93"/>
    <w:rsid w:val="00E410A9"/>
    <w:rsid w:val="00E4713D"/>
    <w:rsid w:val="00E504FF"/>
    <w:rsid w:val="00E5197F"/>
    <w:rsid w:val="00E65E66"/>
    <w:rsid w:val="00E6704F"/>
    <w:rsid w:val="00E709C7"/>
    <w:rsid w:val="00E7360A"/>
    <w:rsid w:val="00E76673"/>
    <w:rsid w:val="00E800CE"/>
    <w:rsid w:val="00E826B0"/>
    <w:rsid w:val="00E82FDA"/>
    <w:rsid w:val="00E842B5"/>
    <w:rsid w:val="00E84D27"/>
    <w:rsid w:val="00E856E6"/>
    <w:rsid w:val="00E86C0C"/>
    <w:rsid w:val="00E917E6"/>
    <w:rsid w:val="00E92361"/>
    <w:rsid w:val="00E94C6C"/>
    <w:rsid w:val="00EA43A2"/>
    <w:rsid w:val="00EB1030"/>
    <w:rsid w:val="00EB1E92"/>
    <w:rsid w:val="00EB208A"/>
    <w:rsid w:val="00EB6E9E"/>
    <w:rsid w:val="00EC214D"/>
    <w:rsid w:val="00EC2F5D"/>
    <w:rsid w:val="00EC4149"/>
    <w:rsid w:val="00EC4452"/>
    <w:rsid w:val="00EC4EF4"/>
    <w:rsid w:val="00EC56A6"/>
    <w:rsid w:val="00ED01C4"/>
    <w:rsid w:val="00ED15E8"/>
    <w:rsid w:val="00ED368F"/>
    <w:rsid w:val="00EE1919"/>
    <w:rsid w:val="00EE49D1"/>
    <w:rsid w:val="00EE6C69"/>
    <w:rsid w:val="00EF0A39"/>
    <w:rsid w:val="00EF128D"/>
    <w:rsid w:val="00EF407C"/>
    <w:rsid w:val="00F01EB2"/>
    <w:rsid w:val="00F02CD7"/>
    <w:rsid w:val="00F041CE"/>
    <w:rsid w:val="00F0581C"/>
    <w:rsid w:val="00F05B16"/>
    <w:rsid w:val="00F066D0"/>
    <w:rsid w:val="00F06830"/>
    <w:rsid w:val="00F07024"/>
    <w:rsid w:val="00F07443"/>
    <w:rsid w:val="00F074E4"/>
    <w:rsid w:val="00F10EDC"/>
    <w:rsid w:val="00F16D22"/>
    <w:rsid w:val="00F21101"/>
    <w:rsid w:val="00F23EA1"/>
    <w:rsid w:val="00F23EBF"/>
    <w:rsid w:val="00F24502"/>
    <w:rsid w:val="00F3463C"/>
    <w:rsid w:val="00F40237"/>
    <w:rsid w:val="00F4035B"/>
    <w:rsid w:val="00F40BC9"/>
    <w:rsid w:val="00F40C9B"/>
    <w:rsid w:val="00F43BCF"/>
    <w:rsid w:val="00F4623A"/>
    <w:rsid w:val="00F51B56"/>
    <w:rsid w:val="00F51E71"/>
    <w:rsid w:val="00F56116"/>
    <w:rsid w:val="00F61EAF"/>
    <w:rsid w:val="00F635CF"/>
    <w:rsid w:val="00F6485E"/>
    <w:rsid w:val="00F653E9"/>
    <w:rsid w:val="00F6573B"/>
    <w:rsid w:val="00F706D7"/>
    <w:rsid w:val="00F778F8"/>
    <w:rsid w:val="00F80F9B"/>
    <w:rsid w:val="00F84647"/>
    <w:rsid w:val="00F849CF"/>
    <w:rsid w:val="00F878B7"/>
    <w:rsid w:val="00F87C22"/>
    <w:rsid w:val="00F96B72"/>
    <w:rsid w:val="00F9742E"/>
    <w:rsid w:val="00FA1E2A"/>
    <w:rsid w:val="00FB1BD4"/>
    <w:rsid w:val="00FB3CD0"/>
    <w:rsid w:val="00FC035C"/>
    <w:rsid w:val="00FC4159"/>
    <w:rsid w:val="00FD1C8D"/>
    <w:rsid w:val="00FE0350"/>
    <w:rsid w:val="00FE0A52"/>
    <w:rsid w:val="00FE2034"/>
    <w:rsid w:val="00FE2C02"/>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755C2B1"/>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5C1D53"/>
    <w:pPr>
      <w:numPr>
        <w:numId w:val="26"/>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602204"/>
    <w:pPr>
      <w:tabs>
        <w:tab w:val="clear" w:pos="283"/>
      </w:tabs>
      <w:ind w:left="851"/>
    </w:pPr>
  </w:style>
  <w:style w:type="paragraph" w:customStyle="1" w:styleId="ANormal">
    <w:name w:val="ANormal"/>
    <w:rsid w:val="00602204"/>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602204"/>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602204"/>
  </w:style>
  <w:style w:type="paragraph" w:customStyle="1" w:styleId="xCelltext">
    <w:name w:val="xCelltext"/>
    <w:rsid w:val="00602204"/>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602204"/>
  </w:style>
  <w:style w:type="paragraph" w:customStyle="1" w:styleId="xDatum2">
    <w:name w:val="xDatum2"/>
    <w:basedOn w:val="xCelltext"/>
    <w:rsid w:val="00602204"/>
  </w:style>
  <w:style w:type="paragraph" w:customStyle="1" w:styleId="xAvsandare2">
    <w:name w:val="xAvsandare2"/>
    <w:basedOn w:val="xCelltext"/>
    <w:next w:val="xCelltext"/>
    <w:rsid w:val="00602204"/>
    <w:rPr>
      <w:rFonts w:cs="Arial"/>
      <w:b/>
      <w:bCs/>
      <w:sz w:val="20"/>
    </w:rPr>
  </w:style>
  <w:style w:type="paragraph" w:customStyle="1" w:styleId="xAvsandare1">
    <w:name w:val="xAvsandare1"/>
    <w:basedOn w:val="xCelltext"/>
    <w:next w:val="xAvsandare2"/>
    <w:rsid w:val="00602204"/>
    <w:pPr>
      <w:spacing w:before="100" w:beforeAutospacing="1" w:after="100" w:afterAutospacing="1"/>
    </w:pPr>
    <w:rPr>
      <w:rFonts w:cs="Arial"/>
      <w:b/>
      <w:bCs/>
      <w:sz w:val="26"/>
      <w:szCs w:val="22"/>
    </w:rPr>
  </w:style>
  <w:style w:type="paragraph" w:customStyle="1" w:styleId="xAvsandare3">
    <w:name w:val="xAvsandare3"/>
    <w:basedOn w:val="xCelltext"/>
    <w:next w:val="xCelltext"/>
    <w:rsid w:val="00602204"/>
  </w:style>
  <w:style w:type="paragraph" w:customStyle="1" w:styleId="xDokTypNr">
    <w:name w:val="xDokTypNr"/>
    <w:basedOn w:val="xCelltext"/>
    <w:rsid w:val="00602204"/>
    <w:rPr>
      <w:b/>
      <w:sz w:val="20"/>
    </w:rPr>
  </w:style>
  <w:style w:type="paragraph" w:customStyle="1" w:styleId="xBeteckning1">
    <w:name w:val="xBeteckning1"/>
    <w:basedOn w:val="xCelltext"/>
    <w:rsid w:val="00602204"/>
  </w:style>
  <w:style w:type="paragraph" w:customStyle="1" w:styleId="RubrikA">
    <w:name w:val="RubrikA"/>
    <w:next w:val="Rubrikmellanrum"/>
    <w:rsid w:val="00602204"/>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602204"/>
    <w:pPr>
      <w:keepNext/>
    </w:pPr>
    <w:rPr>
      <w:sz w:val="10"/>
    </w:rPr>
  </w:style>
  <w:style w:type="character" w:styleId="Sidnummer">
    <w:name w:val="page number"/>
    <w:rsid w:val="00602204"/>
    <w:rPr>
      <w:rFonts w:ascii="Verdana" w:hAnsi="Verdana"/>
    </w:rPr>
  </w:style>
  <w:style w:type="paragraph" w:customStyle="1" w:styleId="xMottagare1">
    <w:name w:val="xMottagare1"/>
    <w:basedOn w:val="xCelltext"/>
    <w:next w:val="Normal"/>
    <w:rsid w:val="00602204"/>
    <w:rPr>
      <w:rFonts w:cs="Arial"/>
      <w:b/>
      <w:bCs/>
      <w:sz w:val="20"/>
    </w:rPr>
  </w:style>
  <w:style w:type="paragraph" w:customStyle="1" w:styleId="ArendeRubrik">
    <w:name w:val="ArendeRubrik"/>
    <w:next w:val="Normal"/>
    <w:rsid w:val="00602204"/>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602204"/>
    <w:rPr>
      <w:sz w:val="4"/>
    </w:rPr>
  </w:style>
  <w:style w:type="character" w:styleId="Kommentarsreferens">
    <w:name w:val="annotation reference"/>
    <w:basedOn w:val="Standardstycketeckensnitt"/>
    <w:uiPriority w:val="99"/>
    <w:semiHidden/>
    <w:unhideWhenUsed/>
    <w:rsid w:val="00495EC4"/>
    <w:rPr>
      <w:sz w:val="16"/>
      <w:szCs w:val="16"/>
    </w:rPr>
  </w:style>
  <w:style w:type="paragraph" w:styleId="Kommentarer">
    <w:name w:val="annotation text"/>
    <w:basedOn w:val="Normal"/>
    <w:link w:val="KommentarerChar"/>
    <w:uiPriority w:val="99"/>
    <w:semiHidden/>
    <w:unhideWhenUsed/>
    <w:rsid w:val="00495EC4"/>
    <w:rPr>
      <w:szCs w:val="20"/>
    </w:rPr>
  </w:style>
  <w:style w:type="character" w:customStyle="1" w:styleId="KommentarerChar">
    <w:name w:val="Kommentarer Char"/>
    <w:basedOn w:val="Standardstycketeckensnitt"/>
    <w:link w:val="Kommentarer"/>
    <w:uiPriority w:val="99"/>
    <w:semiHidden/>
    <w:rsid w:val="00495EC4"/>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B55E40"/>
    <w:rPr>
      <w:b/>
      <w:bCs/>
    </w:rPr>
  </w:style>
  <w:style w:type="character" w:customStyle="1" w:styleId="KommentarsmneChar">
    <w:name w:val="Kommentarsämne Char"/>
    <w:basedOn w:val="KommentarerChar"/>
    <w:link w:val="Kommentarsmne"/>
    <w:uiPriority w:val="99"/>
    <w:semiHidden/>
    <w:rsid w:val="00B55E40"/>
    <w:rPr>
      <w:rFonts w:ascii="Segoe UI" w:hAnsi="Segoe UI" w:cs="Segoe UI"/>
      <w:b/>
      <w:bCs/>
      <w:sz w:val="20"/>
      <w:szCs w:val="20"/>
    </w:rPr>
  </w:style>
  <w:style w:type="paragraph" w:styleId="Revision">
    <w:name w:val="Revision"/>
    <w:hidden/>
    <w:uiPriority w:val="99"/>
    <w:semiHidden/>
    <w:rsid w:val="00335468"/>
    <w:pPr>
      <w:spacing w:after="0" w:line="240" w:lineRule="auto"/>
    </w:pPr>
    <w:rPr>
      <w:rFonts w:ascii="Segoe UI" w:hAnsi="Segoe UI" w:cs="Segoe UI"/>
      <w:sz w:val="20"/>
    </w:rPr>
  </w:style>
  <w:style w:type="character" w:styleId="Olstomnmnande">
    <w:name w:val="Unresolved Mention"/>
    <w:basedOn w:val="Standardstycketeckensnitt"/>
    <w:uiPriority w:val="99"/>
    <w:semiHidden/>
    <w:unhideWhenUsed/>
    <w:rsid w:val="009F790B"/>
    <w:rPr>
      <w:color w:val="605E5C"/>
      <w:shd w:val="clear" w:color="auto" w:fill="E1DFDD"/>
    </w:rPr>
  </w:style>
  <w:style w:type="character" w:styleId="AnvndHyperlnk">
    <w:name w:val="FollowedHyperlink"/>
    <w:basedOn w:val="Standardstycketeckensnitt"/>
    <w:uiPriority w:val="99"/>
    <w:semiHidden/>
    <w:unhideWhenUsed/>
    <w:rsid w:val="00A77F9B"/>
    <w:rPr>
      <w:color w:val="954F72" w:themeColor="followedHyperlink"/>
      <w:u w:val="single"/>
    </w:rPr>
  </w:style>
  <w:style w:type="paragraph" w:styleId="Fotnotstext">
    <w:name w:val="footnote text"/>
    <w:basedOn w:val="Normal"/>
    <w:link w:val="FotnotstextChar"/>
    <w:uiPriority w:val="99"/>
    <w:semiHidden/>
    <w:unhideWhenUsed/>
    <w:rsid w:val="00C76604"/>
    <w:pPr>
      <w:spacing w:before="0" w:after="0"/>
    </w:pPr>
    <w:rPr>
      <w:szCs w:val="20"/>
    </w:rPr>
  </w:style>
  <w:style w:type="character" w:customStyle="1" w:styleId="FotnotstextChar">
    <w:name w:val="Fotnotstext Char"/>
    <w:basedOn w:val="Standardstycketeckensnitt"/>
    <w:link w:val="Fotnotstext"/>
    <w:uiPriority w:val="99"/>
    <w:semiHidden/>
    <w:rsid w:val="00C76604"/>
    <w:rPr>
      <w:rFonts w:ascii="Segoe UI" w:hAnsi="Segoe UI" w:cs="Segoe UI"/>
      <w:sz w:val="20"/>
      <w:szCs w:val="20"/>
    </w:rPr>
  </w:style>
  <w:style w:type="character" w:styleId="Fotnotsreferens">
    <w:name w:val="footnote reference"/>
    <w:basedOn w:val="Standardstycketeckensnitt"/>
    <w:uiPriority w:val="99"/>
    <w:semiHidden/>
    <w:unhideWhenUsed/>
    <w:rsid w:val="00C76604"/>
    <w:rPr>
      <w:vertAlign w:val="superscript"/>
    </w:rPr>
  </w:style>
  <w:style w:type="paragraph" w:styleId="Ingetavstnd">
    <w:name w:val="No Spacing"/>
    <w:uiPriority w:val="1"/>
    <w:qFormat/>
    <w:rsid w:val="00905206"/>
    <w:pPr>
      <w:spacing w:after="0" w:line="240" w:lineRule="auto"/>
    </w:pPr>
    <w:rPr>
      <w:rFonts w:ascii="Segoe UI" w:hAnsi="Segoe UI" w:cs="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8922">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954941802">
      <w:bodyDiv w:val="1"/>
      <w:marLeft w:val="0"/>
      <w:marRight w:val="0"/>
      <w:marTop w:val="0"/>
      <w:marBottom w:val="0"/>
      <w:divBdr>
        <w:top w:val="none" w:sz="0" w:space="0" w:color="auto"/>
        <w:left w:val="none" w:sz="0" w:space="0" w:color="auto"/>
        <w:bottom w:val="none" w:sz="0" w:space="0" w:color="auto"/>
        <w:right w:val="none" w:sz="0" w:space="0" w:color="auto"/>
      </w:divBdr>
    </w:div>
    <w:div w:id="1187065498">
      <w:bodyDiv w:val="1"/>
      <w:marLeft w:val="0"/>
      <w:marRight w:val="0"/>
      <w:marTop w:val="0"/>
      <w:marBottom w:val="0"/>
      <w:divBdr>
        <w:top w:val="none" w:sz="0" w:space="0" w:color="auto"/>
        <w:left w:val="none" w:sz="0" w:space="0" w:color="auto"/>
        <w:bottom w:val="none" w:sz="0" w:space="0" w:color="auto"/>
        <w:right w:val="none" w:sz="0" w:space="0" w:color="auto"/>
      </w:divBdr>
    </w:div>
    <w:div w:id="1486046764">
      <w:bodyDiv w:val="1"/>
      <w:marLeft w:val="0"/>
      <w:marRight w:val="0"/>
      <w:marTop w:val="0"/>
      <w:marBottom w:val="0"/>
      <w:divBdr>
        <w:top w:val="none" w:sz="0" w:space="0" w:color="auto"/>
        <w:left w:val="none" w:sz="0" w:space="0" w:color="auto"/>
        <w:bottom w:val="none" w:sz="0" w:space="0" w:color="auto"/>
        <w:right w:val="none" w:sz="0" w:space="0" w:color="auto"/>
      </w:divBdr>
    </w:div>
    <w:div w:id="19956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lagtinget.ax/arenden/temporart-slopad-inkomstgrans-studiestod-fraga-om-forvarvsinkomst-5100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A981-EBF0-42A0-BE45-A07EDA4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3724</Words>
  <Characters>19740</Characters>
  <Application>Microsoft Office Word</Application>
  <DocSecurity>0</DocSecurity>
  <Lines>164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 nr 3/2021-2022</vt:lpstr>
      <vt:lpstr/>
    </vt:vector>
  </TitlesOfParts>
  <Manager/>
  <Company/>
  <LinksUpToDate>false</LinksUpToDate>
  <CharactersWithSpaces>23418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nr 3/2021-2022</dc:title>
  <dc:subject>Förslag till tilläggsbudget för Åland</dc:subject>
  <dc:creator>Landskapsregeringen</dc:creator>
  <cp:keywords/>
  <dc:description>Tb_SEGOE UI 27.4.2020.docx</dc:description>
  <cp:lastModifiedBy>Jessica Laaksonen</cp:lastModifiedBy>
  <cp:revision>2</cp:revision>
  <cp:lastPrinted>2022-01-31T10:08:00Z</cp:lastPrinted>
  <dcterms:created xsi:type="dcterms:W3CDTF">2022-01-31T10:11:00Z</dcterms:created>
  <dcterms:modified xsi:type="dcterms:W3CDTF">2022-01-31T10:11:00Z</dcterms:modified>
  <cp:category>31.1.2020</cp:category>
  <cp:contentStatus>Ej påbörjad</cp:contentStatus>
</cp:coreProperties>
</file>