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3AE51446" w:rsidR="000B3F00" w:rsidRDefault="00A92B8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2A2640C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564C330E" w:rsidR="000B3F00" w:rsidRDefault="00A92B8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7BBE8048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178877D0" w:rsidR="000B3F00" w:rsidRDefault="00293016" w:rsidP="00377141">
            <w:pPr>
              <w:pStyle w:val="xAvsandare2"/>
            </w:pPr>
            <w:r w:rsidRPr="001F13E2">
              <w:t>John Holmberg</w:t>
            </w:r>
            <w:r w:rsidR="003368A3">
              <w:t xml:space="preserve"> </w:t>
            </w:r>
            <w:proofErr w:type="gramStart"/>
            <w:r w:rsidR="003368A3"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4E831543" w14:textId="0FE0C938" w:rsidR="000B3F00" w:rsidRDefault="00293016" w:rsidP="0012085E">
            <w:pPr>
              <w:pStyle w:val="xDatum1"/>
            </w:pPr>
            <w:r w:rsidRPr="00962677">
              <w:t>2021-12-</w:t>
            </w:r>
            <w:r w:rsidR="003368A3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8D0EBB7" w14:textId="72F3DEFB" w:rsidR="003368A3" w:rsidRDefault="00293016">
      <w:pPr>
        <w:pStyle w:val="ArendeRubrik"/>
      </w:pPr>
      <w:r>
        <w:t xml:space="preserve">Reservation mot </w:t>
      </w:r>
      <w:r w:rsidR="003368A3">
        <w:t>f</w:t>
      </w:r>
      <w:r>
        <w:t>inans- och näringsutskottet</w:t>
      </w:r>
      <w:r w:rsidR="00EC107A">
        <w:t>s</w:t>
      </w:r>
      <w:r>
        <w:t xml:space="preserve"> betänkande nr 1/</w:t>
      </w:r>
      <w:proofErr w:type="gramStart"/>
      <w:r>
        <w:t>2021-2022</w:t>
      </w:r>
      <w:proofErr w:type="gramEnd"/>
      <w:r w:rsidR="003368A3">
        <w:t xml:space="preserve"> </w:t>
      </w:r>
      <w:r>
        <w:t xml:space="preserve">gällande </w:t>
      </w:r>
    </w:p>
    <w:p w14:paraId="1ED5C129" w14:textId="3398625C" w:rsidR="000B3F00" w:rsidRDefault="00293016">
      <w:pPr>
        <w:pStyle w:val="ArendeRubrik"/>
      </w:pPr>
      <w:proofErr w:type="gramStart"/>
      <w:r>
        <w:t>61000</w:t>
      </w:r>
      <w:proofErr w:type="gramEnd"/>
      <w:r w:rsidR="003368A3">
        <w:t xml:space="preserve"> Näringslivets främjande</w:t>
      </w:r>
      <w:r w:rsidR="00F60AD3">
        <w:t>, överföringar</w:t>
      </w:r>
    </w:p>
    <w:p w14:paraId="095FFC44" w14:textId="77777777" w:rsidR="000B3F00" w:rsidRDefault="000B3F00">
      <w:pPr>
        <w:pStyle w:val="ANormal"/>
      </w:pPr>
    </w:p>
    <w:p w14:paraId="6327E5A2" w14:textId="77777777" w:rsidR="003368A3" w:rsidRDefault="003368A3">
      <w:pPr>
        <w:pStyle w:val="ANormal"/>
      </w:pPr>
    </w:p>
    <w:p w14:paraId="18826568" w14:textId="72B349EC" w:rsidR="00D0061B" w:rsidRDefault="00D0061B">
      <w:pPr>
        <w:pStyle w:val="ANormal"/>
      </w:pPr>
      <w:r>
        <w:t>Motivering</w:t>
      </w:r>
      <w:r w:rsidR="00A92B8C">
        <w:t>: Ökad export och osynligare skattegräns.</w:t>
      </w:r>
    </w:p>
    <w:p w14:paraId="5D79111C" w14:textId="55C9A65E" w:rsidR="00D0061B" w:rsidRDefault="00D0061B">
      <w:pPr>
        <w:pStyle w:val="ANormal"/>
        <w:rPr>
          <w:sz w:val="10"/>
          <w:szCs w:val="8"/>
        </w:rPr>
      </w:pPr>
    </w:p>
    <w:p w14:paraId="3400567D" w14:textId="77777777" w:rsidR="003368A3" w:rsidRPr="003368A3" w:rsidRDefault="003368A3">
      <w:pPr>
        <w:pStyle w:val="ANormal"/>
        <w:rPr>
          <w:sz w:val="10"/>
          <w:szCs w:val="8"/>
        </w:rPr>
      </w:pPr>
    </w:p>
    <w:p w14:paraId="08924035" w14:textId="5BAB0E85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4C58E280" w14:textId="08F62EB5" w:rsidR="003368A3" w:rsidRDefault="003368A3" w:rsidP="003368A3">
      <w:pPr>
        <w:pStyle w:val="Klam"/>
      </w:pPr>
    </w:p>
    <w:p w14:paraId="194CE725" w14:textId="7081CB81" w:rsidR="003368A3" w:rsidRDefault="003368A3" w:rsidP="003368A3">
      <w:pPr>
        <w:pStyle w:val="Klam"/>
      </w:pPr>
      <w:r>
        <w:t xml:space="preserve">att underrubriken </w:t>
      </w:r>
      <w:r w:rsidRPr="00A92B8C">
        <w:t>”Exportföretagande inom digitala tjänster</w:t>
      </w:r>
      <w:r>
        <w:t xml:space="preserve">” </w:t>
      </w:r>
    </w:p>
    <w:p w14:paraId="676A7FF0" w14:textId="6110F7E3" w:rsidR="003368A3" w:rsidRDefault="003368A3" w:rsidP="003368A3">
      <w:pPr>
        <w:pStyle w:val="Klam"/>
      </w:pPr>
      <w:r>
        <w:t>ändras till följande:</w:t>
      </w:r>
      <w:r>
        <w:tab/>
      </w:r>
    </w:p>
    <w:p w14:paraId="6302B4CD" w14:textId="06BBF6F7" w:rsidR="003368A3" w:rsidRDefault="003368A3" w:rsidP="003368A3">
      <w:pPr>
        <w:pStyle w:val="Klam"/>
      </w:pPr>
      <w:r w:rsidRPr="00A92B8C">
        <w:t>”Exportföretagande inom digitala tjänster och skattegränsen</w:t>
      </w:r>
      <w:r>
        <w:t>” samt</w:t>
      </w:r>
    </w:p>
    <w:p w14:paraId="73FE11E8" w14:textId="77777777" w:rsidR="003368A3" w:rsidRPr="003368A3" w:rsidRDefault="003368A3" w:rsidP="003368A3">
      <w:pPr>
        <w:pStyle w:val="ANormal"/>
      </w:pPr>
    </w:p>
    <w:p w14:paraId="3A35C924" w14:textId="3AAF0EED" w:rsidR="003368A3" w:rsidRDefault="003368A3" w:rsidP="003368A3">
      <w:pPr>
        <w:pStyle w:val="Klam"/>
      </w:pPr>
      <w:r>
        <w:t>att</w:t>
      </w:r>
      <w:r w:rsidR="00A92B8C">
        <w:t xml:space="preserve"> </w:t>
      </w:r>
      <w:r>
        <w:t>första stycket under rubriken ändras och ersätts med följande text</w:t>
      </w:r>
      <w:r w:rsidR="00A92B8C">
        <w:t>:</w:t>
      </w:r>
    </w:p>
    <w:p w14:paraId="775F3CBB" w14:textId="73223F83" w:rsidR="00D34F0A" w:rsidRDefault="003368A3" w:rsidP="003368A3">
      <w:pPr>
        <w:pStyle w:val="Klam"/>
      </w:pPr>
      <w:r>
        <w:t>”</w:t>
      </w:r>
      <w:r w:rsidR="00A92B8C" w:rsidRPr="00A92B8C">
        <w:t>Föreslås ett anslag om 300</w:t>
      </w:r>
      <w:r>
        <w:t xml:space="preserve"> </w:t>
      </w:r>
      <w:r w:rsidR="00A92B8C" w:rsidRPr="00A92B8C">
        <w:t>000 euro för finansiering av tjänsteproducerande företags utvecklingsprojekt som bidrar till ökad export och höjer företagens konkurrenskraft. Anslaget nyttjas även till att minska de negativa effekterna av skattegränsen.”</w:t>
      </w:r>
    </w:p>
    <w:p w14:paraId="1BA9C434" w14:textId="6E02F483" w:rsidR="000B3F00" w:rsidRDefault="000B3F00" w:rsidP="003368A3">
      <w:pPr>
        <w:pStyle w:val="Klam"/>
      </w:pPr>
    </w:p>
    <w:p w14:paraId="026B2594" w14:textId="77777777" w:rsidR="003368A3" w:rsidRPr="003368A3" w:rsidRDefault="003368A3" w:rsidP="003368A3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5B94ACBA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3368A3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2021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30ECEDE0" w14:textId="4C04C4E9" w:rsidR="00293016" w:rsidRDefault="00293016" w:rsidP="00293016">
      <w:pPr>
        <w:pStyle w:val="ANormal"/>
      </w:pPr>
      <w:r w:rsidRPr="001F13E2">
        <w:t>John Holmberg</w:t>
      </w:r>
      <w:r w:rsidR="003368A3">
        <w:tab/>
      </w:r>
      <w:r w:rsidR="003368A3">
        <w:tab/>
      </w:r>
      <w:r w:rsidRPr="00514927">
        <w:t>Katrin Sjögren</w:t>
      </w:r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CCF5" w14:textId="77777777" w:rsidR="007B1D60" w:rsidRDefault="007B1D60">
      <w:r>
        <w:separator/>
      </w:r>
    </w:p>
  </w:endnote>
  <w:endnote w:type="continuationSeparator" w:id="0">
    <w:p w14:paraId="665EF07B" w14:textId="77777777" w:rsidR="007B1D60" w:rsidRDefault="007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4C87" w14:textId="77777777" w:rsidR="007B1D60" w:rsidRDefault="007B1D60">
      <w:r>
        <w:separator/>
      </w:r>
    </w:p>
  </w:footnote>
  <w:footnote w:type="continuationSeparator" w:id="0">
    <w:p w14:paraId="70F214CB" w14:textId="77777777" w:rsidR="007B1D60" w:rsidRDefault="007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B3F00"/>
    <w:rsid w:val="001120C3"/>
    <w:rsid w:val="0012085E"/>
    <w:rsid w:val="00210EB3"/>
    <w:rsid w:val="0023049D"/>
    <w:rsid w:val="00293016"/>
    <w:rsid w:val="002D7F1A"/>
    <w:rsid w:val="002F50E4"/>
    <w:rsid w:val="003011C1"/>
    <w:rsid w:val="003368A3"/>
    <w:rsid w:val="0036587F"/>
    <w:rsid w:val="00376F07"/>
    <w:rsid w:val="00377141"/>
    <w:rsid w:val="00381DC7"/>
    <w:rsid w:val="0038300C"/>
    <w:rsid w:val="004C3639"/>
    <w:rsid w:val="00663FC5"/>
    <w:rsid w:val="0071193D"/>
    <w:rsid w:val="007B1D60"/>
    <w:rsid w:val="0084359B"/>
    <w:rsid w:val="008C0EEE"/>
    <w:rsid w:val="009044DF"/>
    <w:rsid w:val="00935A18"/>
    <w:rsid w:val="0094413E"/>
    <w:rsid w:val="00987A6E"/>
    <w:rsid w:val="009D01AC"/>
    <w:rsid w:val="00A16986"/>
    <w:rsid w:val="00A716AD"/>
    <w:rsid w:val="00A92B8C"/>
    <w:rsid w:val="00AB47CC"/>
    <w:rsid w:val="00AF314A"/>
    <w:rsid w:val="00BB7311"/>
    <w:rsid w:val="00BD0794"/>
    <w:rsid w:val="00D0061B"/>
    <w:rsid w:val="00D10E5F"/>
    <w:rsid w:val="00D27AA6"/>
    <w:rsid w:val="00D3286C"/>
    <w:rsid w:val="00D34F0A"/>
    <w:rsid w:val="00E100E9"/>
    <w:rsid w:val="00E131E0"/>
    <w:rsid w:val="00EB5F02"/>
    <w:rsid w:val="00EC107A"/>
    <w:rsid w:val="00F60AD3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2021-12-10T14:04:00Z</dcterms:created>
  <dcterms:modified xsi:type="dcterms:W3CDTF">2021-12-10T14:04:00Z</dcterms:modified>
</cp:coreProperties>
</file>