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2D9A4" w14:textId="77777777" w:rsidR="00B3416F" w:rsidRDefault="00B3416F"/>
    <w:tbl>
      <w:tblPr>
        <w:tblW w:w="5000" w:type="pct"/>
        <w:tblLayout w:type="fixed"/>
        <w:tblCellMar>
          <w:left w:w="0" w:type="dxa"/>
          <w:right w:w="0" w:type="dxa"/>
        </w:tblCellMar>
        <w:tblLook w:val="0000" w:firstRow="0" w:lastRow="0" w:firstColumn="0" w:lastColumn="0" w:noHBand="0" w:noVBand="0"/>
      </w:tblPr>
      <w:tblGrid>
        <w:gridCol w:w="858"/>
        <w:gridCol w:w="4438"/>
        <w:gridCol w:w="1721"/>
        <w:gridCol w:w="2564"/>
      </w:tblGrid>
      <w:tr w:rsidR="00533E17" w14:paraId="3A308869" w14:textId="77777777" w:rsidTr="00B3416F">
        <w:trPr>
          <w:cantSplit/>
          <w:trHeight w:val="20"/>
        </w:trPr>
        <w:tc>
          <w:tcPr>
            <w:tcW w:w="858" w:type="dxa"/>
          </w:tcPr>
          <w:p w14:paraId="74546448" w14:textId="77777777" w:rsidR="00533E17" w:rsidRDefault="00533E17">
            <w:pPr>
              <w:pStyle w:val="xLedtext"/>
              <w:rPr>
                <w:noProof/>
              </w:rPr>
            </w:pPr>
          </w:p>
        </w:tc>
        <w:tc>
          <w:tcPr>
            <w:tcW w:w="8723" w:type="dxa"/>
            <w:gridSpan w:val="3"/>
            <w:vAlign w:val="bottom"/>
          </w:tcPr>
          <w:p w14:paraId="64981A29" w14:textId="1FD6F71B" w:rsidR="00533E17" w:rsidRDefault="00BF0D39">
            <w:pPr>
              <w:pStyle w:val="xMellanrum"/>
            </w:pPr>
            <w:r>
              <w:rPr>
                <w:noProof/>
              </w:rPr>
              <w:drawing>
                <wp:inline distT="0" distB="0" distL="0" distR="0" wp14:anchorId="12F1C500" wp14:editId="3DC73F5F">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7A68C0" w14:paraId="1E594F6C" w14:textId="77777777" w:rsidTr="00B3416F">
        <w:trPr>
          <w:cantSplit/>
          <w:trHeight w:val="299"/>
        </w:trPr>
        <w:tc>
          <w:tcPr>
            <w:tcW w:w="5296" w:type="dxa"/>
            <w:gridSpan w:val="2"/>
            <w:vMerge w:val="restart"/>
          </w:tcPr>
          <w:p w14:paraId="72EE0519" w14:textId="30F8FE00" w:rsidR="007A68C0" w:rsidRDefault="00BF0D39">
            <w:pPr>
              <w:pStyle w:val="xAvsandare1"/>
            </w:pPr>
            <w:r>
              <w:rPr>
                <w:noProof/>
              </w:rPr>
              <w:drawing>
                <wp:inline distT="0" distB="0" distL="0" distR="0" wp14:anchorId="601F5DA6" wp14:editId="6642EFDE">
                  <wp:extent cx="1800225" cy="4667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66725"/>
                          </a:xfrm>
                          <a:prstGeom prst="rect">
                            <a:avLst/>
                          </a:prstGeom>
                          <a:noFill/>
                          <a:ln>
                            <a:noFill/>
                          </a:ln>
                        </pic:spPr>
                      </pic:pic>
                    </a:graphicData>
                  </a:graphic>
                </wp:inline>
              </w:drawing>
            </w:r>
          </w:p>
        </w:tc>
        <w:tc>
          <w:tcPr>
            <w:tcW w:w="4285" w:type="dxa"/>
            <w:gridSpan w:val="2"/>
            <w:vAlign w:val="bottom"/>
          </w:tcPr>
          <w:p w14:paraId="304691EF" w14:textId="77777777" w:rsidR="007A68C0" w:rsidRDefault="007A68C0">
            <w:pPr>
              <w:pStyle w:val="xDokTypNr"/>
            </w:pPr>
            <w:r>
              <w:t>SVAR PÅ SPÖRSMÅL</w:t>
            </w:r>
          </w:p>
        </w:tc>
      </w:tr>
      <w:tr w:rsidR="007A68C0" w14:paraId="3AADBC0C" w14:textId="77777777" w:rsidTr="00B3416F">
        <w:trPr>
          <w:cantSplit/>
          <w:trHeight w:val="238"/>
        </w:trPr>
        <w:tc>
          <w:tcPr>
            <w:tcW w:w="5296" w:type="dxa"/>
            <w:gridSpan w:val="2"/>
            <w:vMerge/>
          </w:tcPr>
          <w:p w14:paraId="6348B4A7" w14:textId="77777777" w:rsidR="007A68C0" w:rsidRDefault="007A68C0">
            <w:pPr>
              <w:pStyle w:val="xLedtext"/>
            </w:pPr>
          </w:p>
        </w:tc>
        <w:tc>
          <w:tcPr>
            <w:tcW w:w="1721" w:type="dxa"/>
            <w:vAlign w:val="bottom"/>
          </w:tcPr>
          <w:p w14:paraId="77476360" w14:textId="77777777" w:rsidR="007A68C0" w:rsidRDefault="007A68C0">
            <w:pPr>
              <w:pStyle w:val="xLedtext"/>
            </w:pPr>
            <w:r>
              <w:t>Datum</w:t>
            </w:r>
          </w:p>
        </w:tc>
        <w:tc>
          <w:tcPr>
            <w:tcW w:w="2564" w:type="dxa"/>
            <w:vAlign w:val="bottom"/>
          </w:tcPr>
          <w:p w14:paraId="08BC4B9F" w14:textId="77777777" w:rsidR="007A68C0" w:rsidRDefault="007A68C0">
            <w:pPr>
              <w:pStyle w:val="xLedtext"/>
            </w:pPr>
          </w:p>
        </w:tc>
      </w:tr>
      <w:tr w:rsidR="007A68C0" w14:paraId="0BA34752" w14:textId="77777777" w:rsidTr="00B3416F">
        <w:trPr>
          <w:cantSplit/>
          <w:trHeight w:val="238"/>
        </w:trPr>
        <w:tc>
          <w:tcPr>
            <w:tcW w:w="5296" w:type="dxa"/>
            <w:gridSpan w:val="2"/>
            <w:vMerge/>
          </w:tcPr>
          <w:p w14:paraId="3613F56C" w14:textId="77777777" w:rsidR="007A68C0" w:rsidRDefault="007A68C0">
            <w:pPr>
              <w:pStyle w:val="xAvsandare2"/>
            </w:pPr>
          </w:p>
        </w:tc>
        <w:tc>
          <w:tcPr>
            <w:tcW w:w="1721" w:type="dxa"/>
            <w:vAlign w:val="center"/>
          </w:tcPr>
          <w:p w14:paraId="36BAFAA4" w14:textId="4E8A13E8" w:rsidR="007A68C0" w:rsidRDefault="00F87E85" w:rsidP="00F87E85">
            <w:pPr>
              <w:pStyle w:val="xDatum1"/>
            </w:pPr>
            <w:r>
              <w:t>20</w:t>
            </w:r>
            <w:r w:rsidR="00BF0D39">
              <w:t>2</w:t>
            </w:r>
            <w:r w:rsidR="00BE0BCC">
              <w:t>1</w:t>
            </w:r>
            <w:r>
              <w:t>-</w:t>
            </w:r>
            <w:r w:rsidR="00576060">
              <w:t>03-</w:t>
            </w:r>
            <w:r w:rsidR="0005562D">
              <w:t>30</w:t>
            </w:r>
          </w:p>
        </w:tc>
        <w:tc>
          <w:tcPr>
            <w:tcW w:w="2564" w:type="dxa"/>
            <w:vAlign w:val="center"/>
          </w:tcPr>
          <w:p w14:paraId="3E2E2737" w14:textId="77777777" w:rsidR="007A68C0" w:rsidRDefault="007A68C0">
            <w:pPr>
              <w:pStyle w:val="xBeteckning1"/>
            </w:pPr>
          </w:p>
        </w:tc>
      </w:tr>
      <w:tr w:rsidR="00533E17" w14:paraId="3D46B7CE" w14:textId="77777777" w:rsidTr="00B3416F">
        <w:trPr>
          <w:cantSplit/>
          <w:trHeight w:val="238"/>
        </w:trPr>
        <w:tc>
          <w:tcPr>
            <w:tcW w:w="858" w:type="dxa"/>
          </w:tcPr>
          <w:p w14:paraId="11F3BC34" w14:textId="77777777" w:rsidR="00533E17" w:rsidRDefault="00533E17">
            <w:pPr>
              <w:pStyle w:val="xLedtext"/>
            </w:pPr>
          </w:p>
        </w:tc>
        <w:tc>
          <w:tcPr>
            <w:tcW w:w="4438" w:type="dxa"/>
            <w:vAlign w:val="bottom"/>
          </w:tcPr>
          <w:p w14:paraId="4E87DF32" w14:textId="77777777" w:rsidR="00533E17" w:rsidRDefault="00533E17">
            <w:pPr>
              <w:pStyle w:val="xLedtext"/>
            </w:pPr>
          </w:p>
        </w:tc>
        <w:tc>
          <w:tcPr>
            <w:tcW w:w="1721" w:type="dxa"/>
            <w:vAlign w:val="bottom"/>
          </w:tcPr>
          <w:p w14:paraId="4D8A65DE" w14:textId="77777777" w:rsidR="00533E17" w:rsidRDefault="00533E17">
            <w:pPr>
              <w:pStyle w:val="xLedtext"/>
            </w:pPr>
          </w:p>
        </w:tc>
        <w:tc>
          <w:tcPr>
            <w:tcW w:w="2564" w:type="dxa"/>
            <w:vAlign w:val="bottom"/>
          </w:tcPr>
          <w:p w14:paraId="5172D448" w14:textId="77777777" w:rsidR="00533E17" w:rsidRDefault="00533E17">
            <w:pPr>
              <w:pStyle w:val="xLedtext"/>
            </w:pPr>
          </w:p>
        </w:tc>
      </w:tr>
      <w:tr w:rsidR="00533E17" w14:paraId="15BFE557" w14:textId="77777777" w:rsidTr="00B3416F">
        <w:trPr>
          <w:cantSplit/>
          <w:trHeight w:val="238"/>
        </w:trPr>
        <w:tc>
          <w:tcPr>
            <w:tcW w:w="858" w:type="dxa"/>
            <w:tcBorders>
              <w:bottom w:val="single" w:sz="4" w:space="0" w:color="auto"/>
            </w:tcBorders>
          </w:tcPr>
          <w:p w14:paraId="5D063805" w14:textId="4AD59353" w:rsidR="00533E17" w:rsidRDefault="00533E17">
            <w:pPr>
              <w:pStyle w:val="xAvsandare3"/>
            </w:pPr>
          </w:p>
        </w:tc>
        <w:tc>
          <w:tcPr>
            <w:tcW w:w="4438" w:type="dxa"/>
            <w:tcBorders>
              <w:bottom w:val="single" w:sz="4" w:space="0" w:color="auto"/>
            </w:tcBorders>
            <w:vAlign w:val="center"/>
          </w:tcPr>
          <w:p w14:paraId="529FFE05" w14:textId="77777777" w:rsidR="00533E17" w:rsidRDefault="00533E17">
            <w:pPr>
              <w:pStyle w:val="xAvsandare3"/>
            </w:pPr>
          </w:p>
        </w:tc>
        <w:tc>
          <w:tcPr>
            <w:tcW w:w="1721" w:type="dxa"/>
            <w:tcBorders>
              <w:bottom w:val="single" w:sz="4" w:space="0" w:color="auto"/>
            </w:tcBorders>
            <w:vAlign w:val="center"/>
          </w:tcPr>
          <w:p w14:paraId="5EE0D65D" w14:textId="77777777" w:rsidR="00533E17" w:rsidRDefault="00533E17">
            <w:pPr>
              <w:pStyle w:val="xDatum2"/>
            </w:pPr>
          </w:p>
        </w:tc>
        <w:tc>
          <w:tcPr>
            <w:tcW w:w="2564" w:type="dxa"/>
            <w:tcBorders>
              <w:bottom w:val="single" w:sz="4" w:space="0" w:color="auto"/>
            </w:tcBorders>
            <w:vAlign w:val="center"/>
          </w:tcPr>
          <w:p w14:paraId="728C91BD" w14:textId="77777777" w:rsidR="00533E17" w:rsidRDefault="00533E17">
            <w:pPr>
              <w:pStyle w:val="xBeteckning2"/>
            </w:pPr>
          </w:p>
        </w:tc>
      </w:tr>
      <w:tr w:rsidR="00533E17" w14:paraId="1D089CB4" w14:textId="77777777" w:rsidTr="00B3416F">
        <w:trPr>
          <w:cantSplit/>
          <w:trHeight w:val="238"/>
        </w:trPr>
        <w:tc>
          <w:tcPr>
            <w:tcW w:w="858" w:type="dxa"/>
            <w:tcBorders>
              <w:top w:val="single" w:sz="4" w:space="0" w:color="auto"/>
            </w:tcBorders>
            <w:vAlign w:val="bottom"/>
          </w:tcPr>
          <w:p w14:paraId="7DCE00CF" w14:textId="77777777" w:rsidR="00533E17" w:rsidRDefault="00533E17">
            <w:pPr>
              <w:pStyle w:val="xLedtext"/>
            </w:pPr>
          </w:p>
        </w:tc>
        <w:tc>
          <w:tcPr>
            <w:tcW w:w="4438" w:type="dxa"/>
            <w:tcBorders>
              <w:top w:val="single" w:sz="4" w:space="0" w:color="auto"/>
            </w:tcBorders>
            <w:vAlign w:val="bottom"/>
          </w:tcPr>
          <w:p w14:paraId="63020CF8" w14:textId="77777777" w:rsidR="00533E17" w:rsidRDefault="00533E17">
            <w:pPr>
              <w:pStyle w:val="xLedtext"/>
            </w:pPr>
          </w:p>
        </w:tc>
        <w:tc>
          <w:tcPr>
            <w:tcW w:w="4285" w:type="dxa"/>
            <w:gridSpan w:val="2"/>
            <w:tcBorders>
              <w:top w:val="single" w:sz="4" w:space="0" w:color="auto"/>
            </w:tcBorders>
            <w:vAlign w:val="bottom"/>
          </w:tcPr>
          <w:p w14:paraId="60B86507" w14:textId="77777777" w:rsidR="00533E17" w:rsidRDefault="00533E17">
            <w:pPr>
              <w:pStyle w:val="xLedtext"/>
            </w:pPr>
          </w:p>
        </w:tc>
      </w:tr>
      <w:tr w:rsidR="00533E17" w14:paraId="6D1C0EFA" w14:textId="77777777" w:rsidTr="00B3416F">
        <w:trPr>
          <w:cantSplit/>
          <w:trHeight w:val="238"/>
        </w:trPr>
        <w:tc>
          <w:tcPr>
            <w:tcW w:w="858" w:type="dxa"/>
          </w:tcPr>
          <w:p w14:paraId="6E707317" w14:textId="77777777" w:rsidR="00533E17" w:rsidRDefault="00533E17">
            <w:pPr>
              <w:pStyle w:val="xCelltext"/>
            </w:pPr>
          </w:p>
        </w:tc>
        <w:tc>
          <w:tcPr>
            <w:tcW w:w="4438" w:type="dxa"/>
            <w:vMerge w:val="restart"/>
          </w:tcPr>
          <w:p w14:paraId="6AFC210E" w14:textId="77777777" w:rsidR="00533E17" w:rsidRDefault="00533E17">
            <w:pPr>
              <w:pStyle w:val="xMottagare1"/>
            </w:pPr>
            <w:r>
              <w:t>Till Ålands lagting</w:t>
            </w:r>
          </w:p>
        </w:tc>
        <w:tc>
          <w:tcPr>
            <w:tcW w:w="4285" w:type="dxa"/>
            <w:gridSpan w:val="2"/>
            <w:vMerge w:val="restart"/>
          </w:tcPr>
          <w:p w14:paraId="658CFEE9" w14:textId="77777777" w:rsidR="00533E17" w:rsidRDefault="00533E17">
            <w:pPr>
              <w:pStyle w:val="xMottagare1"/>
              <w:tabs>
                <w:tab w:val="left" w:pos="2349"/>
              </w:tabs>
            </w:pPr>
          </w:p>
        </w:tc>
      </w:tr>
      <w:tr w:rsidR="00533E17" w14:paraId="14300FDB" w14:textId="77777777" w:rsidTr="00B3416F">
        <w:trPr>
          <w:cantSplit/>
          <w:trHeight w:val="238"/>
        </w:trPr>
        <w:tc>
          <w:tcPr>
            <w:tcW w:w="858" w:type="dxa"/>
          </w:tcPr>
          <w:p w14:paraId="687780F5" w14:textId="77777777" w:rsidR="00533E17" w:rsidRDefault="00533E17">
            <w:pPr>
              <w:pStyle w:val="xCelltext"/>
            </w:pPr>
          </w:p>
        </w:tc>
        <w:tc>
          <w:tcPr>
            <w:tcW w:w="4438" w:type="dxa"/>
            <w:vMerge/>
            <w:vAlign w:val="center"/>
          </w:tcPr>
          <w:p w14:paraId="4B9B25D3" w14:textId="77777777" w:rsidR="00533E17" w:rsidRDefault="00533E17">
            <w:pPr>
              <w:pStyle w:val="xCelltext"/>
            </w:pPr>
          </w:p>
        </w:tc>
        <w:tc>
          <w:tcPr>
            <w:tcW w:w="4285" w:type="dxa"/>
            <w:gridSpan w:val="2"/>
            <w:vMerge/>
            <w:vAlign w:val="center"/>
          </w:tcPr>
          <w:p w14:paraId="1A06DBEF" w14:textId="77777777" w:rsidR="00533E17" w:rsidRDefault="00533E17">
            <w:pPr>
              <w:pStyle w:val="xCelltext"/>
            </w:pPr>
          </w:p>
        </w:tc>
      </w:tr>
      <w:tr w:rsidR="00533E17" w14:paraId="0A915897" w14:textId="77777777" w:rsidTr="00B3416F">
        <w:trPr>
          <w:cantSplit/>
          <w:trHeight w:val="238"/>
        </w:trPr>
        <w:tc>
          <w:tcPr>
            <w:tcW w:w="858" w:type="dxa"/>
          </w:tcPr>
          <w:p w14:paraId="12DD0899" w14:textId="77777777" w:rsidR="00533E17" w:rsidRDefault="00533E17">
            <w:pPr>
              <w:pStyle w:val="xCelltext"/>
            </w:pPr>
          </w:p>
        </w:tc>
        <w:tc>
          <w:tcPr>
            <w:tcW w:w="4438" w:type="dxa"/>
            <w:vMerge/>
            <w:vAlign w:val="center"/>
          </w:tcPr>
          <w:p w14:paraId="449F865C" w14:textId="77777777" w:rsidR="00533E17" w:rsidRDefault="00533E17">
            <w:pPr>
              <w:pStyle w:val="xCelltext"/>
            </w:pPr>
          </w:p>
        </w:tc>
        <w:tc>
          <w:tcPr>
            <w:tcW w:w="4285" w:type="dxa"/>
            <w:gridSpan w:val="2"/>
            <w:vMerge/>
            <w:vAlign w:val="center"/>
          </w:tcPr>
          <w:p w14:paraId="36F25AC7" w14:textId="77777777" w:rsidR="00533E17" w:rsidRDefault="00533E17">
            <w:pPr>
              <w:pStyle w:val="xCelltext"/>
            </w:pPr>
          </w:p>
        </w:tc>
      </w:tr>
      <w:tr w:rsidR="00533E17" w14:paraId="58A3954C" w14:textId="77777777" w:rsidTr="00B3416F">
        <w:trPr>
          <w:cantSplit/>
          <w:trHeight w:val="238"/>
        </w:trPr>
        <w:tc>
          <w:tcPr>
            <w:tcW w:w="858" w:type="dxa"/>
          </w:tcPr>
          <w:p w14:paraId="05005999" w14:textId="77777777" w:rsidR="00533E17" w:rsidRDefault="00533E17">
            <w:pPr>
              <w:pStyle w:val="xCelltext"/>
            </w:pPr>
          </w:p>
        </w:tc>
        <w:tc>
          <w:tcPr>
            <w:tcW w:w="4438" w:type="dxa"/>
            <w:vMerge/>
            <w:vAlign w:val="center"/>
          </w:tcPr>
          <w:p w14:paraId="7979F3A8" w14:textId="77777777" w:rsidR="00533E17" w:rsidRDefault="00533E17">
            <w:pPr>
              <w:pStyle w:val="xCelltext"/>
            </w:pPr>
          </w:p>
        </w:tc>
        <w:tc>
          <w:tcPr>
            <w:tcW w:w="4285" w:type="dxa"/>
            <w:gridSpan w:val="2"/>
            <w:vMerge/>
            <w:vAlign w:val="center"/>
          </w:tcPr>
          <w:p w14:paraId="56857342" w14:textId="77777777" w:rsidR="00533E17" w:rsidRDefault="00533E17">
            <w:pPr>
              <w:pStyle w:val="xCelltext"/>
            </w:pPr>
          </w:p>
        </w:tc>
      </w:tr>
      <w:tr w:rsidR="00533E17" w14:paraId="151CE982" w14:textId="77777777" w:rsidTr="00B3416F">
        <w:trPr>
          <w:cantSplit/>
          <w:trHeight w:val="238"/>
        </w:trPr>
        <w:tc>
          <w:tcPr>
            <w:tcW w:w="858" w:type="dxa"/>
          </w:tcPr>
          <w:p w14:paraId="16A37B26" w14:textId="77777777" w:rsidR="00533E17" w:rsidRDefault="00533E17">
            <w:pPr>
              <w:pStyle w:val="xCelltext"/>
            </w:pPr>
          </w:p>
        </w:tc>
        <w:tc>
          <w:tcPr>
            <w:tcW w:w="4438" w:type="dxa"/>
            <w:vMerge/>
            <w:vAlign w:val="center"/>
          </w:tcPr>
          <w:p w14:paraId="18B821EC" w14:textId="77777777" w:rsidR="00533E17" w:rsidRDefault="00533E17">
            <w:pPr>
              <w:pStyle w:val="xCelltext"/>
            </w:pPr>
          </w:p>
        </w:tc>
        <w:tc>
          <w:tcPr>
            <w:tcW w:w="4285" w:type="dxa"/>
            <w:gridSpan w:val="2"/>
            <w:vMerge/>
            <w:vAlign w:val="center"/>
          </w:tcPr>
          <w:p w14:paraId="6AFA084A" w14:textId="77777777" w:rsidR="00533E17" w:rsidRDefault="00533E17">
            <w:pPr>
              <w:pStyle w:val="xCelltext"/>
            </w:pPr>
          </w:p>
        </w:tc>
      </w:tr>
    </w:tbl>
    <w:p w14:paraId="1136E5FD" w14:textId="77777777" w:rsidR="00533E17" w:rsidRDefault="00533E17">
      <w:pPr>
        <w:rPr>
          <w:b/>
          <w:bCs/>
        </w:rPr>
        <w:sectPr w:rsidR="00533E17">
          <w:footerReference w:type="even" r:id="rId9"/>
          <w:footerReference w:type="default" r:id="rId10"/>
          <w:pgSz w:w="11906" w:h="16838" w:code="9"/>
          <w:pgMar w:top="567" w:right="1134" w:bottom="1134" w:left="1191" w:header="624" w:footer="851" w:gutter="0"/>
          <w:cols w:space="708"/>
          <w:docGrid w:linePitch="360"/>
        </w:sectPr>
      </w:pPr>
    </w:p>
    <w:p w14:paraId="0221D283" w14:textId="77777777" w:rsidR="00533E17" w:rsidRDefault="00533E17">
      <w:pPr>
        <w:pStyle w:val="ArendeOverRubrik"/>
      </w:pPr>
      <w:r>
        <w:t>Svar på spörsmål</w:t>
      </w:r>
    </w:p>
    <w:p w14:paraId="32A415CC" w14:textId="47182BD6" w:rsidR="008F0FB4" w:rsidRDefault="00E56930" w:rsidP="008F0FB4">
      <w:pPr>
        <w:pStyle w:val="ArendeRubrik"/>
      </w:pPr>
      <w:r>
        <w:t xml:space="preserve">Spörsmål </w:t>
      </w:r>
      <w:r w:rsidR="0005562D">
        <w:t>om ålänningarnas grundläggande fri- och rättigheter</w:t>
      </w:r>
    </w:p>
    <w:p w14:paraId="166D8C40" w14:textId="25298462" w:rsidR="0005562D" w:rsidRPr="0005562D" w:rsidRDefault="0005562D" w:rsidP="0005562D">
      <w:pPr>
        <w:pStyle w:val="ArendeUnderRubrik"/>
        <w:numPr>
          <w:ilvl w:val="0"/>
          <w:numId w:val="0"/>
        </w:numPr>
      </w:pPr>
    </w:p>
    <w:p w14:paraId="13BC6F99" w14:textId="05568604" w:rsidR="00533E17" w:rsidRDefault="006E0C39">
      <w:pPr>
        <w:pStyle w:val="ArendeUnderRubrik"/>
      </w:pPr>
      <w:r>
        <w:t xml:space="preserve">Spörsmål nr </w:t>
      </w:r>
      <w:r w:rsidR="00576060">
        <w:t>2</w:t>
      </w:r>
      <w:r w:rsidR="00533E17">
        <w:t>/</w:t>
      </w:r>
      <w:proofErr w:type="gramStart"/>
      <w:r w:rsidR="00533E17">
        <w:t>20</w:t>
      </w:r>
      <w:r w:rsidR="00E56930">
        <w:t>20</w:t>
      </w:r>
      <w:r w:rsidR="00533E17">
        <w:t>-20</w:t>
      </w:r>
      <w:r w:rsidR="00BF0D39">
        <w:t>2</w:t>
      </w:r>
      <w:r w:rsidR="00E56930">
        <w:t>1</w:t>
      </w:r>
      <w:proofErr w:type="gramEnd"/>
    </w:p>
    <w:p w14:paraId="3F11EDB0" w14:textId="77777777" w:rsidR="00533E17" w:rsidRDefault="00533E17">
      <w:pPr>
        <w:pStyle w:val="ANormal"/>
      </w:pPr>
    </w:p>
    <w:p w14:paraId="32F4A6D5" w14:textId="77777777" w:rsidR="00576060" w:rsidRPr="00F55D41" w:rsidRDefault="00576060" w:rsidP="00C36CF2">
      <w:pPr>
        <w:pStyle w:val="ANormal"/>
        <w:rPr>
          <w:i/>
          <w:iCs/>
        </w:rPr>
      </w:pPr>
      <w:r>
        <w:t>Med stöd av 37 § lagtingsordningen har lagtingsledamot Katrin Sjögren med flera ställt följande spörsmål till landskapsregeringen</w:t>
      </w:r>
      <w:r w:rsidRPr="00F55D41">
        <w:rPr>
          <w:i/>
          <w:iCs/>
        </w:rPr>
        <w:t xml:space="preserve">: Med vilket motiv åsidosätter landskapsregeringen demokratiska grundfundament och de enskilda ålänningarnas grundläggande fri- och rättigheter genom att vägra, trots tidigare motsatt praxis, bistå Justitiekanslern och Justitieombudsmannen med erforderliga utredningar och yttranden? </w:t>
      </w:r>
    </w:p>
    <w:p w14:paraId="6EB112C4" w14:textId="77777777" w:rsidR="00576060" w:rsidRDefault="00576060" w:rsidP="00C36CF2">
      <w:pPr>
        <w:pStyle w:val="ANormal"/>
      </w:pPr>
    </w:p>
    <w:p w14:paraId="23EBE8D4" w14:textId="157DD56F" w:rsidR="00682C34" w:rsidRPr="008043E1" w:rsidRDefault="00682C34" w:rsidP="00C36CF2">
      <w:pPr>
        <w:pStyle w:val="ANormal"/>
      </w:pPr>
      <w:r w:rsidRPr="008043E1">
        <w:t>Landskapsregeringen konstaterar inledningsvis att ingen åtgärd har vidtagits under regeringen Thörnroos ansvar som på något sätt påverkat ålänningarnas rättsskydd negativt. I spörsmålet hävdas även likaså på felaktiga grunder att landskapsregeringen agerat i strid med Finlands grundlag.</w:t>
      </w:r>
    </w:p>
    <w:p w14:paraId="3B9344D8" w14:textId="3868B7FF" w:rsidR="00FE131F" w:rsidRPr="008043E1" w:rsidRDefault="00FE131F" w:rsidP="00C36CF2">
      <w:pPr>
        <w:pStyle w:val="ANormal"/>
      </w:pPr>
      <w:r w:rsidRPr="008043E1">
        <w:tab/>
      </w:r>
      <w:r w:rsidR="00682C34" w:rsidRPr="008043E1">
        <w:t>De missvisande påståenden som spörsmålet bygger på, baserar sig på landskapsregeringens omsorg om att det åländska samhället</w:t>
      </w:r>
      <w:r w:rsidRPr="008043E1">
        <w:t xml:space="preserve">, </w:t>
      </w:r>
      <w:r w:rsidR="00682C34" w:rsidRPr="008043E1">
        <w:t xml:space="preserve">oavsett Covid-19 pandemins spridning, har alla centrala samhällsfunktioner skyddade i möjligaste mån. För att reducera riskerna </w:t>
      </w:r>
      <w:r w:rsidRPr="008043E1">
        <w:t xml:space="preserve">för avbrott i </w:t>
      </w:r>
      <w:proofErr w:type="gramStart"/>
      <w:r w:rsidRPr="008043E1">
        <w:t>bl.a.</w:t>
      </w:r>
      <w:proofErr w:type="gramEnd"/>
      <w:r w:rsidRPr="008043E1">
        <w:t xml:space="preserve"> el- och vattenförsörjningen, datakommunikationer och centrala myndighetsfunktioner, har landskaps</w:t>
      </w:r>
      <w:r w:rsidR="00FD2CED">
        <w:t>regeringe</w:t>
      </w:r>
      <w:r w:rsidRPr="008043E1">
        <w:t xml:space="preserve">n 13.01.2021 sammanställt en lista över 70 s.k. nyckelpersoner som, om möjlighet föreligger, bör prioriteras när </w:t>
      </w:r>
      <w:r w:rsidR="00F6140D" w:rsidRPr="008043E1">
        <w:t>Ålands Hälso- och sjukvård (</w:t>
      </w:r>
      <w:r w:rsidRPr="008043E1">
        <w:t>ÅHS</w:t>
      </w:r>
      <w:r w:rsidR="00F6140D" w:rsidRPr="008043E1">
        <w:t>)</w:t>
      </w:r>
      <w:r w:rsidRPr="008043E1">
        <w:t xml:space="preserve"> inleder den s.k. massvaccineringen. </w:t>
      </w:r>
    </w:p>
    <w:p w14:paraId="532E807F" w14:textId="389B3B8D" w:rsidR="00576060" w:rsidRPr="008043E1" w:rsidRDefault="00FE131F" w:rsidP="00C36CF2">
      <w:pPr>
        <w:pStyle w:val="ANormal"/>
      </w:pPr>
      <w:r w:rsidRPr="008043E1">
        <w:tab/>
        <w:t xml:space="preserve">Detta innebär att när en vaccinering av </w:t>
      </w:r>
      <w:r w:rsidR="0084043D" w:rsidRPr="008043E1">
        <w:t xml:space="preserve">nämnda </w:t>
      </w:r>
      <w:r w:rsidRPr="008043E1">
        <w:t xml:space="preserve">nyckelpersoner kan påbörjas, har </w:t>
      </w:r>
      <w:r w:rsidR="00784898" w:rsidRPr="008043E1">
        <w:t xml:space="preserve">redan </w:t>
      </w:r>
      <w:r w:rsidRPr="008043E1">
        <w:t xml:space="preserve">samtliga riskgrupper </w:t>
      </w:r>
      <w:r w:rsidR="00784898" w:rsidRPr="008043E1">
        <w:t xml:space="preserve">och all central vårdpersonal </w:t>
      </w:r>
      <w:r w:rsidRPr="008043E1">
        <w:t xml:space="preserve">erhållit sina vaccindoser. ÅHS har dock </w:t>
      </w:r>
      <w:r w:rsidR="008043E1" w:rsidRPr="008043E1">
        <w:t>delgetts landskapsregeringens uppfattning</w:t>
      </w:r>
      <w:r w:rsidRPr="008043E1">
        <w:t xml:space="preserve"> om vilka personer som i följande skede bör prioriteras utgående från vikten av en fungerande krisberedskap.</w:t>
      </w:r>
    </w:p>
    <w:p w14:paraId="7F049D2C" w14:textId="70D2BB63" w:rsidR="00F71FBE" w:rsidRPr="00303E00" w:rsidRDefault="00F71FBE" w:rsidP="00F71FBE">
      <w:pPr>
        <w:tabs>
          <w:tab w:val="left" w:pos="284"/>
        </w:tabs>
        <w:jc w:val="both"/>
        <w:rPr>
          <w:sz w:val="22"/>
          <w:szCs w:val="22"/>
        </w:rPr>
      </w:pPr>
      <w:r w:rsidRPr="008043E1">
        <w:tab/>
      </w:r>
      <w:r w:rsidR="00784898" w:rsidRPr="00303E00">
        <w:rPr>
          <w:sz w:val="22"/>
          <w:szCs w:val="22"/>
        </w:rPr>
        <w:t xml:space="preserve">Efter en klagan till </w:t>
      </w:r>
      <w:proofErr w:type="gramStart"/>
      <w:r w:rsidR="00784898" w:rsidRPr="00303E00">
        <w:rPr>
          <w:sz w:val="22"/>
          <w:szCs w:val="22"/>
        </w:rPr>
        <w:t>justitieombudsmannen</w:t>
      </w:r>
      <w:proofErr w:type="gramEnd"/>
      <w:r w:rsidR="008043E1" w:rsidRPr="00303E00">
        <w:rPr>
          <w:sz w:val="22"/>
          <w:szCs w:val="22"/>
        </w:rPr>
        <w:t xml:space="preserve"> (JO)</w:t>
      </w:r>
      <w:r w:rsidR="00784898" w:rsidRPr="00303E00">
        <w:rPr>
          <w:sz w:val="22"/>
          <w:szCs w:val="22"/>
        </w:rPr>
        <w:t xml:space="preserve"> i Finland över</w:t>
      </w:r>
      <w:r w:rsidRPr="00303E00">
        <w:rPr>
          <w:sz w:val="22"/>
          <w:szCs w:val="22"/>
        </w:rPr>
        <w:t xml:space="preserve"> </w:t>
      </w:r>
      <w:r w:rsidR="00784898" w:rsidRPr="00303E00">
        <w:rPr>
          <w:sz w:val="22"/>
          <w:szCs w:val="22"/>
        </w:rPr>
        <w:t>beslutet 13.01.202</w:t>
      </w:r>
      <w:r w:rsidRPr="00303E00">
        <w:rPr>
          <w:sz w:val="22"/>
          <w:szCs w:val="22"/>
        </w:rPr>
        <w:t>1</w:t>
      </w:r>
      <w:r w:rsidR="00784898" w:rsidRPr="00303E00">
        <w:rPr>
          <w:sz w:val="22"/>
          <w:szCs w:val="22"/>
        </w:rPr>
        <w:t xml:space="preserve">, har JO-ämbetet </w:t>
      </w:r>
      <w:r w:rsidR="00576060" w:rsidRPr="00303E00">
        <w:rPr>
          <w:sz w:val="22"/>
          <w:szCs w:val="22"/>
        </w:rPr>
        <w:t>enbart begärt att få landskapsregeringens syn på vissa specifika frågeställningar</w:t>
      </w:r>
      <w:r w:rsidRPr="00303E00">
        <w:rPr>
          <w:sz w:val="22"/>
          <w:szCs w:val="22"/>
        </w:rPr>
        <w:t xml:space="preserve">. </w:t>
      </w:r>
      <w:r w:rsidR="00576060" w:rsidRPr="00303E00">
        <w:rPr>
          <w:sz w:val="22"/>
          <w:szCs w:val="22"/>
        </w:rPr>
        <w:t>Ärende</w:t>
      </w:r>
      <w:r w:rsidR="00784898" w:rsidRPr="00303E00">
        <w:rPr>
          <w:sz w:val="22"/>
          <w:szCs w:val="22"/>
        </w:rPr>
        <w:t>t</w:t>
      </w:r>
      <w:r w:rsidR="00576060" w:rsidRPr="00303E00">
        <w:rPr>
          <w:sz w:val="22"/>
          <w:szCs w:val="22"/>
        </w:rPr>
        <w:t xml:space="preserve"> är av sådan karaktär att det inte behövs någon ytterligare information </w:t>
      </w:r>
      <w:r w:rsidR="00DB6D61" w:rsidRPr="00303E00">
        <w:rPr>
          <w:sz w:val="22"/>
          <w:szCs w:val="22"/>
        </w:rPr>
        <w:t>och det föreligger inte heller några</w:t>
      </w:r>
      <w:r w:rsidR="00576060" w:rsidRPr="00303E00">
        <w:rPr>
          <w:sz w:val="22"/>
          <w:szCs w:val="22"/>
        </w:rPr>
        <w:t xml:space="preserve"> ytterligare handlingar från landskapsregeringen</w:t>
      </w:r>
      <w:r w:rsidR="00DB6D61" w:rsidRPr="00303E00">
        <w:rPr>
          <w:sz w:val="22"/>
          <w:szCs w:val="22"/>
        </w:rPr>
        <w:t>s sida</w:t>
      </w:r>
      <w:r w:rsidR="00576060" w:rsidRPr="00303E00">
        <w:rPr>
          <w:sz w:val="22"/>
          <w:szCs w:val="22"/>
        </w:rPr>
        <w:t xml:space="preserve"> </w:t>
      </w:r>
      <w:r w:rsidR="00DB6D61" w:rsidRPr="00303E00">
        <w:rPr>
          <w:sz w:val="22"/>
          <w:szCs w:val="22"/>
        </w:rPr>
        <w:t>som kan ligga till grund för JO:s prövning</w:t>
      </w:r>
      <w:r w:rsidR="00576060" w:rsidRPr="00303E00">
        <w:rPr>
          <w:sz w:val="22"/>
          <w:szCs w:val="22"/>
        </w:rPr>
        <w:t xml:space="preserve">. </w:t>
      </w:r>
      <w:bookmarkStart w:id="0" w:name="_Hlk67474880"/>
    </w:p>
    <w:p w14:paraId="58DB7B34" w14:textId="08BC410A" w:rsidR="00576060" w:rsidRPr="00303E00" w:rsidRDefault="0084043D" w:rsidP="00F71FBE">
      <w:pPr>
        <w:tabs>
          <w:tab w:val="left" w:pos="284"/>
        </w:tabs>
        <w:jc w:val="both"/>
        <w:rPr>
          <w:sz w:val="22"/>
          <w:szCs w:val="22"/>
        </w:rPr>
      </w:pPr>
      <w:r w:rsidRPr="00303E00">
        <w:rPr>
          <w:sz w:val="22"/>
          <w:szCs w:val="22"/>
        </w:rPr>
        <w:tab/>
      </w:r>
      <w:r w:rsidR="00576060" w:rsidRPr="00303E00">
        <w:rPr>
          <w:sz w:val="22"/>
          <w:szCs w:val="22"/>
        </w:rPr>
        <w:t xml:space="preserve">Det JO har att göra i det här ärendet är en juridisk bedömning av det dokument som klagomålet rör. Landskapsregeringens juridiska bedömning behövs inte för att JO ska kunna göra sin egen juridiska bedömning. Landskapsregeringen har </w:t>
      </w:r>
      <w:r w:rsidR="00F71FBE" w:rsidRPr="00303E00">
        <w:rPr>
          <w:sz w:val="22"/>
          <w:szCs w:val="22"/>
        </w:rPr>
        <w:t>alltså</w:t>
      </w:r>
      <w:r w:rsidR="00576060" w:rsidRPr="00303E00">
        <w:rPr>
          <w:sz w:val="22"/>
          <w:szCs w:val="22"/>
        </w:rPr>
        <w:t xml:space="preserve"> inte i strid m</w:t>
      </w:r>
      <w:r w:rsidR="00F71FBE" w:rsidRPr="00303E00">
        <w:rPr>
          <w:sz w:val="22"/>
          <w:szCs w:val="22"/>
        </w:rPr>
        <w:t>ed</w:t>
      </w:r>
      <w:r w:rsidR="00576060" w:rsidRPr="00303E00">
        <w:rPr>
          <w:sz w:val="22"/>
          <w:szCs w:val="22"/>
        </w:rPr>
        <w:t xml:space="preserve"> 111 § 1 mom. Finlands grundlag (FFS 731/1999) vägrat ge ut de upplysningar som JO behöver för sin laglighetskontroll.</w:t>
      </w:r>
    </w:p>
    <w:p w14:paraId="2C3611DC" w14:textId="1754F9FB" w:rsidR="00F71FBE" w:rsidRDefault="00F71FBE" w:rsidP="00C36CF2">
      <w:pPr>
        <w:tabs>
          <w:tab w:val="left" w:pos="284"/>
        </w:tabs>
        <w:jc w:val="both"/>
      </w:pPr>
    </w:p>
    <w:p w14:paraId="3206D1F3" w14:textId="0DE98128" w:rsidR="00F71FBE" w:rsidRDefault="00F71FBE" w:rsidP="00C36CF2">
      <w:pPr>
        <w:tabs>
          <w:tab w:val="left" w:pos="284"/>
        </w:tabs>
        <w:jc w:val="both"/>
      </w:pPr>
    </w:p>
    <w:p w14:paraId="1D4C286E" w14:textId="77777777" w:rsidR="00C646DA" w:rsidRDefault="00F71FBE" w:rsidP="00F71FBE">
      <w:pPr>
        <w:pStyle w:val="ANormal"/>
      </w:pPr>
      <w:r>
        <w:tab/>
      </w:r>
    </w:p>
    <w:p w14:paraId="4FE37CD4" w14:textId="0DB7B62B" w:rsidR="00F71FBE" w:rsidRDefault="00C646DA" w:rsidP="00F71FBE">
      <w:pPr>
        <w:pStyle w:val="ANormal"/>
      </w:pPr>
      <w:r>
        <w:lastRenderedPageBreak/>
        <w:tab/>
      </w:r>
      <w:r w:rsidR="00F71FBE">
        <w:t xml:space="preserve">Det är JO som bedömer om JO har behörighet att behandla det aktuella klagomålet. Landskapsregeringen har även i det här ärendet utgått från att JO – trots självstyrelsemyndigheternas </w:t>
      </w:r>
      <w:r w:rsidR="00F71FBE" w:rsidRPr="008043E1">
        <w:t xml:space="preserve">långvariga </w:t>
      </w:r>
      <w:r w:rsidR="00F71FBE">
        <w:t xml:space="preserve">ifrågasättande av behörigheten – kommer att hålla fast vid sin praxis att granska åländsk förvaltning. Eftersom JO har allt material som behövs för en granskning och det i övrigt saknas hinder för JO att genomföra en laglighetskontroll, har det aldrig funnits någon risk för att det aktuella klagomålet inte skulle få sin prövning. Landskapsregeringens svar till JO har alltså inte inneburit någon kränkning av ålänningarnas grundläggande fri- och rättigheter. </w:t>
      </w:r>
    </w:p>
    <w:p w14:paraId="6538BF62" w14:textId="77777777" w:rsidR="00F71FBE" w:rsidRDefault="00F71FBE" w:rsidP="00F71FBE">
      <w:pPr>
        <w:pStyle w:val="ANormal"/>
      </w:pPr>
      <w:r>
        <w:tab/>
      </w:r>
      <w:r w:rsidRPr="00662BD0">
        <w:t xml:space="preserve">Justitiekanslerns (JK) och </w:t>
      </w:r>
      <w:proofErr w:type="gramStart"/>
      <w:r w:rsidRPr="00662BD0">
        <w:t>justitieombudsmannens</w:t>
      </w:r>
      <w:proofErr w:type="gramEnd"/>
      <w:r w:rsidRPr="00662BD0">
        <w:t xml:space="preserve"> (JO) behörighet i landskapet Åland har berörts ett flertal gånger. Bland annat var frågan om </w:t>
      </w:r>
      <w:proofErr w:type="gramStart"/>
      <w:r w:rsidRPr="00662BD0">
        <w:t>justitiekanslerns</w:t>
      </w:r>
      <w:proofErr w:type="gramEnd"/>
      <w:r w:rsidRPr="00662BD0">
        <w:t xml:space="preserve"> behörighet på Åland föremål för JK i samband med två ärenden i medlet av 2000-talet. I ett ärende hade lämnats in klagomål till JK om upphävandet av en bestämmelse i en landskapsförordning. I utlåtandet till JK hävdade landskapsregeringen bland annat att JK inte bör anses ha behörighet att granska lagligheten av en landskapsförordning med stöd av 108 § grundlagen utan endast ha den rätt som allmänt tillkommer domstolar och förvaltningsmyndigheter enligt 107 §.</w:t>
      </w:r>
      <w:r>
        <w:t xml:space="preserve"> </w:t>
      </w:r>
    </w:p>
    <w:p w14:paraId="4D1301CB" w14:textId="77777777" w:rsidR="00F71FBE" w:rsidRPr="00EA507F" w:rsidRDefault="00F71FBE" w:rsidP="00F71FBE">
      <w:pPr>
        <w:pStyle w:val="ANormal"/>
      </w:pPr>
      <w:r>
        <w:tab/>
      </w:r>
      <w:r w:rsidRPr="00EA507F">
        <w:t xml:space="preserve">Frågan om </w:t>
      </w:r>
      <w:proofErr w:type="gramStart"/>
      <w:r w:rsidRPr="00EA507F">
        <w:t>justitiekanslerns</w:t>
      </w:r>
      <w:proofErr w:type="gramEnd"/>
      <w:r w:rsidRPr="00EA507F">
        <w:t xml:space="preserve"> behörighet på Åland var också aktuell i ett ärende år 2002 (Dnr 886/1/02). Också i detta ärende anförde landskapsregeringen att JK inte hade behörighet på Åland då det rörde sig om utövande av sådan lagstiftningsmakt som hörde till landskapets behörighet. JK delade dock inte denna uppfattning utan ansåg att: ”…</w:t>
      </w:r>
      <w:proofErr w:type="gramStart"/>
      <w:r w:rsidRPr="00CA3F40">
        <w:rPr>
          <w:i/>
          <w:iCs/>
        </w:rPr>
        <w:t>justitiekanslerns</w:t>
      </w:r>
      <w:proofErr w:type="gramEnd"/>
      <w:r w:rsidRPr="00CA3F40">
        <w:rPr>
          <w:i/>
          <w:iCs/>
        </w:rPr>
        <w:t xml:space="preserve"> behörighet under sådana omständigheter inte kan uteslutas helt, i synnerhet om det är fråga om begränsningar av eller avvikelser från de grundläggande fri- och rättigheterna</w:t>
      </w:r>
      <w:r w:rsidRPr="00EA507F">
        <w:t>.”</w:t>
      </w:r>
    </w:p>
    <w:p w14:paraId="6D38B7DD" w14:textId="77777777" w:rsidR="00F71FBE" w:rsidRPr="00EA507F" w:rsidRDefault="00F71FBE" w:rsidP="00F71FBE">
      <w:pPr>
        <w:pStyle w:val="ANormal"/>
      </w:pPr>
      <w:r>
        <w:tab/>
      </w:r>
      <w:r w:rsidRPr="00EA507F">
        <w:t xml:space="preserve">Landskapsregeringen valde även att inte uttala sig om det påstående om jäv som framfördes i klagoskriften. JK konstaterade med anledning av detta att ” </w:t>
      </w:r>
      <w:r w:rsidRPr="00CA3F40">
        <w:rPr>
          <w:i/>
          <w:iCs/>
        </w:rPr>
        <w:t>Om ett svar på en begäran om utredning inte innehåller något ställningstagande i påståenden som framförs i klagoskriften, så som i detta fall, måste helhetsbedömningen av ärendet göras på basis av de fakta som finns att tillgå och andra eventuella utredningar i ärendet</w:t>
      </w:r>
      <w:r w:rsidRPr="00EA507F">
        <w:t>.”</w:t>
      </w:r>
    </w:p>
    <w:p w14:paraId="33F28170" w14:textId="77777777" w:rsidR="00F71FBE" w:rsidRDefault="00F71FBE" w:rsidP="00F71FBE">
      <w:pPr>
        <w:pStyle w:val="ANormal"/>
      </w:pPr>
      <w:r>
        <w:tab/>
        <w:t>Lagtingets s</w:t>
      </w:r>
      <w:r w:rsidRPr="00FD2F4B">
        <w:t>jälvstyrelsepolitiska nämnd har vid ett flertal tillfällen berört frågeställningen, bland annat i betänkande nr 2/</w:t>
      </w:r>
      <w:proofErr w:type="gramStart"/>
      <w:r w:rsidRPr="00FD2F4B">
        <w:t>2005-2006</w:t>
      </w:r>
      <w:proofErr w:type="gramEnd"/>
      <w:r w:rsidRPr="00FD2F4B">
        <w:t xml:space="preserve">. Nämnden ansåg då att landskapsregeringen bör se över hela problematiken kring frågan om hur de uppgifter som i riket ankommer på </w:t>
      </w:r>
      <w:proofErr w:type="gramStart"/>
      <w:r w:rsidRPr="00FD2F4B">
        <w:t>justitiekanslern</w:t>
      </w:r>
      <w:proofErr w:type="gramEnd"/>
      <w:r w:rsidRPr="00FD2F4B">
        <w:t xml:space="preserve"> samt justitieombudsmannen skall skötas i landskapet.</w:t>
      </w:r>
      <w:r>
        <w:t xml:space="preserve"> </w:t>
      </w:r>
      <w:r w:rsidRPr="00902BF4">
        <w:t>Nämnden ansåg också att uppmärksamhet bör fästas vid såväl Ålands konstitutionella ställning som vid rättssäkerheten</w:t>
      </w:r>
      <w:r>
        <w:t xml:space="preserve">. </w:t>
      </w:r>
    </w:p>
    <w:p w14:paraId="452DBF15" w14:textId="51470F8E" w:rsidR="00F71FBE" w:rsidRDefault="00F71FBE" w:rsidP="00F71FBE">
      <w:pPr>
        <w:pStyle w:val="ANormal"/>
      </w:pPr>
      <w:r>
        <w:tab/>
        <w:t xml:space="preserve">Även inför avgivandet av landskapsregeringens utlåtande av den 21 december 2020 till justitieministeriet om Finlands regerings utkast till proposition till riksdagen med förslag till lag om fördelningen av uppgifter mellan </w:t>
      </w:r>
      <w:proofErr w:type="gramStart"/>
      <w:r>
        <w:t>justitiekanslern</w:t>
      </w:r>
      <w:proofErr w:type="gramEnd"/>
      <w:r>
        <w:t xml:space="preserve"> i statsrådet och riksdagens justitieombudsman fördes en diskussion med lagtingets självstyrelsepolitiska nämnd. Vid samrådet konstaterades ånyo att det i dagsläget är oklart vilka befogenheter JO och JK har på Åland. </w:t>
      </w:r>
      <w:r>
        <w:tab/>
      </w:r>
    </w:p>
    <w:p w14:paraId="74C0D272" w14:textId="2DF435B3" w:rsidR="00C646DA" w:rsidRDefault="00784898" w:rsidP="00C36CF2">
      <w:pPr>
        <w:pStyle w:val="ANormal"/>
      </w:pPr>
      <w:r>
        <w:tab/>
        <w:t>L</w:t>
      </w:r>
      <w:r w:rsidRPr="00662BD0">
        <w:t xml:space="preserve">andskapsregeringen </w:t>
      </w:r>
      <w:r w:rsidRPr="008043E1">
        <w:t xml:space="preserve">konstaterade </w:t>
      </w:r>
      <w:r w:rsidR="00F71FBE" w:rsidRPr="008043E1">
        <w:t xml:space="preserve">utgående från ovan angivna omständigheter </w:t>
      </w:r>
      <w:r w:rsidR="0084043D">
        <w:t xml:space="preserve">i </w:t>
      </w:r>
      <w:r>
        <w:t xml:space="preserve">sitt </w:t>
      </w:r>
      <w:r w:rsidR="00F71FBE">
        <w:t>yttrande</w:t>
      </w:r>
      <w:r w:rsidR="0084043D">
        <w:t xml:space="preserve"> 26.02.2021</w:t>
      </w:r>
      <w:r w:rsidR="00F71FBE">
        <w:t xml:space="preserve"> till JO-ämbetet </w:t>
      </w:r>
      <w:r>
        <w:t xml:space="preserve">att </w:t>
      </w:r>
      <w:r w:rsidRPr="00662BD0">
        <w:t xml:space="preserve">det inte </w:t>
      </w:r>
      <w:r>
        <w:t xml:space="preserve">är </w:t>
      </w:r>
      <w:r w:rsidRPr="00662BD0">
        <w:t xml:space="preserve">klarlagt vilka befogenheter JO </w:t>
      </w:r>
      <w:r>
        <w:t xml:space="preserve">och JK </w:t>
      </w:r>
      <w:r w:rsidRPr="00662BD0">
        <w:t>har att övervaka åländsk förvaltning eftersom reglering om detta saknas i självstyrelselagen för Åland (FFS 1144/1991</w:t>
      </w:r>
      <w:bookmarkEnd w:id="0"/>
    </w:p>
    <w:p w14:paraId="248A9D04" w14:textId="5BD4378E" w:rsidR="000F1ED6" w:rsidRDefault="00C646DA" w:rsidP="00C36CF2">
      <w:pPr>
        <w:pStyle w:val="ANormal"/>
      </w:pPr>
      <w:r>
        <w:tab/>
      </w:r>
      <w:r w:rsidR="00576060">
        <w:t xml:space="preserve">Landskapsregeringen konstaterar med beaktande av ovanstående att </w:t>
      </w:r>
      <w:r w:rsidR="00576060" w:rsidRPr="00902BF4">
        <w:t>ålänningarnas grundläggande fri- och rättigheter inte</w:t>
      </w:r>
      <w:r w:rsidR="00576060">
        <w:t xml:space="preserve"> har </w:t>
      </w:r>
      <w:r w:rsidR="00576060" w:rsidRPr="00902BF4">
        <w:t>kränk</w:t>
      </w:r>
      <w:r w:rsidR="00576060">
        <w:t>ts</w:t>
      </w:r>
      <w:r w:rsidR="000F1ED6">
        <w:t xml:space="preserve"> samt att landskapsregeringen inte heller i strid med 111 § 1 mom. Finlands grundlag (FFS 731/1999) vägrat ge ut handlingar i ärendet.</w:t>
      </w:r>
      <w:r w:rsidR="00576060">
        <w:t xml:space="preserve"> </w:t>
      </w:r>
    </w:p>
    <w:p w14:paraId="1889BE5C" w14:textId="1AAAF755" w:rsidR="00303E00" w:rsidRDefault="000F1ED6" w:rsidP="00C36CF2">
      <w:pPr>
        <w:pStyle w:val="ANormal"/>
      </w:pPr>
      <w:r>
        <w:tab/>
      </w:r>
    </w:p>
    <w:p w14:paraId="2BDF2F8D" w14:textId="77777777" w:rsidR="00303E00" w:rsidRDefault="00303E00" w:rsidP="00C36CF2">
      <w:pPr>
        <w:pStyle w:val="ANormal"/>
      </w:pPr>
    </w:p>
    <w:p w14:paraId="3792FE82" w14:textId="775889CA" w:rsidR="00576060" w:rsidRDefault="00303E00" w:rsidP="00C36CF2">
      <w:pPr>
        <w:pStyle w:val="ANormal"/>
      </w:pPr>
      <w:r>
        <w:lastRenderedPageBreak/>
        <w:tab/>
      </w:r>
      <w:r w:rsidR="00576060">
        <w:t xml:space="preserve">Landskapsregeringen kommer vid kommande granskningar från JK och JO att besvara frågor som </w:t>
      </w:r>
      <w:r w:rsidR="00DB6D61">
        <w:t>ligger till grund</w:t>
      </w:r>
      <w:r w:rsidR="00576060">
        <w:t xml:space="preserve"> för ärendets avgörande samt att även i fortsättningen delge JO och JK de handlingar man begär att få ta del av. </w:t>
      </w:r>
    </w:p>
    <w:p w14:paraId="6A39856B" w14:textId="76E05A1A" w:rsidR="00576060" w:rsidRDefault="007625B5" w:rsidP="00C36CF2">
      <w:pPr>
        <w:pStyle w:val="ANormal"/>
      </w:pPr>
      <w:r>
        <w:tab/>
      </w:r>
      <w:r w:rsidR="00576060">
        <w:t>Landskapsregeringen tar dock inte ansvar för om JK eller JO därigenom får del av eventuella sekretessbelagda handlingar som de inte har laglig rätt till med anledning av att de inte är behöriga att pröva ärendet</w:t>
      </w:r>
      <w:r w:rsidR="0084043D" w:rsidRPr="008043E1">
        <w:t xml:space="preserve">. </w:t>
      </w:r>
      <w:r w:rsidR="00576060">
        <w:t xml:space="preserve">Landskapsregeringen vidhåller </w:t>
      </w:r>
      <w:r w:rsidR="0084043D">
        <w:t xml:space="preserve">slutligen </w:t>
      </w:r>
      <w:r w:rsidR="00576060">
        <w:t>vikten av att frågan om JK:s och JO:s behörighet på Åland regleras i självstyrelselagen.</w:t>
      </w:r>
    </w:p>
    <w:p w14:paraId="3BC042FF" w14:textId="6CBB941C" w:rsidR="00576060" w:rsidRDefault="00576060" w:rsidP="00576060">
      <w:pPr>
        <w:pStyle w:val="ANormal"/>
      </w:pPr>
    </w:p>
    <w:p w14:paraId="732DDED8" w14:textId="13E0F00B" w:rsidR="007625B5" w:rsidRDefault="007625B5" w:rsidP="00576060">
      <w:pPr>
        <w:pStyle w:val="ANormal"/>
      </w:pPr>
      <w:r>
        <w:t xml:space="preserve">Mariehamn den </w:t>
      </w:r>
      <w:r w:rsidR="0084043D">
        <w:t>30</w:t>
      </w:r>
      <w:r>
        <w:t xml:space="preserve"> mars 2021</w:t>
      </w:r>
    </w:p>
    <w:p w14:paraId="341D542E" w14:textId="643327A6" w:rsidR="007625B5" w:rsidRDefault="007625B5" w:rsidP="00576060">
      <w:pPr>
        <w:pStyle w:val="ANormal"/>
      </w:pPr>
    </w:p>
    <w:p w14:paraId="1984FB53" w14:textId="1DAA67D6" w:rsidR="007625B5" w:rsidRDefault="007625B5" w:rsidP="00576060">
      <w:pPr>
        <w:pStyle w:val="ANormal"/>
      </w:pPr>
    </w:p>
    <w:p w14:paraId="2D5E3790" w14:textId="12865958" w:rsidR="007625B5" w:rsidRDefault="007625B5" w:rsidP="00576060">
      <w:pPr>
        <w:pStyle w:val="ANormal"/>
      </w:pPr>
    </w:p>
    <w:p w14:paraId="471E4A21" w14:textId="0B8F6A04" w:rsidR="007625B5" w:rsidRDefault="007625B5" w:rsidP="00576060">
      <w:pPr>
        <w:pStyle w:val="ANormal"/>
      </w:pPr>
      <w:proofErr w:type="spellStart"/>
      <w:r>
        <w:t>Lantråd</w:t>
      </w:r>
      <w:proofErr w:type="spellEnd"/>
      <w:r>
        <w:tab/>
      </w:r>
      <w:r>
        <w:tab/>
      </w:r>
      <w:r>
        <w:tab/>
        <w:t xml:space="preserve">Veronica </w:t>
      </w:r>
      <w:proofErr w:type="spellStart"/>
      <w:r>
        <w:t>Thörnroos</w:t>
      </w:r>
      <w:proofErr w:type="spellEnd"/>
    </w:p>
    <w:p w14:paraId="17E2CBA3" w14:textId="72AAD7D2" w:rsidR="007625B5" w:rsidRDefault="007625B5" w:rsidP="00576060">
      <w:pPr>
        <w:pStyle w:val="ANormal"/>
      </w:pPr>
    </w:p>
    <w:p w14:paraId="1F26888E" w14:textId="24516D67" w:rsidR="007625B5" w:rsidRDefault="007625B5" w:rsidP="00576060">
      <w:pPr>
        <w:pStyle w:val="ANormal"/>
      </w:pPr>
    </w:p>
    <w:p w14:paraId="62DEDCA3" w14:textId="1AC3395A" w:rsidR="007625B5" w:rsidRDefault="007625B5" w:rsidP="00576060">
      <w:pPr>
        <w:pStyle w:val="ANormal"/>
      </w:pPr>
    </w:p>
    <w:p w14:paraId="4E7BE6E5" w14:textId="5DE9148A" w:rsidR="007625B5" w:rsidRDefault="007625B5" w:rsidP="00576060">
      <w:pPr>
        <w:pStyle w:val="ANormal"/>
      </w:pPr>
      <w:proofErr w:type="spellStart"/>
      <w:r>
        <w:t>Vicelantråd</w:t>
      </w:r>
      <w:proofErr w:type="spellEnd"/>
      <w:r>
        <w:tab/>
      </w:r>
      <w:r>
        <w:tab/>
        <w:t>Harry Jansson</w:t>
      </w:r>
    </w:p>
    <w:p w14:paraId="2DD8601D" w14:textId="77777777" w:rsidR="00351058" w:rsidRDefault="00351058" w:rsidP="00351058">
      <w:pPr>
        <w:pStyle w:val="ANormal"/>
      </w:pPr>
    </w:p>
    <w:p w14:paraId="19A3DB1A" w14:textId="77777777" w:rsidR="00AE1F8A" w:rsidRDefault="00AE1F8A" w:rsidP="00351058">
      <w:pPr>
        <w:pStyle w:val="ANormal"/>
      </w:pPr>
    </w:p>
    <w:p w14:paraId="275EEBE3" w14:textId="77777777" w:rsidR="00533E17" w:rsidRDefault="00533E17">
      <w:pPr>
        <w:pStyle w:val="ANormal"/>
      </w:pPr>
    </w:p>
    <w:p w14:paraId="232664B2" w14:textId="77777777" w:rsidR="00533E17" w:rsidRDefault="00533E17">
      <w:pPr>
        <w:pStyle w:val="ANormal"/>
      </w:pPr>
    </w:p>
    <w:sectPr w:rsidR="00533E17">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E0C6F" w14:textId="77777777" w:rsidR="00C129DF" w:rsidRDefault="00C129DF">
      <w:r>
        <w:separator/>
      </w:r>
    </w:p>
  </w:endnote>
  <w:endnote w:type="continuationSeparator" w:id="0">
    <w:p w14:paraId="3103FD99" w14:textId="77777777" w:rsidR="00C129DF" w:rsidRDefault="00C1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593FC" w14:textId="77777777" w:rsidR="00533E17" w:rsidRDefault="00533E1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FE196" w14:textId="050F5C91" w:rsidR="00533E17" w:rsidRPr="00F87176" w:rsidRDefault="00F87176">
    <w:pPr>
      <w:pStyle w:val="Sidfot"/>
      <w:rPr>
        <w:lang w:val="sv-FI"/>
      </w:rPr>
    </w:pPr>
    <w:r>
      <w:rPr>
        <w:lang w:val="sv-FI"/>
      </w:rPr>
      <w:t xml:space="preserve">Svar på spörsmål nr </w:t>
    </w:r>
    <w:r w:rsidR="004A6C52">
      <w:rPr>
        <w:lang w:val="sv-FI"/>
      </w:rPr>
      <w:t>2</w:t>
    </w:r>
    <w:r>
      <w:rPr>
        <w:lang w:val="sv-FI"/>
      </w:rPr>
      <w:t>/</w:t>
    </w:r>
    <w:proofErr w:type="gramStart"/>
    <w:r>
      <w:rPr>
        <w:lang w:val="sv-FI"/>
      </w:rPr>
      <w:t>20</w:t>
    </w:r>
    <w:r w:rsidR="00277BE5">
      <w:rPr>
        <w:lang w:val="sv-FI"/>
      </w:rPr>
      <w:t>20</w:t>
    </w:r>
    <w:r>
      <w:rPr>
        <w:lang w:val="sv-FI"/>
      </w:rPr>
      <w:t>-20</w:t>
    </w:r>
    <w:r w:rsidR="00BF0D39">
      <w:rPr>
        <w:lang w:val="sv-FI"/>
      </w:rPr>
      <w:t>2</w:t>
    </w:r>
    <w:r w:rsidR="00277BE5">
      <w:rPr>
        <w:lang w:val="sv-FI"/>
      </w:rPr>
      <w:t>1</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8A3DB" w14:textId="77777777" w:rsidR="00533E17" w:rsidRDefault="00533E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590B3" w14:textId="77777777" w:rsidR="00C129DF" w:rsidRDefault="00C129DF">
      <w:r>
        <w:separator/>
      </w:r>
    </w:p>
  </w:footnote>
  <w:footnote w:type="continuationSeparator" w:id="0">
    <w:p w14:paraId="6633BF3B" w14:textId="77777777" w:rsidR="00C129DF" w:rsidRDefault="00C12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44036" w14:textId="77777777" w:rsidR="00533E17" w:rsidRDefault="00533E1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553913">
      <w:rPr>
        <w:rStyle w:val="Sidnummer"/>
        <w:noProof/>
      </w:rPr>
      <w:t>2</w:t>
    </w:r>
    <w:r>
      <w:rPr>
        <w:rStyle w:val="Sidnummer"/>
      </w:rPr>
      <w:fldChar w:fldCharType="end"/>
    </w:r>
  </w:p>
  <w:p w14:paraId="7A50058C" w14:textId="77777777" w:rsidR="00533E17" w:rsidRDefault="00533E1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B5ECF" w14:textId="77777777" w:rsidR="00533E17" w:rsidRDefault="00533E1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553913">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5364B57C"/>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4DAD22B0"/>
    <w:multiLevelType w:val="multilevel"/>
    <w:tmpl w:val="B13E31B4"/>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2" w15:restartNumberingAfterBreak="0">
    <w:nsid w:val="57E542AD"/>
    <w:multiLevelType w:val="hybridMultilevel"/>
    <w:tmpl w:val="C400EEC2"/>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F80F6B"/>
    <w:multiLevelType w:val="hybridMultilevel"/>
    <w:tmpl w:val="4CACF01A"/>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E5C4CB1"/>
    <w:multiLevelType w:val="hybridMultilevel"/>
    <w:tmpl w:val="BDF8646E"/>
    <w:lvl w:ilvl="0" w:tplc="22186126">
      <w:start w:val="1"/>
      <w:numFmt w:val="bullet"/>
      <w:lvlRestart w:val="0"/>
      <w:pStyle w:val="Punktlista"/>
      <w:lvlText w:val=""/>
      <w:lvlJc w:val="left"/>
      <w:pPr>
        <w:tabs>
          <w:tab w:val="num" w:pos="283"/>
        </w:tabs>
        <w:ind w:left="283" w:hanging="283"/>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6F"/>
    <w:rsid w:val="0005562D"/>
    <w:rsid w:val="000855EB"/>
    <w:rsid w:val="00091926"/>
    <w:rsid w:val="000A0783"/>
    <w:rsid w:val="000C705B"/>
    <w:rsid w:val="000E45D4"/>
    <w:rsid w:val="000F1ED6"/>
    <w:rsid w:val="000F7711"/>
    <w:rsid w:val="00141399"/>
    <w:rsid w:val="00160355"/>
    <w:rsid w:val="00162500"/>
    <w:rsid w:val="00167132"/>
    <w:rsid w:val="001F17DA"/>
    <w:rsid w:val="00204DAC"/>
    <w:rsid w:val="002131B0"/>
    <w:rsid w:val="00220E9F"/>
    <w:rsid w:val="00261D76"/>
    <w:rsid w:val="00266262"/>
    <w:rsid w:val="00270CC6"/>
    <w:rsid w:val="00277BE5"/>
    <w:rsid w:val="002900C5"/>
    <w:rsid w:val="002C1183"/>
    <w:rsid w:val="002E1C37"/>
    <w:rsid w:val="002F0B18"/>
    <w:rsid w:val="00303E00"/>
    <w:rsid w:val="0030462C"/>
    <w:rsid w:val="0032667B"/>
    <w:rsid w:val="003503A0"/>
    <w:rsid w:val="00351058"/>
    <w:rsid w:val="003D2771"/>
    <w:rsid w:val="003F3761"/>
    <w:rsid w:val="00426B99"/>
    <w:rsid w:val="00427736"/>
    <w:rsid w:val="00437C7B"/>
    <w:rsid w:val="004530D1"/>
    <w:rsid w:val="0049198C"/>
    <w:rsid w:val="004A236A"/>
    <w:rsid w:val="004A6C52"/>
    <w:rsid w:val="004B1599"/>
    <w:rsid w:val="004B4982"/>
    <w:rsid w:val="004E09F3"/>
    <w:rsid w:val="004F4BCD"/>
    <w:rsid w:val="00533E17"/>
    <w:rsid w:val="005425C5"/>
    <w:rsid w:val="00553913"/>
    <w:rsid w:val="0056060A"/>
    <w:rsid w:val="005671C8"/>
    <w:rsid w:val="00576060"/>
    <w:rsid w:val="005822E3"/>
    <w:rsid w:val="005862E3"/>
    <w:rsid w:val="00591550"/>
    <w:rsid w:val="005B1857"/>
    <w:rsid w:val="005C091E"/>
    <w:rsid w:val="005D3E7A"/>
    <w:rsid w:val="00637F34"/>
    <w:rsid w:val="006424A6"/>
    <w:rsid w:val="00667DF5"/>
    <w:rsid w:val="00682C34"/>
    <w:rsid w:val="006D049B"/>
    <w:rsid w:val="006E0C39"/>
    <w:rsid w:val="00711CF8"/>
    <w:rsid w:val="00742FD2"/>
    <w:rsid w:val="00751CB4"/>
    <w:rsid w:val="007625B5"/>
    <w:rsid w:val="00784898"/>
    <w:rsid w:val="007961D3"/>
    <w:rsid w:val="007A68C0"/>
    <w:rsid w:val="007C6023"/>
    <w:rsid w:val="008043E1"/>
    <w:rsid w:val="00821257"/>
    <w:rsid w:val="0084043D"/>
    <w:rsid w:val="008404DB"/>
    <w:rsid w:val="00846DD8"/>
    <w:rsid w:val="00854057"/>
    <w:rsid w:val="008C5A54"/>
    <w:rsid w:val="008E5CE1"/>
    <w:rsid w:val="008E613F"/>
    <w:rsid w:val="008F0FB4"/>
    <w:rsid w:val="008F4587"/>
    <w:rsid w:val="008F75A5"/>
    <w:rsid w:val="00906158"/>
    <w:rsid w:val="00931FCF"/>
    <w:rsid w:val="00953D99"/>
    <w:rsid w:val="00977D49"/>
    <w:rsid w:val="00981E44"/>
    <w:rsid w:val="00985564"/>
    <w:rsid w:val="009D7F67"/>
    <w:rsid w:val="00A445A2"/>
    <w:rsid w:val="00A81594"/>
    <w:rsid w:val="00A86088"/>
    <w:rsid w:val="00A87B29"/>
    <w:rsid w:val="00A92C2F"/>
    <w:rsid w:val="00A945B0"/>
    <w:rsid w:val="00A9677E"/>
    <w:rsid w:val="00A97C68"/>
    <w:rsid w:val="00AD1270"/>
    <w:rsid w:val="00AE1F8A"/>
    <w:rsid w:val="00AE4AB6"/>
    <w:rsid w:val="00AF7358"/>
    <w:rsid w:val="00B20C88"/>
    <w:rsid w:val="00B2270A"/>
    <w:rsid w:val="00B23E22"/>
    <w:rsid w:val="00B34126"/>
    <w:rsid w:val="00B3416F"/>
    <w:rsid w:val="00B45DB7"/>
    <w:rsid w:val="00B502B9"/>
    <w:rsid w:val="00B53571"/>
    <w:rsid w:val="00B8267A"/>
    <w:rsid w:val="00BA21C9"/>
    <w:rsid w:val="00BB49B1"/>
    <w:rsid w:val="00BE0BCC"/>
    <w:rsid w:val="00BE0E54"/>
    <w:rsid w:val="00BF0D39"/>
    <w:rsid w:val="00BF5942"/>
    <w:rsid w:val="00C127AC"/>
    <w:rsid w:val="00C129DF"/>
    <w:rsid w:val="00C23EF8"/>
    <w:rsid w:val="00C36CF2"/>
    <w:rsid w:val="00C646DA"/>
    <w:rsid w:val="00C8626F"/>
    <w:rsid w:val="00CB72EB"/>
    <w:rsid w:val="00CC5495"/>
    <w:rsid w:val="00CD6869"/>
    <w:rsid w:val="00CF0AFE"/>
    <w:rsid w:val="00CF4498"/>
    <w:rsid w:val="00CF55E1"/>
    <w:rsid w:val="00D30397"/>
    <w:rsid w:val="00D312AA"/>
    <w:rsid w:val="00D73D6F"/>
    <w:rsid w:val="00D86B7F"/>
    <w:rsid w:val="00DB6D61"/>
    <w:rsid w:val="00DC2A23"/>
    <w:rsid w:val="00E11A94"/>
    <w:rsid w:val="00E45AE4"/>
    <w:rsid w:val="00E53974"/>
    <w:rsid w:val="00E56930"/>
    <w:rsid w:val="00E823ED"/>
    <w:rsid w:val="00EC3167"/>
    <w:rsid w:val="00EC5A9D"/>
    <w:rsid w:val="00EF7C93"/>
    <w:rsid w:val="00F00D63"/>
    <w:rsid w:val="00F14243"/>
    <w:rsid w:val="00F17DC2"/>
    <w:rsid w:val="00F21CFB"/>
    <w:rsid w:val="00F335BA"/>
    <w:rsid w:val="00F6140D"/>
    <w:rsid w:val="00F71FBE"/>
    <w:rsid w:val="00F84168"/>
    <w:rsid w:val="00F87176"/>
    <w:rsid w:val="00F87E85"/>
    <w:rsid w:val="00F9075A"/>
    <w:rsid w:val="00FC21A6"/>
    <w:rsid w:val="00FD2CED"/>
    <w:rsid w:val="00FE131F"/>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83E46"/>
  <w15:docId w15:val="{23797C2C-7206-404D-8A8A-18AF4E69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5"/>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6"/>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7"/>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8"/>
      </w:numPr>
      <w:spacing w:before="240" w:after="60"/>
      <w:outlineLvl w:val="3"/>
    </w:pPr>
    <w:rPr>
      <w:b/>
      <w:bCs/>
      <w:sz w:val="28"/>
      <w:szCs w:val="28"/>
    </w:rPr>
  </w:style>
  <w:style w:type="paragraph" w:styleId="Rubrik5">
    <w:name w:val="heading 5"/>
    <w:basedOn w:val="Normal"/>
    <w:next w:val="Normal"/>
    <w:qFormat/>
    <w:pPr>
      <w:numPr>
        <w:ilvl w:val="4"/>
        <w:numId w:val="9"/>
      </w:numPr>
      <w:spacing w:before="240" w:after="60"/>
      <w:outlineLvl w:val="4"/>
    </w:pPr>
    <w:rPr>
      <w:b/>
      <w:bCs/>
      <w:i/>
      <w:iCs/>
      <w:sz w:val="26"/>
      <w:szCs w:val="26"/>
    </w:rPr>
  </w:style>
  <w:style w:type="paragraph" w:styleId="Rubrik6">
    <w:name w:val="heading 6"/>
    <w:basedOn w:val="Normal"/>
    <w:next w:val="Normal"/>
    <w:qFormat/>
    <w:pPr>
      <w:numPr>
        <w:ilvl w:val="5"/>
        <w:numId w:val="10"/>
      </w:numPr>
      <w:spacing w:before="240" w:after="60"/>
      <w:outlineLvl w:val="5"/>
    </w:pPr>
    <w:rPr>
      <w:b/>
      <w:bCs/>
      <w:sz w:val="22"/>
      <w:szCs w:val="22"/>
    </w:rPr>
  </w:style>
  <w:style w:type="paragraph" w:styleId="Rubrik7">
    <w:name w:val="heading 7"/>
    <w:basedOn w:val="Normal"/>
    <w:next w:val="Normal"/>
    <w:qFormat/>
    <w:pPr>
      <w:numPr>
        <w:ilvl w:val="6"/>
        <w:numId w:val="11"/>
      </w:numPr>
      <w:spacing w:before="240" w:after="60"/>
      <w:outlineLvl w:val="6"/>
    </w:pPr>
  </w:style>
  <w:style w:type="paragraph" w:styleId="Rubrik8">
    <w:name w:val="heading 8"/>
    <w:basedOn w:val="Normal"/>
    <w:next w:val="Normal"/>
    <w:qFormat/>
    <w:pPr>
      <w:numPr>
        <w:ilvl w:val="7"/>
        <w:numId w:val="12"/>
      </w:numPr>
      <w:spacing w:before="240" w:after="60"/>
      <w:outlineLvl w:val="7"/>
    </w:pPr>
    <w:rPr>
      <w:i/>
      <w:iCs/>
    </w:rPr>
  </w:style>
  <w:style w:type="paragraph" w:styleId="Rubrik9">
    <w:name w:val="heading 9"/>
    <w:basedOn w:val="Normal"/>
    <w:next w:val="Normal"/>
    <w:qFormat/>
    <w:pPr>
      <w:numPr>
        <w:ilvl w:val="8"/>
        <w:numId w:val="13"/>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semiHidden/>
    <w:pPr>
      <w:numPr>
        <w:numId w:val="4"/>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 w:val="left" w:pos="1140"/>
      </w:tabs>
      <w:ind w:left="851"/>
    </w:pPr>
  </w:style>
  <w:style w:type="paragraph" w:customStyle="1" w:styleId="ANormal">
    <w:name w:val="ANormal"/>
    <w:pPr>
      <w:tabs>
        <w:tab w:val="left" w:pos="283"/>
        <w:tab w:val="left" w:pos="851"/>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1"/>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2"/>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ANormalindraget">
    <w:name w:val="ANormal_indraget"/>
    <w:basedOn w:val="ANormal"/>
    <w:next w:val="ANormal"/>
    <w:pPr>
      <w:tabs>
        <w:tab w:val="left" w:pos="1140"/>
      </w:tabs>
      <w:ind w:left="851"/>
    </w:pPr>
  </w:style>
  <w:style w:type="paragraph" w:styleId="Punktlista">
    <w:name w:val="List Bullet"/>
    <w:basedOn w:val="ANormal"/>
    <w:autoRedefine/>
    <w:semiHidden/>
    <w:pPr>
      <w:numPr>
        <w:numId w:val="3"/>
      </w:numPr>
    </w:pPr>
  </w:style>
  <w:style w:type="paragraph" w:customStyle="1" w:styleId="Tabelldecimal">
    <w:name w:val="Tabelldecimal"/>
    <w:basedOn w:val="Tabelltext"/>
    <w:pPr>
      <w:tabs>
        <w:tab w:val="decimal" w:pos="1904"/>
      </w:tabs>
    </w:pPr>
  </w:style>
  <w:style w:type="paragraph" w:customStyle="1" w:styleId="Tabellrubrik">
    <w:name w:val="Tabellrubrik"/>
    <w:basedOn w:val="Tabelltext"/>
    <w:next w:val="Tabelltext"/>
    <w:pPr>
      <w:keepNext/>
      <w:keepLines/>
      <w:suppressAutoHyphens/>
    </w:pPr>
    <w:rPr>
      <w:b/>
      <w:bCs/>
    </w:rPr>
  </w:style>
  <w:style w:type="paragraph" w:styleId="Ballongtext">
    <w:name w:val="Balloon Text"/>
    <w:basedOn w:val="Normal"/>
    <w:link w:val="BallongtextChar"/>
    <w:uiPriority w:val="99"/>
    <w:semiHidden/>
    <w:unhideWhenUsed/>
    <w:rsid w:val="003503A0"/>
    <w:rPr>
      <w:rFonts w:ascii="Tahoma" w:hAnsi="Tahoma" w:cs="Tahoma"/>
      <w:sz w:val="16"/>
      <w:szCs w:val="16"/>
    </w:rPr>
  </w:style>
  <w:style w:type="character" w:customStyle="1" w:styleId="BallongtextChar">
    <w:name w:val="Ballongtext Char"/>
    <w:basedOn w:val="Standardstycketeckensnitt"/>
    <w:link w:val="Ballongtext"/>
    <w:uiPriority w:val="99"/>
    <w:semiHidden/>
    <w:rsid w:val="003503A0"/>
    <w:rPr>
      <w:rFonts w:ascii="Tahoma" w:hAnsi="Tahoma" w:cs="Tahoma"/>
      <w:sz w:val="16"/>
      <w:szCs w:val="16"/>
      <w:lang w:val="sv-SE" w:eastAsia="sv-SE"/>
    </w:rPr>
  </w:style>
  <w:style w:type="character" w:styleId="Kommentarsreferens">
    <w:name w:val="annotation reference"/>
    <w:basedOn w:val="Standardstycketeckensnitt"/>
    <w:uiPriority w:val="99"/>
    <w:semiHidden/>
    <w:unhideWhenUsed/>
    <w:rsid w:val="004530D1"/>
    <w:rPr>
      <w:sz w:val="16"/>
      <w:szCs w:val="16"/>
    </w:rPr>
  </w:style>
  <w:style w:type="paragraph" w:styleId="Kommentarer">
    <w:name w:val="annotation text"/>
    <w:basedOn w:val="Normal"/>
    <w:link w:val="KommentarerChar"/>
    <w:uiPriority w:val="99"/>
    <w:semiHidden/>
    <w:unhideWhenUsed/>
    <w:rsid w:val="004530D1"/>
    <w:rPr>
      <w:sz w:val="20"/>
      <w:szCs w:val="20"/>
    </w:rPr>
  </w:style>
  <w:style w:type="character" w:customStyle="1" w:styleId="KommentarerChar">
    <w:name w:val="Kommentarer Char"/>
    <w:basedOn w:val="Standardstycketeckensnitt"/>
    <w:link w:val="Kommentarer"/>
    <w:uiPriority w:val="99"/>
    <w:semiHidden/>
    <w:rsid w:val="004530D1"/>
    <w:rPr>
      <w:lang w:val="sv-SE" w:eastAsia="sv-SE"/>
    </w:rPr>
  </w:style>
  <w:style w:type="paragraph" w:styleId="Kommentarsmne">
    <w:name w:val="annotation subject"/>
    <w:basedOn w:val="Kommentarer"/>
    <w:next w:val="Kommentarer"/>
    <w:link w:val="KommentarsmneChar"/>
    <w:uiPriority w:val="99"/>
    <w:semiHidden/>
    <w:unhideWhenUsed/>
    <w:rsid w:val="004530D1"/>
    <w:rPr>
      <w:b/>
      <w:bCs/>
    </w:rPr>
  </w:style>
  <w:style w:type="character" w:customStyle="1" w:styleId="KommentarsmneChar">
    <w:name w:val="Kommentarsämne Char"/>
    <w:basedOn w:val="KommentarerChar"/>
    <w:link w:val="Kommentarsmne"/>
    <w:uiPriority w:val="99"/>
    <w:semiHidden/>
    <w:rsid w:val="004530D1"/>
    <w:rPr>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46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5994</Characters>
  <Application>Microsoft Office Word</Application>
  <DocSecurity>0</DocSecurity>
  <Lines>49</Lines>
  <Paragraphs>13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Svar på spörsmål nr x/200X-200X</vt:lpstr>
      <vt:lpstr>Svar på spörsmål nr x/200X-200X</vt:lpstr>
    </vt:vector>
  </TitlesOfParts>
  <Company>Ålands landsskapsregering</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spörsmål nr 2/2020-2021</dc:title>
  <dc:creator>LR</dc:creator>
  <cp:lastModifiedBy>Jessica Laaksonen</cp:lastModifiedBy>
  <cp:revision>2</cp:revision>
  <cp:lastPrinted>2021-03-30T12:18:00Z</cp:lastPrinted>
  <dcterms:created xsi:type="dcterms:W3CDTF">2021-03-30T12:19:00Z</dcterms:created>
  <dcterms:modified xsi:type="dcterms:W3CDTF">2021-03-30T12:19:00Z</dcterms:modified>
</cp:coreProperties>
</file>