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9AE7ACF" w14:textId="77777777">
        <w:trPr>
          <w:cantSplit/>
          <w:trHeight w:val="20"/>
        </w:trPr>
        <w:tc>
          <w:tcPr>
            <w:tcW w:w="861" w:type="dxa"/>
            <w:vMerge w:val="restart"/>
          </w:tcPr>
          <w:p w14:paraId="1E20153E" w14:textId="78B6C903" w:rsidR="002401D0" w:rsidRDefault="004C2830">
            <w:pPr>
              <w:pStyle w:val="xLedtext"/>
              <w:rPr>
                <w:noProof/>
              </w:rPr>
            </w:pPr>
            <w:bookmarkStart w:id="0" w:name="_top"/>
            <w:bookmarkEnd w:id="0"/>
            <w:r>
              <w:rPr>
                <w:noProof/>
              </w:rPr>
              <w:drawing>
                <wp:inline distT="0" distB="0" distL="0" distR="0" wp14:anchorId="51A19FB1" wp14:editId="3CB4A1FA">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FDBADFC" w14:textId="4B5CB398" w:rsidR="002401D0" w:rsidRDefault="004C2830">
            <w:pPr>
              <w:pStyle w:val="xMellanrum"/>
            </w:pPr>
            <w:r>
              <w:rPr>
                <w:noProof/>
              </w:rPr>
              <w:drawing>
                <wp:inline distT="0" distB="0" distL="0" distR="0" wp14:anchorId="407833D9" wp14:editId="38CDD477">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36566D4B" w14:textId="77777777">
        <w:trPr>
          <w:cantSplit/>
          <w:trHeight w:val="299"/>
        </w:trPr>
        <w:tc>
          <w:tcPr>
            <w:tcW w:w="861" w:type="dxa"/>
            <w:vMerge/>
          </w:tcPr>
          <w:p w14:paraId="75AA1E01" w14:textId="77777777" w:rsidR="002401D0" w:rsidRDefault="002401D0">
            <w:pPr>
              <w:pStyle w:val="xLedtext"/>
            </w:pPr>
          </w:p>
        </w:tc>
        <w:tc>
          <w:tcPr>
            <w:tcW w:w="4448" w:type="dxa"/>
            <w:vAlign w:val="bottom"/>
          </w:tcPr>
          <w:p w14:paraId="1A4DFF28" w14:textId="77777777" w:rsidR="002401D0" w:rsidRDefault="002401D0">
            <w:pPr>
              <w:pStyle w:val="xAvsandare1"/>
            </w:pPr>
            <w:r>
              <w:t>Ålands lagting</w:t>
            </w:r>
          </w:p>
        </w:tc>
        <w:tc>
          <w:tcPr>
            <w:tcW w:w="4288" w:type="dxa"/>
            <w:gridSpan w:val="2"/>
            <w:vAlign w:val="bottom"/>
          </w:tcPr>
          <w:p w14:paraId="3D425F7F" w14:textId="7489D004" w:rsidR="002401D0" w:rsidRDefault="002401D0" w:rsidP="00B36A8F">
            <w:pPr>
              <w:pStyle w:val="xDokTypNr"/>
            </w:pPr>
            <w:r>
              <w:t xml:space="preserve">BETÄNKANDE nr </w:t>
            </w:r>
            <w:r w:rsidR="006B56EB">
              <w:t>15</w:t>
            </w:r>
            <w:r w:rsidR="000F54A7">
              <w:t>/</w:t>
            </w:r>
            <w:r>
              <w:t>20</w:t>
            </w:r>
            <w:r w:rsidR="005869F6">
              <w:t>20</w:t>
            </w:r>
            <w:r w:rsidR="0015337C">
              <w:t>-20</w:t>
            </w:r>
            <w:r w:rsidR="005869F6">
              <w:t>21</w:t>
            </w:r>
          </w:p>
        </w:tc>
      </w:tr>
      <w:tr w:rsidR="002401D0" w14:paraId="1DC20B11" w14:textId="77777777">
        <w:trPr>
          <w:cantSplit/>
          <w:trHeight w:val="238"/>
        </w:trPr>
        <w:tc>
          <w:tcPr>
            <w:tcW w:w="861" w:type="dxa"/>
            <w:vMerge/>
          </w:tcPr>
          <w:p w14:paraId="2CABAE23" w14:textId="77777777" w:rsidR="002401D0" w:rsidRDefault="002401D0">
            <w:pPr>
              <w:pStyle w:val="xLedtext"/>
            </w:pPr>
          </w:p>
        </w:tc>
        <w:tc>
          <w:tcPr>
            <w:tcW w:w="4448" w:type="dxa"/>
            <w:vAlign w:val="bottom"/>
          </w:tcPr>
          <w:p w14:paraId="51445107" w14:textId="77777777" w:rsidR="002401D0" w:rsidRDefault="002401D0">
            <w:pPr>
              <w:pStyle w:val="xLedtext"/>
            </w:pPr>
          </w:p>
        </w:tc>
        <w:tc>
          <w:tcPr>
            <w:tcW w:w="1725" w:type="dxa"/>
            <w:vAlign w:val="bottom"/>
          </w:tcPr>
          <w:p w14:paraId="44E54AFD" w14:textId="77777777" w:rsidR="002401D0" w:rsidRDefault="002401D0">
            <w:pPr>
              <w:pStyle w:val="xLedtext"/>
            </w:pPr>
            <w:r>
              <w:t>Datum</w:t>
            </w:r>
          </w:p>
        </w:tc>
        <w:tc>
          <w:tcPr>
            <w:tcW w:w="2563" w:type="dxa"/>
            <w:vAlign w:val="bottom"/>
          </w:tcPr>
          <w:p w14:paraId="2B7AB6C2" w14:textId="77777777" w:rsidR="002401D0" w:rsidRDefault="002401D0">
            <w:pPr>
              <w:pStyle w:val="xLedtext"/>
            </w:pPr>
          </w:p>
        </w:tc>
      </w:tr>
      <w:tr w:rsidR="002401D0" w14:paraId="519F9B22" w14:textId="77777777">
        <w:trPr>
          <w:cantSplit/>
          <w:trHeight w:val="238"/>
        </w:trPr>
        <w:tc>
          <w:tcPr>
            <w:tcW w:w="861" w:type="dxa"/>
            <w:vMerge/>
          </w:tcPr>
          <w:p w14:paraId="382F55CE" w14:textId="77777777" w:rsidR="002401D0" w:rsidRDefault="002401D0">
            <w:pPr>
              <w:pStyle w:val="xAvsandare2"/>
            </w:pPr>
          </w:p>
        </w:tc>
        <w:tc>
          <w:tcPr>
            <w:tcW w:w="4448" w:type="dxa"/>
            <w:vAlign w:val="center"/>
          </w:tcPr>
          <w:p w14:paraId="0AFB9662" w14:textId="2AF0696C" w:rsidR="002401D0" w:rsidRDefault="00D71D50">
            <w:pPr>
              <w:pStyle w:val="xAvsandare2"/>
            </w:pPr>
            <w:r>
              <w:t>Lag- och kultur</w:t>
            </w:r>
            <w:r w:rsidR="002401D0">
              <w:t>utskottet</w:t>
            </w:r>
          </w:p>
        </w:tc>
        <w:tc>
          <w:tcPr>
            <w:tcW w:w="1725" w:type="dxa"/>
            <w:vAlign w:val="center"/>
          </w:tcPr>
          <w:p w14:paraId="70C4D935" w14:textId="2E764670" w:rsidR="002401D0" w:rsidRDefault="002401D0">
            <w:pPr>
              <w:pStyle w:val="xDatum1"/>
            </w:pPr>
            <w:r>
              <w:t>20</w:t>
            </w:r>
            <w:r w:rsidR="005869F6">
              <w:t>2</w:t>
            </w:r>
            <w:r w:rsidR="006D056A">
              <w:t>1-10-</w:t>
            </w:r>
            <w:r w:rsidR="000118C6">
              <w:t>12</w:t>
            </w:r>
          </w:p>
        </w:tc>
        <w:tc>
          <w:tcPr>
            <w:tcW w:w="2563" w:type="dxa"/>
            <w:vAlign w:val="center"/>
          </w:tcPr>
          <w:p w14:paraId="4ACDBB84" w14:textId="77777777" w:rsidR="002401D0" w:rsidRDefault="002401D0">
            <w:pPr>
              <w:pStyle w:val="xBeteckning1"/>
            </w:pPr>
          </w:p>
        </w:tc>
      </w:tr>
      <w:tr w:rsidR="002401D0" w14:paraId="06CA8FEC" w14:textId="77777777">
        <w:trPr>
          <w:cantSplit/>
          <w:trHeight w:val="238"/>
        </w:trPr>
        <w:tc>
          <w:tcPr>
            <w:tcW w:w="861" w:type="dxa"/>
            <w:vMerge/>
          </w:tcPr>
          <w:p w14:paraId="730F3B91" w14:textId="77777777" w:rsidR="002401D0" w:rsidRDefault="002401D0">
            <w:pPr>
              <w:pStyle w:val="xLedtext"/>
            </w:pPr>
          </w:p>
        </w:tc>
        <w:tc>
          <w:tcPr>
            <w:tcW w:w="4448" w:type="dxa"/>
            <w:vAlign w:val="bottom"/>
          </w:tcPr>
          <w:p w14:paraId="2A6D302C" w14:textId="77777777" w:rsidR="002401D0" w:rsidRDefault="002401D0">
            <w:pPr>
              <w:pStyle w:val="xLedtext"/>
            </w:pPr>
          </w:p>
        </w:tc>
        <w:tc>
          <w:tcPr>
            <w:tcW w:w="1725" w:type="dxa"/>
            <w:vAlign w:val="bottom"/>
          </w:tcPr>
          <w:p w14:paraId="39DDE39F" w14:textId="77777777" w:rsidR="002401D0" w:rsidRDefault="002401D0">
            <w:pPr>
              <w:pStyle w:val="xLedtext"/>
            </w:pPr>
          </w:p>
        </w:tc>
        <w:tc>
          <w:tcPr>
            <w:tcW w:w="2563" w:type="dxa"/>
            <w:vAlign w:val="bottom"/>
          </w:tcPr>
          <w:p w14:paraId="10722A39" w14:textId="77777777" w:rsidR="002401D0" w:rsidRDefault="002401D0">
            <w:pPr>
              <w:pStyle w:val="xLedtext"/>
            </w:pPr>
          </w:p>
        </w:tc>
      </w:tr>
      <w:tr w:rsidR="002401D0" w14:paraId="4FCC06DE" w14:textId="77777777">
        <w:trPr>
          <w:cantSplit/>
          <w:trHeight w:val="238"/>
        </w:trPr>
        <w:tc>
          <w:tcPr>
            <w:tcW w:w="861" w:type="dxa"/>
            <w:vMerge/>
            <w:tcBorders>
              <w:bottom w:val="single" w:sz="4" w:space="0" w:color="auto"/>
            </w:tcBorders>
          </w:tcPr>
          <w:p w14:paraId="24000197" w14:textId="77777777" w:rsidR="002401D0" w:rsidRDefault="002401D0">
            <w:pPr>
              <w:pStyle w:val="xAvsandare3"/>
            </w:pPr>
          </w:p>
        </w:tc>
        <w:tc>
          <w:tcPr>
            <w:tcW w:w="4448" w:type="dxa"/>
            <w:tcBorders>
              <w:bottom w:val="single" w:sz="4" w:space="0" w:color="auto"/>
            </w:tcBorders>
            <w:vAlign w:val="center"/>
          </w:tcPr>
          <w:p w14:paraId="2F49C1D1" w14:textId="77777777" w:rsidR="002401D0" w:rsidRDefault="002401D0">
            <w:pPr>
              <w:pStyle w:val="xAvsandare3"/>
            </w:pPr>
          </w:p>
        </w:tc>
        <w:tc>
          <w:tcPr>
            <w:tcW w:w="1725" w:type="dxa"/>
            <w:tcBorders>
              <w:bottom w:val="single" w:sz="4" w:space="0" w:color="auto"/>
            </w:tcBorders>
            <w:vAlign w:val="center"/>
          </w:tcPr>
          <w:p w14:paraId="3B9D3F1A" w14:textId="77777777" w:rsidR="002401D0" w:rsidRDefault="002401D0">
            <w:pPr>
              <w:pStyle w:val="xDatum2"/>
            </w:pPr>
          </w:p>
        </w:tc>
        <w:tc>
          <w:tcPr>
            <w:tcW w:w="2563" w:type="dxa"/>
            <w:tcBorders>
              <w:bottom w:val="single" w:sz="4" w:space="0" w:color="auto"/>
            </w:tcBorders>
            <w:vAlign w:val="center"/>
          </w:tcPr>
          <w:p w14:paraId="1A8A8990" w14:textId="77777777" w:rsidR="002401D0" w:rsidRDefault="002401D0">
            <w:pPr>
              <w:pStyle w:val="xBeteckning2"/>
            </w:pPr>
          </w:p>
        </w:tc>
      </w:tr>
      <w:tr w:rsidR="002401D0" w14:paraId="41AD8F76" w14:textId="77777777">
        <w:trPr>
          <w:cantSplit/>
          <w:trHeight w:val="238"/>
        </w:trPr>
        <w:tc>
          <w:tcPr>
            <w:tcW w:w="861" w:type="dxa"/>
            <w:tcBorders>
              <w:top w:val="single" w:sz="4" w:space="0" w:color="auto"/>
            </w:tcBorders>
            <w:vAlign w:val="bottom"/>
          </w:tcPr>
          <w:p w14:paraId="61305D45" w14:textId="77777777" w:rsidR="002401D0" w:rsidRDefault="002401D0">
            <w:pPr>
              <w:pStyle w:val="xLedtext"/>
            </w:pPr>
          </w:p>
        </w:tc>
        <w:tc>
          <w:tcPr>
            <w:tcW w:w="4448" w:type="dxa"/>
            <w:tcBorders>
              <w:top w:val="single" w:sz="4" w:space="0" w:color="auto"/>
            </w:tcBorders>
            <w:vAlign w:val="bottom"/>
          </w:tcPr>
          <w:p w14:paraId="17770C1E" w14:textId="77777777" w:rsidR="002401D0" w:rsidRDefault="002401D0">
            <w:pPr>
              <w:pStyle w:val="xLedtext"/>
            </w:pPr>
          </w:p>
        </w:tc>
        <w:tc>
          <w:tcPr>
            <w:tcW w:w="4288" w:type="dxa"/>
            <w:gridSpan w:val="2"/>
            <w:tcBorders>
              <w:top w:val="single" w:sz="4" w:space="0" w:color="auto"/>
            </w:tcBorders>
            <w:vAlign w:val="bottom"/>
          </w:tcPr>
          <w:p w14:paraId="4D188B87" w14:textId="77777777" w:rsidR="002401D0" w:rsidRDefault="002401D0">
            <w:pPr>
              <w:pStyle w:val="xLedtext"/>
            </w:pPr>
          </w:p>
        </w:tc>
      </w:tr>
      <w:tr w:rsidR="002401D0" w14:paraId="2BB85570" w14:textId="77777777">
        <w:trPr>
          <w:cantSplit/>
          <w:trHeight w:val="238"/>
        </w:trPr>
        <w:tc>
          <w:tcPr>
            <w:tcW w:w="861" w:type="dxa"/>
          </w:tcPr>
          <w:p w14:paraId="3A657E67" w14:textId="77777777" w:rsidR="002401D0" w:rsidRDefault="002401D0">
            <w:pPr>
              <w:pStyle w:val="xCelltext"/>
            </w:pPr>
          </w:p>
        </w:tc>
        <w:tc>
          <w:tcPr>
            <w:tcW w:w="4448" w:type="dxa"/>
            <w:vMerge w:val="restart"/>
          </w:tcPr>
          <w:p w14:paraId="62AF1BC5" w14:textId="77777777" w:rsidR="002401D0" w:rsidRDefault="002401D0">
            <w:pPr>
              <w:pStyle w:val="xMottagare1"/>
            </w:pPr>
            <w:r>
              <w:t>Till Ålands lagting</w:t>
            </w:r>
          </w:p>
        </w:tc>
        <w:tc>
          <w:tcPr>
            <w:tcW w:w="4288" w:type="dxa"/>
            <w:gridSpan w:val="2"/>
            <w:vMerge w:val="restart"/>
          </w:tcPr>
          <w:p w14:paraId="72C9330C" w14:textId="77777777" w:rsidR="002401D0" w:rsidRDefault="002401D0">
            <w:pPr>
              <w:pStyle w:val="xMottagare1"/>
              <w:tabs>
                <w:tab w:val="left" w:pos="2349"/>
              </w:tabs>
            </w:pPr>
          </w:p>
        </w:tc>
      </w:tr>
      <w:tr w:rsidR="002401D0" w14:paraId="5B247F7C" w14:textId="77777777">
        <w:trPr>
          <w:cantSplit/>
          <w:trHeight w:val="238"/>
        </w:trPr>
        <w:tc>
          <w:tcPr>
            <w:tcW w:w="861" w:type="dxa"/>
          </w:tcPr>
          <w:p w14:paraId="59B269C0" w14:textId="77777777" w:rsidR="002401D0" w:rsidRDefault="002401D0">
            <w:pPr>
              <w:pStyle w:val="xCelltext"/>
            </w:pPr>
          </w:p>
        </w:tc>
        <w:tc>
          <w:tcPr>
            <w:tcW w:w="4448" w:type="dxa"/>
            <w:vMerge/>
            <w:vAlign w:val="center"/>
          </w:tcPr>
          <w:p w14:paraId="2C8FD034" w14:textId="77777777" w:rsidR="002401D0" w:rsidRDefault="002401D0">
            <w:pPr>
              <w:pStyle w:val="xCelltext"/>
            </w:pPr>
          </w:p>
        </w:tc>
        <w:tc>
          <w:tcPr>
            <w:tcW w:w="4288" w:type="dxa"/>
            <w:gridSpan w:val="2"/>
            <w:vMerge/>
            <w:vAlign w:val="center"/>
          </w:tcPr>
          <w:p w14:paraId="2433327C" w14:textId="77777777" w:rsidR="002401D0" w:rsidRDefault="002401D0">
            <w:pPr>
              <w:pStyle w:val="xCelltext"/>
            </w:pPr>
          </w:p>
        </w:tc>
      </w:tr>
      <w:tr w:rsidR="002401D0" w14:paraId="519B42EF" w14:textId="77777777">
        <w:trPr>
          <w:cantSplit/>
          <w:trHeight w:val="238"/>
        </w:trPr>
        <w:tc>
          <w:tcPr>
            <w:tcW w:w="861" w:type="dxa"/>
          </w:tcPr>
          <w:p w14:paraId="223B99FB" w14:textId="77777777" w:rsidR="002401D0" w:rsidRDefault="002401D0">
            <w:pPr>
              <w:pStyle w:val="xCelltext"/>
            </w:pPr>
          </w:p>
        </w:tc>
        <w:tc>
          <w:tcPr>
            <w:tcW w:w="4448" w:type="dxa"/>
            <w:vMerge/>
            <w:vAlign w:val="center"/>
          </w:tcPr>
          <w:p w14:paraId="638EF52B" w14:textId="77777777" w:rsidR="002401D0" w:rsidRDefault="002401D0">
            <w:pPr>
              <w:pStyle w:val="xCelltext"/>
            </w:pPr>
          </w:p>
        </w:tc>
        <w:tc>
          <w:tcPr>
            <w:tcW w:w="4288" w:type="dxa"/>
            <w:gridSpan w:val="2"/>
            <w:vMerge/>
            <w:vAlign w:val="center"/>
          </w:tcPr>
          <w:p w14:paraId="7E605B4B" w14:textId="77777777" w:rsidR="002401D0" w:rsidRDefault="002401D0">
            <w:pPr>
              <w:pStyle w:val="xCelltext"/>
            </w:pPr>
          </w:p>
        </w:tc>
      </w:tr>
      <w:tr w:rsidR="002401D0" w14:paraId="01F525BA" w14:textId="77777777">
        <w:trPr>
          <w:cantSplit/>
          <w:trHeight w:val="238"/>
        </w:trPr>
        <w:tc>
          <w:tcPr>
            <w:tcW w:w="861" w:type="dxa"/>
          </w:tcPr>
          <w:p w14:paraId="4C6399E0" w14:textId="77777777" w:rsidR="002401D0" w:rsidRDefault="002401D0">
            <w:pPr>
              <w:pStyle w:val="xCelltext"/>
            </w:pPr>
          </w:p>
        </w:tc>
        <w:tc>
          <w:tcPr>
            <w:tcW w:w="4448" w:type="dxa"/>
            <w:vMerge/>
            <w:vAlign w:val="center"/>
          </w:tcPr>
          <w:p w14:paraId="2412F20E" w14:textId="77777777" w:rsidR="002401D0" w:rsidRDefault="002401D0">
            <w:pPr>
              <w:pStyle w:val="xCelltext"/>
            </w:pPr>
          </w:p>
        </w:tc>
        <w:tc>
          <w:tcPr>
            <w:tcW w:w="4288" w:type="dxa"/>
            <w:gridSpan w:val="2"/>
            <w:vMerge/>
            <w:vAlign w:val="center"/>
          </w:tcPr>
          <w:p w14:paraId="05DCC819" w14:textId="77777777" w:rsidR="002401D0" w:rsidRDefault="002401D0">
            <w:pPr>
              <w:pStyle w:val="xCelltext"/>
            </w:pPr>
          </w:p>
        </w:tc>
      </w:tr>
      <w:tr w:rsidR="002401D0" w14:paraId="378E58B9" w14:textId="77777777">
        <w:trPr>
          <w:cantSplit/>
          <w:trHeight w:val="238"/>
        </w:trPr>
        <w:tc>
          <w:tcPr>
            <w:tcW w:w="861" w:type="dxa"/>
          </w:tcPr>
          <w:p w14:paraId="34B4FE5A" w14:textId="77777777" w:rsidR="002401D0" w:rsidRDefault="002401D0">
            <w:pPr>
              <w:pStyle w:val="xCelltext"/>
            </w:pPr>
          </w:p>
        </w:tc>
        <w:tc>
          <w:tcPr>
            <w:tcW w:w="4448" w:type="dxa"/>
            <w:vMerge/>
            <w:vAlign w:val="center"/>
          </w:tcPr>
          <w:p w14:paraId="1E8E9BDD" w14:textId="77777777" w:rsidR="002401D0" w:rsidRDefault="002401D0">
            <w:pPr>
              <w:pStyle w:val="xCelltext"/>
            </w:pPr>
          </w:p>
        </w:tc>
        <w:tc>
          <w:tcPr>
            <w:tcW w:w="4288" w:type="dxa"/>
            <w:gridSpan w:val="2"/>
            <w:vMerge/>
            <w:vAlign w:val="center"/>
          </w:tcPr>
          <w:p w14:paraId="5FFE3D9B" w14:textId="77777777" w:rsidR="002401D0" w:rsidRDefault="002401D0">
            <w:pPr>
              <w:pStyle w:val="xCelltext"/>
            </w:pPr>
          </w:p>
        </w:tc>
      </w:tr>
    </w:tbl>
    <w:p w14:paraId="6AEE7CE2"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A39D579" w14:textId="5C8CF45B" w:rsidR="002401D0" w:rsidRDefault="00D71D50">
      <w:pPr>
        <w:pStyle w:val="ArendeOverRubrik"/>
      </w:pPr>
      <w:r>
        <w:t>Lag- och kultur</w:t>
      </w:r>
      <w:r w:rsidR="002401D0">
        <w:t>utskottets betänkande</w:t>
      </w:r>
    </w:p>
    <w:p w14:paraId="0F22B460" w14:textId="77777777" w:rsidR="006D056A" w:rsidRDefault="00D71D50" w:rsidP="006D056A">
      <w:pPr>
        <w:pStyle w:val="ArendeUnderRubrik"/>
        <w:numPr>
          <w:ilvl w:val="0"/>
          <w:numId w:val="0"/>
        </w:numPr>
        <w:tabs>
          <w:tab w:val="left" w:pos="1304"/>
        </w:tabs>
      </w:pPr>
      <w:r>
        <w:rPr>
          <w:rFonts w:ascii="Arial" w:hAnsi="Arial"/>
          <w:b/>
          <w:bCs/>
          <w:sz w:val="26"/>
        </w:rPr>
        <w:t>R</w:t>
      </w:r>
      <w:r w:rsidRPr="0043258F">
        <w:rPr>
          <w:rFonts w:ascii="Arial" w:hAnsi="Arial"/>
          <w:b/>
          <w:bCs/>
          <w:sz w:val="26"/>
        </w:rPr>
        <w:t xml:space="preserve">epublikens presidents framställning till Ålands lagting </w:t>
      </w:r>
      <w:r w:rsidR="006D056A">
        <w:rPr>
          <w:rFonts w:ascii="Arial" w:hAnsi="Arial"/>
          <w:b/>
          <w:sz w:val="26"/>
        </w:rPr>
        <w:t>om regeringens proposition till riksdagen om godkännande av ändringar i Wienöverenskommelsen om besiktning samt sättande i kraft av överenskommelsen</w:t>
      </w:r>
      <w:r w:rsidR="006D056A">
        <w:t xml:space="preserve"> </w:t>
      </w:r>
    </w:p>
    <w:p w14:paraId="16971E6E" w14:textId="6098589E" w:rsidR="004C2830" w:rsidRPr="006D056A" w:rsidRDefault="00E95AB9" w:rsidP="006D056A">
      <w:pPr>
        <w:pStyle w:val="ArendeUnderRubrik"/>
        <w:numPr>
          <w:ilvl w:val="0"/>
          <w:numId w:val="23"/>
        </w:numPr>
      </w:pPr>
      <w:r>
        <w:t xml:space="preserve">Republikens presidents framställning </w:t>
      </w:r>
      <w:r w:rsidRPr="00AB4045">
        <w:t xml:space="preserve">nr </w:t>
      </w:r>
      <w:r w:rsidR="00356C0D">
        <w:t>8</w:t>
      </w:r>
      <w:r>
        <w:t>/</w:t>
      </w:r>
      <w:proofErr w:type="gramStart"/>
      <w:r>
        <w:t>2020-2021</w:t>
      </w:r>
      <w:proofErr w:type="gramEnd"/>
    </w:p>
    <w:p w14:paraId="0506FC63" w14:textId="5CDA4EBE" w:rsidR="002401D0" w:rsidRDefault="004C2830" w:rsidP="00E95AB9">
      <w:pPr>
        <w:pStyle w:val="ArendeUnderRubrik"/>
        <w:numPr>
          <w:ilvl w:val="0"/>
          <w:numId w:val="23"/>
        </w:numPr>
      </w:pPr>
      <w:r>
        <w:t xml:space="preserve">Landskapsregeringens yttrande RP </w:t>
      </w:r>
      <w:r w:rsidR="00356C0D">
        <w:t>8</w:t>
      </w:r>
      <w:r>
        <w:t>/</w:t>
      </w:r>
      <w:proofErr w:type="gramStart"/>
      <w:r>
        <w:t>2020-2021</w:t>
      </w:r>
      <w:proofErr w:type="gramEnd"/>
      <w:r w:rsidR="00E95AB9">
        <w:t>-s</w:t>
      </w:r>
    </w:p>
    <w:p w14:paraId="780D10A4" w14:textId="77777777" w:rsidR="002401D0" w:rsidRDefault="002401D0">
      <w:pPr>
        <w:pStyle w:val="ANormal"/>
      </w:pPr>
    </w:p>
    <w:p w14:paraId="28446A00" w14:textId="77777777" w:rsidR="002401D0" w:rsidRDefault="002401D0">
      <w:pPr>
        <w:pStyle w:val="Innehll1"/>
      </w:pPr>
      <w:r>
        <w:t>INNEHÅLL</w:t>
      </w:r>
    </w:p>
    <w:p w14:paraId="53DCD6D5" w14:textId="15DAC6B1" w:rsidR="00356C0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4340330" w:history="1">
        <w:r w:rsidR="00356C0D" w:rsidRPr="00D02A1F">
          <w:rPr>
            <w:rStyle w:val="Hyperlnk"/>
          </w:rPr>
          <w:t>Sammanfattning</w:t>
        </w:r>
        <w:r w:rsidR="00356C0D">
          <w:rPr>
            <w:webHidden/>
          </w:rPr>
          <w:tab/>
        </w:r>
        <w:r w:rsidR="00356C0D">
          <w:rPr>
            <w:webHidden/>
          </w:rPr>
          <w:fldChar w:fldCharType="begin"/>
        </w:r>
        <w:r w:rsidR="00356C0D">
          <w:rPr>
            <w:webHidden/>
          </w:rPr>
          <w:instrText xml:space="preserve"> PAGEREF _Toc84340330 \h </w:instrText>
        </w:r>
        <w:r w:rsidR="00356C0D">
          <w:rPr>
            <w:webHidden/>
          </w:rPr>
        </w:r>
        <w:r w:rsidR="00356C0D">
          <w:rPr>
            <w:webHidden/>
          </w:rPr>
          <w:fldChar w:fldCharType="separate"/>
        </w:r>
        <w:r w:rsidR="00CE5155">
          <w:rPr>
            <w:webHidden/>
          </w:rPr>
          <w:t>1</w:t>
        </w:r>
        <w:r w:rsidR="00356C0D">
          <w:rPr>
            <w:webHidden/>
          </w:rPr>
          <w:fldChar w:fldCharType="end"/>
        </w:r>
      </w:hyperlink>
    </w:p>
    <w:p w14:paraId="5A2A883D" w14:textId="6466E9C4" w:rsidR="00356C0D" w:rsidRDefault="00CE5155">
      <w:pPr>
        <w:pStyle w:val="Innehll2"/>
        <w:rPr>
          <w:rFonts w:asciiTheme="minorHAnsi" w:eastAsiaTheme="minorEastAsia" w:hAnsiTheme="minorHAnsi" w:cstheme="minorBidi"/>
          <w:sz w:val="22"/>
          <w:szCs w:val="22"/>
          <w:lang w:val="sv-FI" w:eastAsia="sv-FI"/>
        </w:rPr>
      </w:pPr>
      <w:hyperlink w:anchor="_Toc84340331" w:history="1">
        <w:r w:rsidR="00356C0D" w:rsidRPr="00D02A1F">
          <w:rPr>
            <w:rStyle w:val="Hyperlnk"/>
          </w:rPr>
          <w:t>Republikens Presidents förslag</w:t>
        </w:r>
        <w:r w:rsidR="00356C0D">
          <w:rPr>
            <w:webHidden/>
          </w:rPr>
          <w:tab/>
        </w:r>
        <w:r w:rsidR="00356C0D">
          <w:rPr>
            <w:webHidden/>
          </w:rPr>
          <w:fldChar w:fldCharType="begin"/>
        </w:r>
        <w:r w:rsidR="00356C0D">
          <w:rPr>
            <w:webHidden/>
          </w:rPr>
          <w:instrText xml:space="preserve"> PAGEREF _Toc84340331 \h </w:instrText>
        </w:r>
        <w:r w:rsidR="00356C0D">
          <w:rPr>
            <w:webHidden/>
          </w:rPr>
        </w:r>
        <w:r w:rsidR="00356C0D">
          <w:rPr>
            <w:webHidden/>
          </w:rPr>
          <w:fldChar w:fldCharType="separate"/>
        </w:r>
        <w:r>
          <w:rPr>
            <w:webHidden/>
          </w:rPr>
          <w:t>1</w:t>
        </w:r>
        <w:r w:rsidR="00356C0D">
          <w:rPr>
            <w:webHidden/>
          </w:rPr>
          <w:fldChar w:fldCharType="end"/>
        </w:r>
      </w:hyperlink>
    </w:p>
    <w:p w14:paraId="2CB9645A" w14:textId="6B4E2EAC" w:rsidR="00356C0D" w:rsidRDefault="00CE5155">
      <w:pPr>
        <w:pStyle w:val="Innehll1"/>
        <w:rPr>
          <w:rFonts w:asciiTheme="minorHAnsi" w:eastAsiaTheme="minorEastAsia" w:hAnsiTheme="minorHAnsi" w:cstheme="minorBidi"/>
          <w:sz w:val="22"/>
          <w:szCs w:val="22"/>
          <w:lang w:val="sv-FI" w:eastAsia="sv-FI"/>
        </w:rPr>
      </w:pPr>
      <w:hyperlink w:anchor="_Toc84340332" w:history="1">
        <w:r w:rsidR="00356C0D" w:rsidRPr="00D02A1F">
          <w:rPr>
            <w:rStyle w:val="Hyperlnk"/>
          </w:rPr>
          <w:t>Landskapsregeringens utlåtande</w:t>
        </w:r>
        <w:r w:rsidR="00356C0D">
          <w:rPr>
            <w:webHidden/>
          </w:rPr>
          <w:tab/>
        </w:r>
        <w:r w:rsidR="00356C0D">
          <w:rPr>
            <w:webHidden/>
          </w:rPr>
          <w:fldChar w:fldCharType="begin"/>
        </w:r>
        <w:r w:rsidR="00356C0D">
          <w:rPr>
            <w:webHidden/>
          </w:rPr>
          <w:instrText xml:space="preserve"> PAGEREF _Toc84340332 \h </w:instrText>
        </w:r>
        <w:r w:rsidR="00356C0D">
          <w:rPr>
            <w:webHidden/>
          </w:rPr>
        </w:r>
        <w:r w:rsidR="00356C0D">
          <w:rPr>
            <w:webHidden/>
          </w:rPr>
          <w:fldChar w:fldCharType="separate"/>
        </w:r>
        <w:r>
          <w:rPr>
            <w:webHidden/>
          </w:rPr>
          <w:t>1</w:t>
        </w:r>
        <w:r w:rsidR="00356C0D">
          <w:rPr>
            <w:webHidden/>
          </w:rPr>
          <w:fldChar w:fldCharType="end"/>
        </w:r>
      </w:hyperlink>
    </w:p>
    <w:p w14:paraId="5F4BA284" w14:textId="35485289" w:rsidR="00356C0D" w:rsidRDefault="00CE5155">
      <w:pPr>
        <w:pStyle w:val="Innehll1"/>
        <w:rPr>
          <w:rFonts w:asciiTheme="minorHAnsi" w:eastAsiaTheme="minorEastAsia" w:hAnsiTheme="minorHAnsi" w:cstheme="minorBidi"/>
          <w:sz w:val="22"/>
          <w:szCs w:val="22"/>
          <w:lang w:val="sv-FI" w:eastAsia="sv-FI"/>
        </w:rPr>
      </w:pPr>
      <w:hyperlink w:anchor="_Toc84340333" w:history="1">
        <w:r w:rsidR="00356C0D" w:rsidRPr="00D02A1F">
          <w:rPr>
            <w:rStyle w:val="Hyperlnk"/>
          </w:rPr>
          <w:t>Utskottets synpunkter</w:t>
        </w:r>
        <w:r w:rsidR="00356C0D">
          <w:rPr>
            <w:webHidden/>
          </w:rPr>
          <w:tab/>
        </w:r>
        <w:r w:rsidR="00356C0D">
          <w:rPr>
            <w:webHidden/>
          </w:rPr>
          <w:fldChar w:fldCharType="begin"/>
        </w:r>
        <w:r w:rsidR="00356C0D">
          <w:rPr>
            <w:webHidden/>
          </w:rPr>
          <w:instrText xml:space="preserve"> PAGEREF _Toc84340333 \h </w:instrText>
        </w:r>
        <w:r w:rsidR="00356C0D">
          <w:rPr>
            <w:webHidden/>
          </w:rPr>
        </w:r>
        <w:r w:rsidR="00356C0D">
          <w:rPr>
            <w:webHidden/>
          </w:rPr>
          <w:fldChar w:fldCharType="separate"/>
        </w:r>
        <w:r>
          <w:rPr>
            <w:webHidden/>
          </w:rPr>
          <w:t>2</w:t>
        </w:r>
        <w:r w:rsidR="00356C0D">
          <w:rPr>
            <w:webHidden/>
          </w:rPr>
          <w:fldChar w:fldCharType="end"/>
        </w:r>
      </w:hyperlink>
    </w:p>
    <w:p w14:paraId="73A68947" w14:textId="00F4884F" w:rsidR="00356C0D" w:rsidRDefault="00CE5155">
      <w:pPr>
        <w:pStyle w:val="Innehll1"/>
        <w:rPr>
          <w:rFonts w:asciiTheme="minorHAnsi" w:eastAsiaTheme="minorEastAsia" w:hAnsiTheme="minorHAnsi" w:cstheme="minorBidi"/>
          <w:sz w:val="22"/>
          <w:szCs w:val="22"/>
          <w:lang w:val="sv-FI" w:eastAsia="sv-FI"/>
        </w:rPr>
      </w:pPr>
      <w:hyperlink w:anchor="_Toc84340334" w:history="1">
        <w:r w:rsidR="00356C0D" w:rsidRPr="00D02A1F">
          <w:rPr>
            <w:rStyle w:val="Hyperlnk"/>
          </w:rPr>
          <w:t>Ärendets behandling</w:t>
        </w:r>
        <w:r w:rsidR="00356C0D">
          <w:rPr>
            <w:webHidden/>
          </w:rPr>
          <w:tab/>
        </w:r>
        <w:r w:rsidR="00356C0D">
          <w:rPr>
            <w:webHidden/>
          </w:rPr>
          <w:fldChar w:fldCharType="begin"/>
        </w:r>
        <w:r w:rsidR="00356C0D">
          <w:rPr>
            <w:webHidden/>
          </w:rPr>
          <w:instrText xml:space="preserve"> PAGEREF _Toc84340334 \h </w:instrText>
        </w:r>
        <w:r w:rsidR="00356C0D">
          <w:rPr>
            <w:webHidden/>
          </w:rPr>
        </w:r>
        <w:r w:rsidR="00356C0D">
          <w:rPr>
            <w:webHidden/>
          </w:rPr>
          <w:fldChar w:fldCharType="separate"/>
        </w:r>
        <w:r>
          <w:rPr>
            <w:webHidden/>
          </w:rPr>
          <w:t>2</w:t>
        </w:r>
        <w:r w:rsidR="00356C0D">
          <w:rPr>
            <w:webHidden/>
          </w:rPr>
          <w:fldChar w:fldCharType="end"/>
        </w:r>
      </w:hyperlink>
    </w:p>
    <w:p w14:paraId="56ED5523" w14:textId="777476B2" w:rsidR="00356C0D" w:rsidRDefault="00CE5155">
      <w:pPr>
        <w:pStyle w:val="Innehll1"/>
        <w:rPr>
          <w:rFonts w:asciiTheme="minorHAnsi" w:eastAsiaTheme="minorEastAsia" w:hAnsiTheme="minorHAnsi" w:cstheme="minorBidi"/>
          <w:sz w:val="22"/>
          <w:szCs w:val="22"/>
          <w:lang w:val="sv-FI" w:eastAsia="sv-FI"/>
        </w:rPr>
      </w:pPr>
      <w:hyperlink w:anchor="_Toc84340335" w:history="1">
        <w:r w:rsidR="00356C0D" w:rsidRPr="00D02A1F">
          <w:rPr>
            <w:rStyle w:val="Hyperlnk"/>
          </w:rPr>
          <w:t>Utskottets förslag</w:t>
        </w:r>
        <w:r w:rsidR="00356C0D">
          <w:rPr>
            <w:webHidden/>
          </w:rPr>
          <w:tab/>
        </w:r>
        <w:r w:rsidR="00356C0D">
          <w:rPr>
            <w:webHidden/>
          </w:rPr>
          <w:fldChar w:fldCharType="begin"/>
        </w:r>
        <w:r w:rsidR="00356C0D">
          <w:rPr>
            <w:webHidden/>
          </w:rPr>
          <w:instrText xml:space="preserve"> PAGEREF _Toc84340335 \h </w:instrText>
        </w:r>
        <w:r w:rsidR="00356C0D">
          <w:rPr>
            <w:webHidden/>
          </w:rPr>
        </w:r>
        <w:r w:rsidR="00356C0D">
          <w:rPr>
            <w:webHidden/>
          </w:rPr>
          <w:fldChar w:fldCharType="separate"/>
        </w:r>
        <w:r>
          <w:rPr>
            <w:webHidden/>
          </w:rPr>
          <w:t>2</w:t>
        </w:r>
        <w:r w:rsidR="00356C0D">
          <w:rPr>
            <w:webHidden/>
          </w:rPr>
          <w:fldChar w:fldCharType="end"/>
        </w:r>
      </w:hyperlink>
    </w:p>
    <w:p w14:paraId="5B021969" w14:textId="69E812BA" w:rsidR="002401D0" w:rsidRDefault="002401D0">
      <w:pPr>
        <w:pStyle w:val="ANormal"/>
        <w:rPr>
          <w:noProof/>
        </w:rPr>
      </w:pPr>
      <w:r>
        <w:rPr>
          <w:rFonts w:ascii="Verdana" w:hAnsi="Verdana"/>
          <w:noProof/>
          <w:sz w:val="16"/>
          <w:szCs w:val="36"/>
        </w:rPr>
        <w:fldChar w:fldCharType="end"/>
      </w:r>
    </w:p>
    <w:p w14:paraId="7A95A5E3" w14:textId="7B4B06DF" w:rsidR="002401D0" w:rsidRDefault="002401D0">
      <w:pPr>
        <w:pStyle w:val="ANormal"/>
      </w:pPr>
    </w:p>
    <w:p w14:paraId="085387FC" w14:textId="77777777" w:rsidR="00C5316F" w:rsidRDefault="00C5316F">
      <w:pPr>
        <w:pStyle w:val="ANormal"/>
      </w:pPr>
    </w:p>
    <w:p w14:paraId="5A09E003" w14:textId="77777777" w:rsidR="002401D0" w:rsidRDefault="002401D0">
      <w:pPr>
        <w:pStyle w:val="RubrikA"/>
      </w:pPr>
      <w:bookmarkStart w:id="1" w:name="_Toc529800932"/>
      <w:bookmarkStart w:id="2" w:name="_Toc84340330"/>
      <w:r>
        <w:t>Sammanfattning</w:t>
      </w:r>
      <w:bookmarkEnd w:id="1"/>
      <w:bookmarkEnd w:id="2"/>
    </w:p>
    <w:p w14:paraId="47E3B851" w14:textId="77777777" w:rsidR="002401D0" w:rsidRDefault="002401D0">
      <w:pPr>
        <w:pStyle w:val="Rubrikmellanrum"/>
      </w:pPr>
    </w:p>
    <w:p w14:paraId="0622E47B" w14:textId="6253712D" w:rsidR="002401D0" w:rsidRDefault="00E95AB9">
      <w:pPr>
        <w:pStyle w:val="RubrikB"/>
      </w:pPr>
      <w:bookmarkStart w:id="3" w:name="_Toc529800933"/>
      <w:bookmarkStart w:id="4" w:name="_Toc84340331"/>
      <w:r>
        <w:t>Republikens Presidents</w:t>
      </w:r>
      <w:r w:rsidR="002401D0">
        <w:t xml:space="preserve"> förslag</w:t>
      </w:r>
      <w:bookmarkEnd w:id="3"/>
      <w:bookmarkEnd w:id="4"/>
    </w:p>
    <w:p w14:paraId="03A3E920" w14:textId="77777777" w:rsidR="002401D0" w:rsidRDefault="002401D0">
      <w:pPr>
        <w:pStyle w:val="Rubrikmellanrum"/>
      </w:pPr>
    </w:p>
    <w:p w14:paraId="2278A35A" w14:textId="43D170DD" w:rsidR="00E95AB9" w:rsidRDefault="00E95AB9" w:rsidP="00E95AB9">
      <w:pPr>
        <w:pStyle w:val="ANormal"/>
      </w:pPr>
      <w:r>
        <w:t xml:space="preserve">Republikens presidents föreslår att Ålands </w:t>
      </w:r>
      <w:r w:rsidRPr="002B6EB2">
        <w:t xml:space="preserve">lagting </w:t>
      </w:r>
      <w:r w:rsidRPr="001C4635">
        <w:t xml:space="preserve">ger sitt bifall till att </w:t>
      </w:r>
      <w:r w:rsidR="006D056A">
        <w:t>lagen</w:t>
      </w:r>
      <w:r w:rsidRPr="001C4635">
        <w:t xml:space="preserve"> träder i kraft på Åland till de delar </w:t>
      </w:r>
      <w:r w:rsidR="00806125">
        <w:t>överenskommelsen</w:t>
      </w:r>
      <w:r w:rsidRPr="001C4635">
        <w:t xml:space="preserve"> faller inom landskapets behörighet.</w:t>
      </w:r>
    </w:p>
    <w:p w14:paraId="42332B12" w14:textId="03E849BC" w:rsidR="002401D0" w:rsidRDefault="002401D0">
      <w:pPr>
        <w:pStyle w:val="ANormal"/>
      </w:pPr>
    </w:p>
    <w:p w14:paraId="11D980CB" w14:textId="513EFD8F" w:rsidR="00806125" w:rsidRDefault="00806125" w:rsidP="00806125">
      <w:pPr>
        <w:pStyle w:val="RubrikA"/>
      </w:pPr>
      <w:bookmarkStart w:id="5" w:name="_Toc524345509"/>
      <w:bookmarkStart w:id="6" w:name="_Toc528748836"/>
      <w:bookmarkStart w:id="7" w:name="_Toc531597708"/>
      <w:bookmarkStart w:id="8" w:name="_Toc536022286"/>
      <w:bookmarkStart w:id="9" w:name="_Toc26797533"/>
      <w:bookmarkStart w:id="10" w:name="_Toc41562745"/>
      <w:bookmarkStart w:id="11" w:name="_Toc56427421"/>
      <w:bookmarkStart w:id="12" w:name="_Toc84340332"/>
      <w:r w:rsidRPr="001C4635">
        <w:t xml:space="preserve">Landskapsregeringens </w:t>
      </w:r>
      <w:bookmarkEnd w:id="5"/>
      <w:bookmarkEnd w:id="6"/>
      <w:bookmarkEnd w:id="7"/>
      <w:bookmarkEnd w:id="8"/>
      <w:bookmarkEnd w:id="9"/>
      <w:bookmarkEnd w:id="10"/>
      <w:bookmarkEnd w:id="11"/>
      <w:r w:rsidR="007309AC">
        <w:t>utlåtande</w:t>
      </w:r>
      <w:bookmarkEnd w:id="12"/>
      <w:r w:rsidR="007309AC">
        <w:t xml:space="preserve"> </w:t>
      </w:r>
    </w:p>
    <w:p w14:paraId="78923AFA" w14:textId="1CED7578" w:rsidR="006D056A" w:rsidRDefault="006D056A" w:rsidP="006D056A">
      <w:pPr>
        <w:pStyle w:val="Rubrikmellanrum"/>
      </w:pPr>
    </w:p>
    <w:p w14:paraId="21B87D93" w14:textId="77777777" w:rsidR="00FD06BA" w:rsidRPr="00FD06BA" w:rsidRDefault="00FD06BA" w:rsidP="00FD06BA">
      <w:pPr>
        <w:pStyle w:val="Rubrikmellanrum"/>
        <w:rPr>
          <w:lang w:val="sv-FI"/>
        </w:rPr>
      </w:pPr>
    </w:p>
    <w:p w14:paraId="7FAD4EAB" w14:textId="77777777" w:rsidR="00D71776" w:rsidRDefault="00D71776" w:rsidP="00D71776">
      <w:pPr>
        <w:pStyle w:val="ANormal"/>
      </w:pPr>
      <w:r>
        <w:t xml:space="preserve">Bakgrund </w:t>
      </w:r>
    </w:p>
    <w:p w14:paraId="64436DBA" w14:textId="48DA7452" w:rsidR="00D71776" w:rsidRPr="00B27E80" w:rsidRDefault="00D71776" w:rsidP="00D71776">
      <w:pPr>
        <w:pStyle w:val="ANormal"/>
      </w:pPr>
      <w:r w:rsidRPr="00B27E80">
        <w:t xml:space="preserve">Wienöverenskommelsen, som sattes i kraft i Finland den 19 juni 2001 genom förordning av republikens president </w:t>
      </w:r>
      <w:r>
        <w:t>och l</w:t>
      </w:r>
      <w:r w:rsidRPr="00B27E80">
        <w:t>agtinget har gett sitt bifall till att ikraftträdandeförordningen ska gälla även på Åland. Lagtinget har också år 2005, 2007 och 2013 lämnat bifall till förordningar enligt vilket innehållet förändrats.</w:t>
      </w:r>
    </w:p>
    <w:p w14:paraId="09D552F0" w14:textId="593999E9" w:rsidR="00D71776" w:rsidRDefault="00D71776" w:rsidP="00D71776">
      <w:pPr>
        <w:pStyle w:val="ANormal"/>
      </w:pPr>
      <w:r w:rsidRPr="00B27E80">
        <w:t>Wienöverenskommelsen innehåller enhetliga krav på periodiska besiktningar av hjulförsedda fordon. Överenskommelsen kom till som en följd av parternas oro för den tilltagande vägtrafiken och den därmed ökade mängden faror och olägenheter. Överenskommelsen avser att på ett gemensamt sätt lindra allvarliga säkerhets- och miljöproblem. Att hitta gemensamma normer för periodisk besiktning, både avseende krav och periodicitet, var också ett sätt att förenhetliga konkurrensvillkoren mellan vägtrafikidkare.</w:t>
      </w:r>
    </w:p>
    <w:p w14:paraId="62A5FCF6" w14:textId="00DF2900" w:rsidR="006D056A" w:rsidRDefault="006D056A" w:rsidP="006D056A">
      <w:pPr>
        <w:pStyle w:val="ANormal"/>
      </w:pPr>
      <w:r>
        <w:t>Presidenten lämnade en i sak likalydande begäran avseende Wienöverenskommelsen till lagtinget tidigare under våren 2021 (se RP nr 4/</w:t>
      </w:r>
      <w:proofErr w:type="gramStart"/>
      <w:r>
        <w:t>2020- 2021</w:t>
      </w:r>
      <w:proofErr w:type="gramEnd"/>
      <w:r>
        <w:t>). Landskapsregeringen lämnade yttrande till lagtinget i ärendet. Presidenten återtog dock sin begäran till följd av att statsrådet återkallade propositionen från riksdagen. En ny regeringsproposition, som i sak överensstämmer med den tidigare, har lämnats till riksdagen. Därför begär presidenten lagtingets bifall på nytt.</w:t>
      </w:r>
    </w:p>
    <w:p w14:paraId="32DCBA9D" w14:textId="36AFF101" w:rsidR="00B27E80" w:rsidRDefault="00B27E80" w:rsidP="00B27E80">
      <w:pPr>
        <w:pStyle w:val="ANormal"/>
      </w:pPr>
      <w:bookmarkStart w:id="13" w:name="_Toc529800935"/>
      <w:r>
        <w:lastRenderedPageBreak/>
        <w:t>Den aktuella begäran om bifall</w:t>
      </w:r>
    </w:p>
    <w:p w14:paraId="1B44B008" w14:textId="34D85438" w:rsidR="00B27E80" w:rsidRDefault="00B27E80" w:rsidP="00B27E80">
      <w:pPr>
        <w:pStyle w:val="ANormal"/>
      </w:pPr>
      <w:r>
        <w:t>År 2018-2020 gjordes vissa förändringar i Wienöverenskommelsen</w:t>
      </w:r>
      <w:r w:rsidR="00D71776">
        <w:t xml:space="preserve"> </w:t>
      </w:r>
      <w:proofErr w:type="gramStart"/>
      <w:r w:rsidR="00D71776">
        <w:t xml:space="preserve">vilka </w:t>
      </w:r>
      <w:r>
        <w:t xml:space="preserve"> inte</w:t>
      </w:r>
      <w:proofErr w:type="gramEnd"/>
      <w:r>
        <w:t xml:space="preserve"> godkänts formellt i Finland. Den lag som presidenten nu begär lagtingets bifall till avser att korrigera detta.</w:t>
      </w:r>
    </w:p>
    <w:p w14:paraId="3521DF99" w14:textId="28418538" w:rsidR="00B27E80" w:rsidRDefault="00B27E80" w:rsidP="00B27E80">
      <w:pPr>
        <w:pStyle w:val="ANormal"/>
      </w:pPr>
      <w:r>
        <w:t xml:space="preserve">Vanligen sätts internationella överenskommelser i kraft genom förordning. I det här ärendet är det däremot fråga om att ge bifall till en lag. Det är också till viss del fråga om att genom lag sätta i </w:t>
      </w:r>
      <w:proofErr w:type="gramStart"/>
      <w:r>
        <w:t>kraft bestämmelser</w:t>
      </w:r>
      <w:proofErr w:type="gramEnd"/>
      <w:r>
        <w:t xml:space="preserve"> som redan tidigare satts i kraft genom förordning</w:t>
      </w:r>
      <w:r w:rsidR="00D71776">
        <w:t xml:space="preserve"> eftersom</w:t>
      </w:r>
      <w:r>
        <w:t xml:space="preserve"> riket gör bedömningen att många av överenskommelsens bestämmelser </w:t>
      </w:r>
      <w:r w:rsidR="00D71776">
        <w:t>rätteligen</w:t>
      </w:r>
      <w:r>
        <w:t xml:space="preserve"> hör hemma på </w:t>
      </w:r>
      <w:proofErr w:type="spellStart"/>
      <w:r>
        <w:t>lagnivå</w:t>
      </w:r>
      <w:proofErr w:type="spellEnd"/>
      <w:r>
        <w:t>. Det är, enligt propositionen, fråga om en exceptionell lagstiftningsåtgärd</w:t>
      </w:r>
      <w:r w:rsidR="00D71776">
        <w:t>.</w:t>
      </w:r>
    </w:p>
    <w:p w14:paraId="619F1A5E" w14:textId="36531B05" w:rsidR="00B27E80" w:rsidRDefault="00B27E80" w:rsidP="00B27E80">
      <w:pPr>
        <w:pStyle w:val="ANormal"/>
      </w:pPr>
      <w:r>
        <w:t>De förändringar som gjordes i Wienöverenskommelsen år 2018</w:t>
      </w:r>
      <w:r w:rsidR="00D71776">
        <w:t xml:space="preserve"> </w:t>
      </w:r>
      <w:r>
        <w:t>-</w:t>
      </w:r>
      <w:r w:rsidR="00D71776">
        <w:t xml:space="preserve"> </w:t>
      </w:r>
      <w:r>
        <w:t>2020 omfattar dels nya normer rörande krav på vissa fordon som inte använder fossila bränslen, dels smärre tekniska ändringar</w:t>
      </w:r>
      <w:r w:rsidR="00D71776">
        <w:t>.</w:t>
      </w:r>
      <w:r>
        <w:t xml:space="preserve"> Förändringarna har genomförts som en följd av att EU har gjort förändringar i Europaparlamentets och rådets direktiv 2014/45/EU om periodisk provning av motorfordons och tillhörande släpvagnars trafiksäkerhet och om upphävande av direktiv 2009/40/EG (provningsdirektivet). Ändringarna i Wienöverenskommelsen har gjorts för att rättsakterna ska stämma överens.</w:t>
      </w:r>
    </w:p>
    <w:p w14:paraId="72958EA7" w14:textId="1FA52CD3" w:rsidR="000520BB" w:rsidRDefault="000520BB" w:rsidP="00B27E80">
      <w:pPr>
        <w:pStyle w:val="ANormal"/>
      </w:pPr>
    </w:p>
    <w:p w14:paraId="13E2A7F5" w14:textId="2D406476" w:rsidR="00356C0D" w:rsidRPr="00FD06BA" w:rsidRDefault="000520BB" w:rsidP="00D71776">
      <w:pPr>
        <w:pStyle w:val="ANormal"/>
        <w:rPr>
          <w:lang w:val="sv-FI"/>
        </w:rPr>
      </w:pPr>
      <w:r>
        <w:t>Ställningstagande</w:t>
      </w:r>
    </w:p>
    <w:p w14:paraId="67025F83" w14:textId="77777777" w:rsidR="000520BB" w:rsidRDefault="000520BB" w:rsidP="000520BB">
      <w:pPr>
        <w:pStyle w:val="ANormal"/>
      </w:pPr>
      <w:r>
        <w:t xml:space="preserve">Landskapsregeringen konstaterar att lagtinget har lämnat bifall till att </w:t>
      </w:r>
      <w:proofErr w:type="spellStart"/>
      <w:r>
        <w:t>Wi</w:t>
      </w:r>
      <w:proofErr w:type="spellEnd"/>
      <w:r>
        <w:t xml:space="preserve">- </w:t>
      </w:r>
      <w:proofErr w:type="spellStart"/>
      <w:r>
        <w:t>enöverenskommelsen</w:t>
      </w:r>
      <w:proofErr w:type="spellEnd"/>
      <w:r>
        <w:t xml:space="preserve"> ska gälla på Åland. Bifall har också tidigare lämnats till förändringar i överenskommelsen.</w:t>
      </w:r>
    </w:p>
    <w:p w14:paraId="2D4EED72" w14:textId="77777777" w:rsidR="00CE5155" w:rsidRDefault="000520BB" w:rsidP="000520BB">
      <w:pPr>
        <w:pStyle w:val="ANormal"/>
      </w:pPr>
      <w:r>
        <w:t xml:space="preserve">De tillägg och ändringar som gjorts till Wienöverenskommelsen </w:t>
      </w:r>
    </w:p>
    <w:p w14:paraId="61170A44" w14:textId="7261CEFE" w:rsidR="000520BB" w:rsidRDefault="000520BB" w:rsidP="000520BB">
      <w:pPr>
        <w:pStyle w:val="ANormal"/>
      </w:pPr>
      <w:r>
        <w:t>och som nu blir nya för Åland, leder inte till något behov av lagstiftningsåtgärder på Åland. Bestämmelserna som sådana gäller redan här eftersom de överensstämmer med provningsdirektivet, som har implementerats i åländsk rätt.</w:t>
      </w:r>
    </w:p>
    <w:p w14:paraId="05C731C8" w14:textId="012C9DDC" w:rsidR="00B27E80" w:rsidRDefault="000520BB" w:rsidP="006D056A">
      <w:pPr>
        <w:pStyle w:val="ANormal"/>
      </w:pPr>
      <w:r>
        <w:t>Mot bakgrund av detta föreslår landskapsregeringen att lagtinget ger sitt bifall till att den lag som presidentens begäran avser träder i kraft på Åland.</w:t>
      </w:r>
    </w:p>
    <w:p w14:paraId="0018F1D5" w14:textId="77777777" w:rsidR="006D056A" w:rsidRDefault="006D056A">
      <w:pPr>
        <w:pStyle w:val="RubrikA"/>
      </w:pPr>
    </w:p>
    <w:p w14:paraId="60327D26" w14:textId="31D63B31" w:rsidR="002401D0" w:rsidRDefault="002401D0">
      <w:pPr>
        <w:pStyle w:val="RubrikA"/>
      </w:pPr>
      <w:bookmarkStart w:id="14" w:name="_Toc84340333"/>
      <w:r>
        <w:t>Utskottets synpunkter</w:t>
      </w:r>
      <w:bookmarkEnd w:id="13"/>
      <w:bookmarkEnd w:id="14"/>
    </w:p>
    <w:p w14:paraId="02A995DB" w14:textId="3EC176BD" w:rsidR="00D71776" w:rsidRDefault="00D71776" w:rsidP="00D71776">
      <w:pPr>
        <w:pStyle w:val="Rubrikmellanrum"/>
      </w:pPr>
    </w:p>
    <w:p w14:paraId="1EF51045" w14:textId="3429F4C8" w:rsidR="00D71776" w:rsidRPr="00D71776" w:rsidRDefault="00D71776" w:rsidP="00D71776">
      <w:pPr>
        <w:pStyle w:val="ANormal"/>
      </w:pPr>
      <w:r>
        <w:t>Utskottet som inte har något att anföra i ärendet föreslår att lagtinget ger det begärda bifallet.</w:t>
      </w:r>
    </w:p>
    <w:p w14:paraId="0BF7FB64" w14:textId="77777777" w:rsidR="002401D0" w:rsidRDefault="002401D0">
      <w:pPr>
        <w:pStyle w:val="Rubrikmellanrum"/>
      </w:pPr>
    </w:p>
    <w:p w14:paraId="4FFDAD95" w14:textId="77777777" w:rsidR="002401D0" w:rsidRDefault="002401D0">
      <w:pPr>
        <w:pStyle w:val="ANormal"/>
      </w:pPr>
    </w:p>
    <w:p w14:paraId="51F91D12" w14:textId="77777777" w:rsidR="002401D0" w:rsidRDefault="002401D0">
      <w:pPr>
        <w:pStyle w:val="RubrikA"/>
      </w:pPr>
      <w:bookmarkStart w:id="15" w:name="_Toc529800936"/>
      <w:bookmarkStart w:id="16" w:name="_Toc84340334"/>
      <w:r>
        <w:t>Ärendets behandling</w:t>
      </w:r>
      <w:bookmarkEnd w:id="15"/>
      <w:bookmarkEnd w:id="16"/>
    </w:p>
    <w:p w14:paraId="5CDD239D" w14:textId="77777777" w:rsidR="002401D0" w:rsidRDefault="002401D0">
      <w:pPr>
        <w:pStyle w:val="Rubrikmellanrum"/>
      </w:pPr>
    </w:p>
    <w:p w14:paraId="49F29F56" w14:textId="712AE56F" w:rsidR="00806125" w:rsidRDefault="00806125" w:rsidP="00806125">
      <w:pPr>
        <w:pStyle w:val="ANormal"/>
      </w:pPr>
      <w:r>
        <w:t xml:space="preserve">Lagtinget har den </w:t>
      </w:r>
      <w:r w:rsidR="00356C0D">
        <w:t>15</w:t>
      </w:r>
      <w:r>
        <w:t xml:space="preserve"> </w:t>
      </w:r>
      <w:r w:rsidR="00356C0D">
        <w:t>september</w:t>
      </w:r>
      <w:r>
        <w:t xml:space="preserve"> 2021 </w:t>
      </w:r>
      <w:proofErr w:type="spellStart"/>
      <w:r>
        <w:t>inbegärt</w:t>
      </w:r>
      <w:proofErr w:type="spellEnd"/>
      <w:r>
        <w:t xml:space="preserve"> lag- och kulturutskottets yttrande i ärendet. </w:t>
      </w:r>
    </w:p>
    <w:p w14:paraId="7BD78134" w14:textId="3A086B15" w:rsidR="00806125" w:rsidRDefault="00806125" w:rsidP="00806125">
      <w:pPr>
        <w:pStyle w:val="ANormal"/>
      </w:pPr>
      <w:r>
        <w:tab/>
        <w:t xml:space="preserve">I ärendets avgörande behandling deltog ordföranden Rainer Juslin, viceordföranden Jan Salmén samt ledamöterna Annette </w:t>
      </w:r>
      <w:proofErr w:type="spellStart"/>
      <w:r>
        <w:t>Bergbo</w:t>
      </w:r>
      <w:proofErr w:type="spellEnd"/>
      <w:r>
        <w:t xml:space="preserve">, Jessy Eckerman, </w:t>
      </w:r>
      <w:r w:rsidR="00062921">
        <w:t>Liz Mattsson</w:t>
      </w:r>
      <w:r>
        <w:t xml:space="preserve">, Marcus </w:t>
      </w:r>
      <w:proofErr w:type="spellStart"/>
      <w:r>
        <w:t>Måtar</w:t>
      </w:r>
      <w:proofErr w:type="spellEnd"/>
      <w:r>
        <w:t xml:space="preserve"> och Mika Nordberg.</w:t>
      </w:r>
    </w:p>
    <w:p w14:paraId="2AAC2357" w14:textId="0754594D" w:rsidR="002401D0" w:rsidRDefault="002401D0">
      <w:pPr>
        <w:pStyle w:val="ANormal"/>
      </w:pPr>
    </w:p>
    <w:p w14:paraId="28D48A43" w14:textId="77777777" w:rsidR="002401D0" w:rsidRDefault="002401D0">
      <w:pPr>
        <w:pStyle w:val="ANormal"/>
      </w:pPr>
    </w:p>
    <w:p w14:paraId="7CC8F504" w14:textId="77777777" w:rsidR="002401D0" w:rsidRDefault="002401D0">
      <w:pPr>
        <w:pStyle w:val="RubrikA"/>
      </w:pPr>
      <w:bookmarkStart w:id="17" w:name="_Toc529800937"/>
      <w:bookmarkStart w:id="18" w:name="_Toc84340335"/>
      <w:r>
        <w:t>Utskottets förslag</w:t>
      </w:r>
      <w:bookmarkEnd w:id="17"/>
      <w:bookmarkEnd w:id="18"/>
    </w:p>
    <w:p w14:paraId="446CA200" w14:textId="77777777" w:rsidR="002401D0" w:rsidRDefault="002401D0">
      <w:pPr>
        <w:pStyle w:val="Rubrikmellanrum"/>
      </w:pPr>
    </w:p>
    <w:p w14:paraId="168FA41B" w14:textId="77777777" w:rsidR="002401D0" w:rsidRDefault="002401D0">
      <w:pPr>
        <w:pStyle w:val="ANormal"/>
      </w:pPr>
      <w:r>
        <w:t>Med hänvisning till det anförda föreslår utskottet</w:t>
      </w:r>
    </w:p>
    <w:p w14:paraId="1F976BF0" w14:textId="77777777" w:rsidR="002401D0" w:rsidRDefault="002401D0">
      <w:pPr>
        <w:pStyle w:val="ANormal"/>
      </w:pPr>
    </w:p>
    <w:p w14:paraId="3B367B55" w14:textId="2F97C9AB" w:rsidR="00E514D5" w:rsidRPr="00E514D5" w:rsidRDefault="002401D0" w:rsidP="00E514D5">
      <w:pPr>
        <w:pStyle w:val="Klam"/>
      </w:pPr>
      <w:r>
        <w:t>att lagtinget</w:t>
      </w:r>
      <w:r w:rsidR="004C2830">
        <w:t xml:space="preserve"> </w:t>
      </w:r>
      <w:r w:rsidR="00E514D5" w:rsidRPr="00E514D5">
        <w:t xml:space="preserve">ger sitt bifall till att </w:t>
      </w:r>
      <w:r w:rsidR="00356C0D">
        <w:t>lagen</w:t>
      </w:r>
      <w:r w:rsidR="00E514D5" w:rsidRPr="00E514D5">
        <w:t xml:space="preserve"> träder i kraft på Åland till de delar överenskommelsen faller inom landskapets behörighet.</w:t>
      </w:r>
    </w:p>
    <w:p w14:paraId="342645DE" w14:textId="77777777" w:rsidR="00E514D5" w:rsidRDefault="00E514D5" w:rsidP="00E514D5">
      <w:pPr>
        <w:pStyle w:val="Brdtextmedindrag"/>
        <w:shd w:val="clear" w:color="auto" w:fill="FFFFFF"/>
        <w:spacing w:line="518" w:lineRule="atLeast"/>
        <w:rPr>
          <w:color w:val="555555"/>
          <w:spacing w:val="-3"/>
        </w:rPr>
      </w:pPr>
      <w:r>
        <w:rPr>
          <w:color w:val="555555"/>
          <w:spacing w:val="-3"/>
          <w:lang w:val="sv-SE"/>
        </w:rPr>
        <w:lastRenderedPageBreak/>
        <w:t> </w:t>
      </w:r>
    </w:p>
    <w:p w14:paraId="7B70F6BC" w14:textId="77777777" w:rsidR="002401D0" w:rsidRDefault="002401D0">
      <w:pPr>
        <w:pStyle w:val="ANormal"/>
      </w:pPr>
    </w:p>
    <w:p w14:paraId="37B674B2"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3DD6D31" w14:textId="77777777">
        <w:trPr>
          <w:cantSplit/>
        </w:trPr>
        <w:tc>
          <w:tcPr>
            <w:tcW w:w="7931" w:type="dxa"/>
            <w:gridSpan w:val="2"/>
          </w:tcPr>
          <w:p w14:paraId="6DA7A7CE" w14:textId="68CF9CD5" w:rsidR="002401D0" w:rsidRDefault="002401D0">
            <w:pPr>
              <w:pStyle w:val="ANormal"/>
              <w:keepNext/>
            </w:pPr>
            <w:r>
              <w:t xml:space="preserve">Mariehamn den </w:t>
            </w:r>
            <w:r w:rsidR="000118C6">
              <w:t>12</w:t>
            </w:r>
            <w:r w:rsidR="00DB338B">
              <w:t xml:space="preserve"> </w:t>
            </w:r>
            <w:r w:rsidR="00356C0D">
              <w:t>oktober</w:t>
            </w:r>
            <w:r w:rsidR="004C2830">
              <w:t xml:space="preserve"> 2021</w:t>
            </w:r>
          </w:p>
        </w:tc>
      </w:tr>
      <w:tr w:rsidR="002401D0" w14:paraId="589095BF" w14:textId="77777777">
        <w:tc>
          <w:tcPr>
            <w:tcW w:w="4454" w:type="dxa"/>
            <w:vAlign w:val="bottom"/>
          </w:tcPr>
          <w:p w14:paraId="70B2C53E" w14:textId="77777777" w:rsidR="002401D0" w:rsidRDefault="002401D0">
            <w:pPr>
              <w:pStyle w:val="ANormal"/>
              <w:keepNext/>
            </w:pPr>
          </w:p>
          <w:p w14:paraId="1545D090" w14:textId="77777777" w:rsidR="002401D0" w:rsidRDefault="002401D0">
            <w:pPr>
              <w:pStyle w:val="ANormal"/>
              <w:keepNext/>
            </w:pPr>
          </w:p>
          <w:p w14:paraId="325EF3AA" w14:textId="77777777" w:rsidR="002401D0" w:rsidRDefault="002401D0">
            <w:pPr>
              <w:pStyle w:val="ANormal"/>
              <w:keepNext/>
            </w:pPr>
            <w:r>
              <w:t>Ordförande</w:t>
            </w:r>
          </w:p>
        </w:tc>
        <w:tc>
          <w:tcPr>
            <w:tcW w:w="3477" w:type="dxa"/>
            <w:vAlign w:val="bottom"/>
          </w:tcPr>
          <w:p w14:paraId="7FB681F1" w14:textId="77777777" w:rsidR="002401D0" w:rsidRDefault="002401D0">
            <w:pPr>
              <w:pStyle w:val="ANormal"/>
              <w:keepNext/>
            </w:pPr>
          </w:p>
          <w:p w14:paraId="17A3FBCE" w14:textId="77777777" w:rsidR="002401D0" w:rsidRDefault="002401D0">
            <w:pPr>
              <w:pStyle w:val="ANormal"/>
              <w:keepNext/>
            </w:pPr>
          </w:p>
          <w:p w14:paraId="08FFCE0E" w14:textId="6F5DEE5A" w:rsidR="002401D0" w:rsidRDefault="004C2830">
            <w:pPr>
              <w:pStyle w:val="ANormal"/>
              <w:keepNext/>
            </w:pPr>
            <w:r>
              <w:t>Rainer Juslin</w:t>
            </w:r>
          </w:p>
        </w:tc>
      </w:tr>
      <w:tr w:rsidR="002401D0" w14:paraId="747F715D" w14:textId="77777777">
        <w:tc>
          <w:tcPr>
            <w:tcW w:w="4454" w:type="dxa"/>
            <w:vAlign w:val="bottom"/>
          </w:tcPr>
          <w:p w14:paraId="3DCDB619" w14:textId="77777777" w:rsidR="002401D0" w:rsidRDefault="002401D0">
            <w:pPr>
              <w:pStyle w:val="ANormal"/>
              <w:keepNext/>
            </w:pPr>
          </w:p>
          <w:p w14:paraId="17CFC4A3" w14:textId="77777777" w:rsidR="002401D0" w:rsidRDefault="002401D0">
            <w:pPr>
              <w:pStyle w:val="ANormal"/>
              <w:keepNext/>
            </w:pPr>
          </w:p>
          <w:p w14:paraId="18B755BE" w14:textId="77777777" w:rsidR="002401D0" w:rsidRDefault="002401D0">
            <w:pPr>
              <w:pStyle w:val="ANormal"/>
              <w:keepNext/>
            </w:pPr>
            <w:r>
              <w:t>Sekreterare</w:t>
            </w:r>
          </w:p>
        </w:tc>
        <w:tc>
          <w:tcPr>
            <w:tcW w:w="3477" w:type="dxa"/>
            <w:vAlign w:val="bottom"/>
          </w:tcPr>
          <w:p w14:paraId="4C611A29" w14:textId="77777777" w:rsidR="002401D0" w:rsidRDefault="002401D0">
            <w:pPr>
              <w:pStyle w:val="ANormal"/>
              <w:keepNext/>
            </w:pPr>
          </w:p>
          <w:p w14:paraId="44358351" w14:textId="77777777" w:rsidR="002401D0" w:rsidRDefault="002401D0">
            <w:pPr>
              <w:pStyle w:val="ANormal"/>
              <w:keepNext/>
            </w:pPr>
          </w:p>
          <w:p w14:paraId="53FB8DE5" w14:textId="1BB13CEF" w:rsidR="002401D0" w:rsidRDefault="004C2830">
            <w:pPr>
              <w:pStyle w:val="ANormal"/>
              <w:keepNext/>
            </w:pPr>
            <w:r>
              <w:t>Susanne Eriksson</w:t>
            </w:r>
          </w:p>
        </w:tc>
      </w:tr>
    </w:tbl>
    <w:p w14:paraId="582D018F"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359E" w14:textId="77777777" w:rsidR="005869F6" w:rsidRDefault="005869F6">
      <w:r>
        <w:separator/>
      </w:r>
    </w:p>
  </w:endnote>
  <w:endnote w:type="continuationSeparator" w:id="0">
    <w:p w14:paraId="4BD7A0FE" w14:textId="77777777" w:rsidR="005869F6" w:rsidRDefault="0058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AA03"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699D" w14:textId="2754CFEE" w:rsidR="002401D0" w:rsidRDefault="002401D0">
    <w:pPr>
      <w:pStyle w:val="Sidfot"/>
      <w:rPr>
        <w:lang w:val="fi-FI"/>
      </w:rPr>
    </w:pPr>
    <w:r>
      <w:fldChar w:fldCharType="begin"/>
    </w:r>
    <w:r>
      <w:rPr>
        <w:lang w:val="fi-FI"/>
      </w:rPr>
      <w:instrText xml:space="preserve"> FILENAME  \* MERGEFORMAT </w:instrText>
    </w:r>
    <w:r>
      <w:fldChar w:fldCharType="separate"/>
    </w:r>
    <w:r w:rsidR="00CE5155">
      <w:rPr>
        <w:noProof/>
        <w:lang w:val="fi-FI"/>
      </w:rPr>
      <w:t>LKU1520202021.docx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8150"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F0E9" w14:textId="77777777" w:rsidR="005869F6" w:rsidRDefault="005869F6">
      <w:r>
        <w:separator/>
      </w:r>
    </w:p>
  </w:footnote>
  <w:footnote w:type="continuationSeparator" w:id="0">
    <w:p w14:paraId="7A1FE884" w14:textId="77777777" w:rsidR="005869F6" w:rsidRDefault="0058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0F42"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E8557B4" w14:textId="77777777" w:rsidR="002401D0" w:rsidRDefault="002401D0">
    <w:pPr>
      <w:pStyle w:val="Sidhuvud"/>
    </w:pPr>
  </w:p>
  <w:p w14:paraId="702C9070" w14:textId="77777777" w:rsidR="000B6EB4" w:rsidRDefault="000B6EB4"/>
  <w:p w14:paraId="55556909" w14:textId="77777777" w:rsidR="000B6EB4" w:rsidRDefault="000B6EB4"/>
  <w:p w14:paraId="34E00997" w14:textId="77777777" w:rsidR="000B6EB4" w:rsidRDefault="000B6EB4"/>
  <w:p w14:paraId="0DF3B018" w14:textId="77777777" w:rsidR="000B6EB4" w:rsidRDefault="000B6E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9AF7"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25A1632D" w14:textId="77777777" w:rsidR="000B6EB4" w:rsidRDefault="000B6EB4"/>
  <w:p w14:paraId="08467BE2" w14:textId="77777777" w:rsidR="000B6EB4" w:rsidRDefault="000B6EB4"/>
  <w:p w14:paraId="6CF78E80" w14:textId="77777777" w:rsidR="000B6EB4" w:rsidRDefault="000B6EB4"/>
  <w:p w14:paraId="55825568" w14:textId="77777777" w:rsidR="000B6EB4" w:rsidRDefault="000B6E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F6"/>
    <w:rsid w:val="000118C6"/>
    <w:rsid w:val="00015E9C"/>
    <w:rsid w:val="00051556"/>
    <w:rsid w:val="000520BB"/>
    <w:rsid w:val="00062921"/>
    <w:rsid w:val="000B2DC9"/>
    <w:rsid w:val="000B6EB4"/>
    <w:rsid w:val="000D6353"/>
    <w:rsid w:val="000F54A7"/>
    <w:rsid w:val="000F7417"/>
    <w:rsid w:val="0015337C"/>
    <w:rsid w:val="002401D0"/>
    <w:rsid w:val="0032022E"/>
    <w:rsid w:val="00356C0D"/>
    <w:rsid w:val="0036359C"/>
    <w:rsid w:val="00481734"/>
    <w:rsid w:val="004C2830"/>
    <w:rsid w:val="005869F6"/>
    <w:rsid w:val="005D5A67"/>
    <w:rsid w:val="006B2E9E"/>
    <w:rsid w:val="006B56EB"/>
    <w:rsid w:val="006D056A"/>
    <w:rsid w:val="00723B93"/>
    <w:rsid w:val="007309AC"/>
    <w:rsid w:val="007F7A9F"/>
    <w:rsid w:val="00806125"/>
    <w:rsid w:val="00811D50"/>
    <w:rsid w:val="00817B04"/>
    <w:rsid w:val="00957C36"/>
    <w:rsid w:val="009D73B2"/>
    <w:rsid w:val="009F7CE2"/>
    <w:rsid w:val="00A518B7"/>
    <w:rsid w:val="00B27E80"/>
    <w:rsid w:val="00B32E91"/>
    <w:rsid w:val="00B36A8F"/>
    <w:rsid w:val="00B90DEC"/>
    <w:rsid w:val="00C5316F"/>
    <w:rsid w:val="00CB087E"/>
    <w:rsid w:val="00CE5155"/>
    <w:rsid w:val="00CF700E"/>
    <w:rsid w:val="00D71776"/>
    <w:rsid w:val="00D71D50"/>
    <w:rsid w:val="00DB338B"/>
    <w:rsid w:val="00DC45B2"/>
    <w:rsid w:val="00DF1345"/>
    <w:rsid w:val="00E514D5"/>
    <w:rsid w:val="00E7638F"/>
    <w:rsid w:val="00E95AB9"/>
    <w:rsid w:val="00EA549E"/>
    <w:rsid w:val="00FD06B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DE228"/>
  <w15:chartTrackingRefBased/>
  <w15:docId w15:val="{100ADBA5-8577-49A5-94C9-13A50F89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D50"/>
    <w:pPr>
      <w:widowControl w:val="0"/>
      <w:autoSpaceDE w:val="0"/>
      <w:autoSpaceDN w:val="0"/>
      <w:adjustRightInd w:val="0"/>
    </w:pPr>
    <w:rPr>
      <w:sz w:val="24"/>
      <w:szCs w:val="24"/>
      <w:lang w:val="en-US"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uiPriority w:val="1"/>
    <w:qFormat/>
    <w:pPr>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E95AB9"/>
    <w:rPr>
      <w:sz w:val="22"/>
      <w:lang w:val="sv-SE" w:eastAsia="sv-SE"/>
    </w:rPr>
  </w:style>
  <w:style w:type="character" w:customStyle="1" w:styleId="BrdtextChar">
    <w:name w:val="Brödtext Char"/>
    <w:basedOn w:val="Standardstycketeckensnitt"/>
    <w:link w:val="Brdtext"/>
    <w:uiPriority w:val="1"/>
    <w:rsid w:val="0032022E"/>
    <w:rPr>
      <w:sz w:val="24"/>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6008">
      <w:bodyDiv w:val="1"/>
      <w:marLeft w:val="0"/>
      <w:marRight w:val="0"/>
      <w:marTop w:val="0"/>
      <w:marBottom w:val="0"/>
      <w:divBdr>
        <w:top w:val="none" w:sz="0" w:space="0" w:color="auto"/>
        <w:left w:val="none" w:sz="0" w:space="0" w:color="auto"/>
        <w:bottom w:val="none" w:sz="0" w:space="0" w:color="auto"/>
        <w:right w:val="none" w:sz="0" w:space="0" w:color="auto"/>
      </w:divBdr>
    </w:div>
    <w:div w:id="12870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140</TotalTime>
  <Pages>3</Pages>
  <Words>635</Words>
  <Characters>4630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Lag- och kulturutskottets betänkande nr x/2020-2021</vt:lpstr>
    </vt:vector>
  </TitlesOfParts>
  <Company>Ålands lagting</Company>
  <LinksUpToDate>false</LinksUpToDate>
  <CharactersWithSpaces>5255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15/2020-2021</dc:title>
  <dc:subject/>
  <dc:creator>Jessica Laaksonen</dc:creator>
  <cp:keywords/>
  <cp:lastModifiedBy>Jessica Laaksonen</cp:lastModifiedBy>
  <cp:revision>4</cp:revision>
  <cp:lastPrinted>2021-11-18T09:23:00Z</cp:lastPrinted>
  <dcterms:created xsi:type="dcterms:W3CDTF">2021-10-15T11:56:00Z</dcterms:created>
  <dcterms:modified xsi:type="dcterms:W3CDTF">2021-11-18T10:48:00Z</dcterms:modified>
</cp:coreProperties>
</file>