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DCD11" w14:textId="77777777" w:rsidR="003177BA" w:rsidRPr="00F678B7" w:rsidRDefault="003177BA" w:rsidP="00D048BE">
      <w:pPr>
        <w:spacing w:line="360" w:lineRule="auto"/>
        <w:jc w:val="both"/>
        <w:outlineLvl w:val="0"/>
        <w:rPr>
          <w:rStyle w:val="Diskretbetoning"/>
        </w:rPr>
      </w:pPr>
    </w:p>
    <w:p w14:paraId="69B1145D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49671DA9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13E9A920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0609E41B" w14:textId="77777777" w:rsidR="002B16C4" w:rsidRPr="00EB3839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EB3839">
        <w:rPr>
          <w:lang w:val="de-DE"/>
        </w:rPr>
        <w:t>R e p u b l</w:t>
      </w:r>
      <w:r w:rsidR="002B16C4" w:rsidRPr="00EB3839">
        <w:rPr>
          <w:lang w:val="de-DE"/>
        </w:rPr>
        <w:t xml:space="preserve"> i k e n s  p r e s i d e n t s</w:t>
      </w:r>
    </w:p>
    <w:p w14:paraId="44808B1E" w14:textId="77777777" w:rsidR="00C64ADF" w:rsidRPr="00EB3839" w:rsidRDefault="00A11EF2" w:rsidP="00C13805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EB3839">
        <w:rPr>
          <w:lang w:val="sv-SE"/>
        </w:rPr>
        <w:t>frams</w:t>
      </w:r>
      <w:r w:rsidR="009A1D8E" w:rsidRPr="00EB3839">
        <w:rPr>
          <w:lang w:val="sv-SE"/>
        </w:rPr>
        <w:t xml:space="preserve">tällning till Ålands lagting </w:t>
      </w:r>
      <w:r w:rsidR="00343DF2" w:rsidRPr="00EB3839">
        <w:rPr>
          <w:rStyle w:val="llnormaalikirjasin--char1"/>
          <w:sz w:val="24"/>
          <w:lang w:val="sv-SE"/>
        </w:rPr>
        <w:t>om statsrådets förordning</w:t>
      </w:r>
      <w:r w:rsidR="00EB3839" w:rsidRPr="00EB3839">
        <w:rPr>
          <w:rStyle w:val="llnormaalikirjasin--char1"/>
          <w:sz w:val="24"/>
          <w:lang w:val="sv-SE"/>
        </w:rPr>
        <w:t xml:space="preserve"> om det multilaterala avtalet M330 enligt avsnitt 1.5 punkt 1.5.1 i bilaga A till den europeiska överenskommelsen om internationell transport av farligt gods på väg</w:t>
      </w:r>
      <w:r w:rsidR="00C13805">
        <w:rPr>
          <w:rStyle w:val="llnormaalikirjasin--char1"/>
          <w:sz w:val="24"/>
          <w:lang w:val="sv-SE"/>
        </w:rPr>
        <w:t xml:space="preserve"> </w:t>
      </w:r>
      <w:r w:rsidR="00EB3839" w:rsidRPr="00EB3839">
        <w:rPr>
          <w:rStyle w:val="llnormaalikirjasin--char1"/>
          <w:sz w:val="24"/>
          <w:lang w:val="sv-SE"/>
        </w:rPr>
        <w:t>(ADR)</w:t>
      </w:r>
    </w:p>
    <w:p w14:paraId="1265D74A" w14:textId="77777777" w:rsidR="00332FCB" w:rsidRDefault="00332FCB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6801001B" w14:textId="77777777" w:rsidR="0002760D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096DFDEE" w14:textId="77777777" w:rsidR="0002760D" w:rsidRPr="000F423F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5BB33913" w14:textId="77777777" w:rsidR="00597DF9" w:rsidRDefault="00473482" w:rsidP="00597DF9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3965B9">
        <w:rPr>
          <w:spacing w:val="-3"/>
          <w:lang w:val="sv-SE"/>
        </w:rPr>
        <w:t xml:space="preserve">kraft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14:paraId="05A16ECA" w14:textId="77777777" w:rsidR="00417E04" w:rsidRPr="00417E04" w:rsidRDefault="00597DF9" w:rsidP="00C13805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597DF9">
        <w:rPr>
          <w:spacing w:val="-3"/>
          <w:lang w:val="sv-SE"/>
        </w:rPr>
        <w:t xml:space="preserve"> </w:t>
      </w:r>
      <w:r w:rsidR="00417E04" w:rsidRPr="00417E04">
        <w:rPr>
          <w:spacing w:val="-3"/>
          <w:lang w:val="sv-SE"/>
        </w:rPr>
        <w:t>Den europeiska överenskommelsen från 1957 om internationell transport av farligt gods på väg (FördrS 23/1979, ADR) trädde i kraft i Finland 1979.</w:t>
      </w:r>
      <w:r w:rsidR="006E2F1B">
        <w:rPr>
          <w:spacing w:val="-3"/>
          <w:lang w:val="sv-SE"/>
        </w:rPr>
        <w:t xml:space="preserve"> </w:t>
      </w:r>
      <w:r w:rsidR="00417E04" w:rsidRPr="00417E04">
        <w:rPr>
          <w:spacing w:val="-3"/>
          <w:lang w:val="sv-SE"/>
        </w:rPr>
        <w:t>I enlighet med artikel 4.3 i ADR har de fördragsslutande</w:t>
      </w:r>
      <w:r w:rsidR="00417E04">
        <w:rPr>
          <w:spacing w:val="-3"/>
          <w:lang w:val="sv-SE"/>
        </w:rPr>
        <w:t xml:space="preserve"> parterna rätt att genom bilate</w:t>
      </w:r>
      <w:r w:rsidR="00417E04" w:rsidRPr="00417E04">
        <w:rPr>
          <w:spacing w:val="-3"/>
          <w:lang w:val="sv-SE"/>
        </w:rPr>
        <w:t>rala eller multilaterala fördrag (separata överenskommelser) tillåta att farligt gods kan transporteras med avvikelse från bestämmelserna i ADR</w:t>
      </w:r>
      <w:r w:rsidR="00417E04">
        <w:rPr>
          <w:spacing w:val="-3"/>
          <w:lang w:val="sv-SE"/>
        </w:rPr>
        <w:t>, under förutsättning att en sä</w:t>
      </w:r>
      <w:r w:rsidR="00417E04" w:rsidRPr="00417E04">
        <w:rPr>
          <w:spacing w:val="-3"/>
          <w:lang w:val="sv-SE"/>
        </w:rPr>
        <w:t>kerhetsnivå som motsvarar bestämmelserna bi</w:t>
      </w:r>
      <w:r w:rsidR="0015543F">
        <w:rPr>
          <w:spacing w:val="-3"/>
          <w:lang w:val="sv-SE"/>
        </w:rPr>
        <w:t>behålls</w:t>
      </w:r>
      <w:r w:rsidR="00417E04" w:rsidRPr="00417E04">
        <w:rPr>
          <w:spacing w:val="-3"/>
          <w:lang w:val="sv-SE"/>
        </w:rPr>
        <w:t>. De länder som är parter i ADR (ADR-länder) ingår flera separata överenskommelser varje år. En undertecknad separat överenskommelse får tillämpas vid internationella ADR-transporter mellan de ADR-länder som har un</w:t>
      </w:r>
      <w:r w:rsidR="00417E04">
        <w:rPr>
          <w:spacing w:val="-3"/>
          <w:lang w:val="sv-SE"/>
        </w:rPr>
        <w:t>dertecknat den separata överens</w:t>
      </w:r>
      <w:r w:rsidR="00417E04" w:rsidRPr="00417E04">
        <w:rPr>
          <w:spacing w:val="-3"/>
          <w:lang w:val="sv-SE"/>
        </w:rPr>
        <w:t>kommelsen i fråga.</w:t>
      </w:r>
      <w:r w:rsidR="00C13805">
        <w:rPr>
          <w:spacing w:val="-3"/>
          <w:lang w:val="sv-SE"/>
        </w:rPr>
        <w:t xml:space="preserve"> </w:t>
      </w:r>
      <w:r w:rsidR="00417E04" w:rsidRPr="00417E04">
        <w:rPr>
          <w:spacing w:val="-3"/>
          <w:lang w:val="sv-SE"/>
        </w:rPr>
        <w:t>Med stöd av 6 § 4 mom. i lagen om transport av farliga ämnen får en i Fi</w:t>
      </w:r>
      <w:r w:rsidR="00C13805">
        <w:rPr>
          <w:spacing w:val="-3"/>
          <w:lang w:val="sv-SE"/>
        </w:rPr>
        <w:t>nland in</w:t>
      </w:r>
      <w:r w:rsidR="00417E04" w:rsidRPr="00417E04">
        <w:rPr>
          <w:spacing w:val="-3"/>
          <w:lang w:val="sv-SE"/>
        </w:rPr>
        <w:t>gången separat ADR-överenskommelse även tillämpas p</w:t>
      </w:r>
      <w:r w:rsidR="00417E04">
        <w:rPr>
          <w:spacing w:val="-3"/>
          <w:lang w:val="sv-SE"/>
        </w:rPr>
        <w:t>å nationella transporter av far</w:t>
      </w:r>
      <w:r w:rsidR="00417E04" w:rsidRPr="00417E04">
        <w:rPr>
          <w:spacing w:val="-3"/>
          <w:lang w:val="sv-SE"/>
        </w:rPr>
        <w:t>liga ämnen på väg.</w:t>
      </w:r>
    </w:p>
    <w:p w14:paraId="1D23E98B" w14:textId="77777777" w:rsidR="00417E04" w:rsidRPr="00417E04" w:rsidRDefault="00417E04" w:rsidP="00417E04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417E04">
        <w:rPr>
          <w:spacing w:val="-3"/>
          <w:lang w:val="sv-SE"/>
        </w:rPr>
        <w:t>På grund av den epidemi som sjukdomen cov</w:t>
      </w:r>
      <w:r w:rsidR="0015543F">
        <w:rPr>
          <w:spacing w:val="-3"/>
          <w:lang w:val="sv-SE"/>
        </w:rPr>
        <w:t>id-19 (corona) orsakat har</w:t>
      </w:r>
      <w:r w:rsidRPr="00417E04">
        <w:rPr>
          <w:spacing w:val="-3"/>
          <w:lang w:val="sv-SE"/>
        </w:rPr>
        <w:t xml:space="preserve"> parterna i den europeiska överenskommelsen om internationell transport av farligt gods på väg (ADR) berett så kallade separata överenskommelser so</w:t>
      </w:r>
      <w:r>
        <w:rPr>
          <w:spacing w:val="-3"/>
          <w:lang w:val="sv-SE"/>
        </w:rPr>
        <w:t>m kan tillämpas i ett exception</w:t>
      </w:r>
      <w:r w:rsidRPr="00417E04">
        <w:rPr>
          <w:spacing w:val="-3"/>
          <w:lang w:val="sv-SE"/>
        </w:rPr>
        <w:t xml:space="preserve">ellt epidemiläge. Den separata överenskommelsen M324 gjorde det möjligt att under coronaepidemin undantagsvis förlänga giltighetstiden för ADR-körtillstånd för förare som transporterar farligt gods och för intyg för säkerhetsrådgivare i fråga om transport av farliga ämnen (TFÄ) på väg. Överenskommelsen </w:t>
      </w:r>
      <w:r w:rsidRPr="00417E04">
        <w:rPr>
          <w:spacing w:val="-3"/>
          <w:lang w:val="sv-SE"/>
        </w:rPr>
        <w:lastRenderedPageBreak/>
        <w:t xml:space="preserve">kunde tillämpas på de ADR-körtillstånd och intyg för säkerhetsrådgivare vars giltighetstid löpte ut mellan den 1 mars och den 1 november 2020. </w:t>
      </w:r>
    </w:p>
    <w:p w14:paraId="05C328C8" w14:textId="77777777" w:rsidR="00417E04" w:rsidRPr="00417E04" w:rsidRDefault="00417E04" w:rsidP="00417E04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417E04">
        <w:rPr>
          <w:spacing w:val="-3"/>
          <w:lang w:val="sv-SE"/>
        </w:rPr>
        <w:t>I och med att epidemin fortsätter föreslås den exceptionella förlängning av giltighetsti-den för ADR-körtillstånd och intyg för säkerhetsråd</w:t>
      </w:r>
      <w:r>
        <w:rPr>
          <w:spacing w:val="-3"/>
          <w:lang w:val="sv-SE"/>
        </w:rPr>
        <w:t>givare som den separata överens</w:t>
      </w:r>
      <w:r w:rsidRPr="00417E04">
        <w:rPr>
          <w:spacing w:val="-3"/>
          <w:lang w:val="sv-SE"/>
        </w:rPr>
        <w:t>kommelsen M324 möjliggjorde fortsätta genom den nya separata överenskommelsen M330. På samma sätt som med den separata överenskommelsen M324 är strävan också med överenskommelsen M330 att garantera att TFÄ-transporter som överensstämmer med kraven kan fortsätta också i det rådande läget. På grund av coronaepidemin går det inte nödvändigtvis att anordna de utbildningar och körprovstillfällen för ADR-körtillstånd som krävs för att förnya körtillstånden eller de provtillfällen som hänför sig till förnyandet av behörigheten för säkerhetsrådgiv</w:t>
      </w:r>
      <w:r>
        <w:rPr>
          <w:spacing w:val="-3"/>
          <w:lang w:val="sv-SE"/>
        </w:rPr>
        <w:t>are. Den separata överenskommel</w:t>
      </w:r>
      <w:r w:rsidRPr="00417E04">
        <w:rPr>
          <w:spacing w:val="-3"/>
          <w:lang w:val="sv-SE"/>
        </w:rPr>
        <w:t>sen M330 gäller de ADR-körtillstånd och intyg för säkerhetsrådgivare vars giltighetstid löper ut mellan den 1 mars 2020 och den 1 februari 2021. Den nya överenskommelsen M330 löper ut den 1 mars 2021.</w:t>
      </w:r>
    </w:p>
    <w:p w14:paraId="2B00255F" w14:textId="77777777" w:rsidR="00597DF9" w:rsidRPr="00CA62A7" w:rsidRDefault="00AD1C76" w:rsidP="00CA62A7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503034">
        <w:rPr>
          <w:color w:val="FF0000"/>
          <w:spacing w:val="-3"/>
          <w:lang w:val="sv-SE"/>
        </w:rPr>
        <w:tab/>
      </w:r>
      <w:r w:rsidR="00CA62A7" w:rsidRPr="00CA62A7">
        <w:rPr>
          <w:spacing w:val="-3"/>
          <w:lang w:val="sv-SE"/>
        </w:rPr>
        <w:t>Den separata överenskommelsen innehåller inte några</w:t>
      </w:r>
      <w:r w:rsidR="00CA62A7">
        <w:rPr>
          <w:spacing w:val="-3"/>
          <w:lang w:val="sv-SE"/>
        </w:rPr>
        <w:t xml:space="preserve"> bestämmelser som hör till områ</w:t>
      </w:r>
      <w:r w:rsidR="00CA62A7" w:rsidRPr="00CA62A7">
        <w:rPr>
          <w:spacing w:val="-3"/>
          <w:lang w:val="sv-SE"/>
        </w:rPr>
        <w:t>det för lagstiftningen. Ikraftsättandet sker således genom förordning av statsrådet.</w:t>
      </w:r>
    </w:p>
    <w:p w14:paraId="3FA68780" w14:textId="77777777" w:rsidR="00E2437D" w:rsidRPr="00E2437D" w:rsidRDefault="00E2437D" w:rsidP="00CA62A7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E2437D">
        <w:rPr>
          <w:spacing w:val="-3"/>
          <w:lang w:val="sv-SE"/>
        </w:rPr>
        <w:t xml:space="preserve">Transport- och kommunikationsverket undertecknade den separata överenskommelsen M330 för Finlands del den 23 november 2020 med stöd av 6 § 4 mom. i lagen om transport av farliga ämnen (719/1994). Bestämmelser </w:t>
      </w:r>
      <w:r>
        <w:rPr>
          <w:spacing w:val="-3"/>
          <w:lang w:val="sv-SE"/>
        </w:rPr>
        <w:t>om sättande i kraft av den sepa</w:t>
      </w:r>
      <w:r w:rsidRPr="00E2437D">
        <w:rPr>
          <w:spacing w:val="-3"/>
          <w:lang w:val="sv-SE"/>
        </w:rPr>
        <w:t>rata överenskommelsen finn</w:t>
      </w:r>
      <w:r w:rsidR="00CA62A7">
        <w:rPr>
          <w:spacing w:val="-3"/>
          <w:lang w:val="sv-SE"/>
        </w:rPr>
        <w:t>s i en förordning av statsrådet</w:t>
      </w:r>
      <w:r w:rsidRPr="00E2437D">
        <w:rPr>
          <w:spacing w:val="-3"/>
          <w:lang w:val="sv-SE"/>
        </w:rPr>
        <w:t xml:space="preserve"> (FördrS 104/</w:t>
      </w:r>
      <w:r>
        <w:rPr>
          <w:spacing w:val="-3"/>
          <w:lang w:val="sv-SE"/>
        </w:rPr>
        <w:t>2020)</w:t>
      </w:r>
      <w:r w:rsidRPr="00E2437D">
        <w:rPr>
          <w:spacing w:val="-3"/>
          <w:lang w:val="sv-SE"/>
        </w:rPr>
        <w:t>. Förordningen trädde i kraft den 30 november 2020.</w:t>
      </w:r>
    </w:p>
    <w:p w14:paraId="72A9191B" w14:textId="77777777" w:rsidR="00D84F8E" w:rsidRDefault="00D84F8E" w:rsidP="00D84F8E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D84F8E">
        <w:rPr>
          <w:spacing w:val="-3"/>
          <w:lang w:val="sv-SE"/>
        </w:rPr>
        <w:t>Enligt 18 § 21 punkten i självstyrelselagen har landskapet Åland lagstiftningsbehörighet i fråga om vägar och kanaler, vägtrafik, spårbunden trafik, båttrafik och farleder för den lokala sjötrafiken.</w:t>
      </w:r>
    </w:p>
    <w:p w14:paraId="5C351851" w14:textId="77777777" w:rsidR="00457276" w:rsidRPr="00417E04" w:rsidRDefault="006D35AE" w:rsidP="00417E04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9A1D8E" w:rsidRPr="009A1D8E">
        <w:rPr>
          <w:spacing w:val="-3"/>
          <w:lang w:val="sv-SE"/>
        </w:rPr>
        <w:t xml:space="preserve">Således måste Ålands lagtings godkännande i enlighet med 59 § 1 </w:t>
      </w:r>
      <w:r w:rsidR="009A1D8E">
        <w:rPr>
          <w:spacing w:val="-3"/>
          <w:lang w:val="sv-SE"/>
        </w:rPr>
        <w:t>mom. i självstyrelselagen inhäm</w:t>
      </w:r>
      <w:r w:rsidR="009A1D8E" w:rsidRPr="009A1D8E">
        <w:rPr>
          <w:spacing w:val="-3"/>
          <w:lang w:val="sv-SE"/>
        </w:rPr>
        <w:t xml:space="preserve">tas för att </w:t>
      </w:r>
      <w:r w:rsidR="00311545">
        <w:rPr>
          <w:spacing w:val="-3"/>
          <w:lang w:val="sv-SE"/>
        </w:rPr>
        <w:t>den nämnda ikraftträdelseförordningen för avtalet</w:t>
      </w:r>
      <w:r w:rsidR="00F678B7">
        <w:rPr>
          <w:spacing w:val="-3"/>
          <w:lang w:val="sv-SE"/>
        </w:rPr>
        <w:t xml:space="preserve"> </w:t>
      </w:r>
      <w:r w:rsidR="009A1D8E" w:rsidRPr="009A1D8E">
        <w:rPr>
          <w:spacing w:val="-3"/>
          <w:lang w:val="sv-SE"/>
        </w:rPr>
        <w:t>ska träda i kraft på Åland.</w:t>
      </w:r>
    </w:p>
    <w:p w14:paraId="7BF2D0D6" w14:textId="77777777" w:rsidR="00457276" w:rsidRDefault="00457276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14:paraId="2D4293C9" w14:textId="77777777" w:rsidR="00457276" w:rsidRDefault="00457276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14:paraId="6E2C4B2D" w14:textId="77777777" w:rsidR="00457276" w:rsidRDefault="00457276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14:paraId="344CF04A" w14:textId="77777777" w:rsidR="0002760D" w:rsidRDefault="0002760D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14:paraId="06AB12F0" w14:textId="77777777" w:rsidR="0015543F" w:rsidRDefault="0015543F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14:paraId="6C0242AC" w14:textId="77777777" w:rsidR="00E8488B" w:rsidRDefault="00E8488B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14:paraId="2DC4B73F" w14:textId="77777777" w:rsidR="00C13805" w:rsidRDefault="00C13805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14:paraId="6EB6C1FA" w14:textId="77777777" w:rsidR="00AA3FDB" w:rsidRPr="00E01B88" w:rsidRDefault="00AA3FDB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14:paraId="743C88B5" w14:textId="77777777" w:rsidR="00A11EF2" w:rsidRPr="00A17B6E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E01B88">
        <w:rPr>
          <w:color w:val="FF0000"/>
          <w:spacing w:val="-3"/>
          <w:lang w:val="sv-SE"/>
        </w:rPr>
        <w:lastRenderedPageBreak/>
        <w:tab/>
      </w:r>
      <w:r w:rsidR="00A11EF2" w:rsidRPr="00E01B88">
        <w:rPr>
          <w:spacing w:val="-3"/>
          <w:lang w:val="sv-SE"/>
        </w:rPr>
        <w:t>Med bifogande</w:t>
      </w:r>
      <w:r w:rsidR="00A11EF2" w:rsidRPr="00A17B6E">
        <w:rPr>
          <w:spacing w:val="-3"/>
          <w:lang w:val="sv-SE"/>
        </w:rPr>
        <w:t xml:space="preserve"> </w:t>
      </w:r>
      <w:r w:rsidR="00A11EF2" w:rsidRPr="00D84F8E">
        <w:rPr>
          <w:spacing w:val="-3"/>
          <w:lang w:val="sv-SE"/>
        </w:rPr>
        <w:t xml:space="preserve">av </w:t>
      </w:r>
      <w:r w:rsidR="00D84F8E" w:rsidRPr="00D84F8E">
        <w:rPr>
          <w:spacing w:val="-3"/>
          <w:lang w:val="sv-SE"/>
        </w:rPr>
        <w:t>statsrådets förordning</w:t>
      </w:r>
      <w:r w:rsidR="00503034">
        <w:rPr>
          <w:spacing w:val="-3"/>
          <w:lang w:val="sv-SE"/>
        </w:rPr>
        <w:t xml:space="preserve"> (</w:t>
      </w:r>
      <w:r w:rsidR="00226843">
        <w:rPr>
          <w:spacing w:val="-3"/>
          <w:lang w:val="sv-SE"/>
        </w:rPr>
        <w:t>104</w:t>
      </w:r>
      <w:r w:rsidR="00311545" w:rsidRPr="00226843">
        <w:rPr>
          <w:spacing w:val="-3"/>
          <w:lang w:val="sv-SE"/>
        </w:rPr>
        <w:t>/2020</w:t>
      </w:r>
      <w:r w:rsidR="00311545">
        <w:rPr>
          <w:spacing w:val="-3"/>
          <w:lang w:val="sv-SE"/>
        </w:rPr>
        <w:t>)</w:t>
      </w:r>
      <w:r w:rsidR="00F678B7" w:rsidRPr="00D84F8E">
        <w:rPr>
          <w:spacing w:val="-3"/>
          <w:lang w:val="sv-SE"/>
        </w:rPr>
        <w:t xml:space="preserve"> </w:t>
      </w:r>
      <w:r w:rsidR="00476994" w:rsidRPr="00D84F8E">
        <w:rPr>
          <w:spacing w:val="-3"/>
          <w:lang w:val="sv-SE"/>
        </w:rPr>
        <w:t xml:space="preserve">i </w:t>
      </w:r>
      <w:r w:rsidR="009C322F" w:rsidRPr="00D84F8E">
        <w:rPr>
          <w:spacing w:val="-3"/>
          <w:lang w:val="sv-SE"/>
        </w:rPr>
        <w:t>saken</w:t>
      </w:r>
      <w:r w:rsidR="00752AF9">
        <w:rPr>
          <w:spacing w:val="-3"/>
          <w:lang w:val="sv-SE"/>
        </w:rPr>
        <w:t>,</w:t>
      </w:r>
      <w:r w:rsidR="00F678B7">
        <w:rPr>
          <w:spacing w:val="-3"/>
          <w:lang w:val="sv-SE"/>
        </w:rPr>
        <w:t xml:space="preserve">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14:paraId="51556F61" w14:textId="77777777" w:rsidR="004D6A89" w:rsidRPr="00C04892" w:rsidRDefault="004D6A89" w:rsidP="007B0820">
      <w:pPr>
        <w:spacing w:line="360" w:lineRule="auto"/>
        <w:ind w:left="567" w:firstLine="737"/>
        <w:jc w:val="both"/>
        <w:outlineLvl w:val="0"/>
        <w:rPr>
          <w:color w:val="FF0000"/>
          <w:lang w:val="sv-SE"/>
        </w:rPr>
      </w:pPr>
    </w:p>
    <w:p w14:paraId="559EBE2B" w14:textId="77777777" w:rsidR="009F29D0" w:rsidRDefault="00A11EF2" w:rsidP="00A11EF2">
      <w:pPr>
        <w:pStyle w:val="Brdtextmedindrag"/>
      </w:pPr>
      <w:r w:rsidRPr="00476994">
        <w:t>att Ålands la</w:t>
      </w:r>
      <w:r w:rsidR="00123510" w:rsidRPr="00476994">
        <w:t xml:space="preserve">gting ger sitt bifall till </w:t>
      </w:r>
      <w:r w:rsidR="00123510" w:rsidRPr="00D84F8E">
        <w:t xml:space="preserve">att </w:t>
      </w:r>
      <w:r w:rsidR="00D84F8E" w:rsidRPr="00D84F8E">
        <w:t>förordningen</w:t>
      </w:r>
      <w:r w:rsidR="00882B81" w:rsidRPr="00D84F8E">
        <w:t xml:space="preserve"> träder</w:t>
      </w:r>
      <w:r w:rsidR="00882B81">
        <w:t xml:space="preserve"> i kraft </w:t>
      </w:r>
      <w:r w:rsidR="00841846">
        <w:t xml:space="preserve">på </w:t>
      </w:r>
      <w:r w:rsidR="00F678B7">
        <w:t xml:space="preserve">Åland till </w:t>
      </w:r>
      <w:r w:rsidR="00F678B7" w:rsidRPr="00D84F8E">
        <w:t xml:space="preserve">de </w:t>
      </w:r>
      <w:r w:rsidR="00AC49F1">
        <w:t>delar överenskommelsen</w:t>
      </w:r>
      <w:r w:rsidR="00C4438D" w:rsidRPr="00D84F8E">
        <w:t xml:space="preserve"> </w:t>
      </w:r>
      <w:r w:rsidR="00882B81" w:rsidRPr="00D84F8E">
        <w:t>faller</w:t>
      </w:r>
      <w:r w:rsidR="00882B81">
        <w:t xml:space="preserve"> inom landskapets behöri</w:t>
      </w:r>
      <w:r w:rsidR="00882B81">
        <w:t>g</w:t>
      </w:r>
      <w:r w:rsidR="00882B81">
        <w:t>het.</w:t>
      </w:r>
    </w:p>
    <w:p w14:paraId="45F260F8" w14:textId="77777777" w:rsidR="006D35AE" w:rsidRDefault="006D35AE" w:rsidP="006D35AE">
      <w:pPr>
        <w:pStyle w:val="Brdtextmedindrag"/>
        <w:ind w:left="0"/>
      </w:pPr>
    </w:p>
    <w:p w14:paraId="7E7EF2C4" w14:textId="77777777" w:rsidR="00F21913" w:rsidRPr="00A17B6E" w:rsidRDefault="00F21913" w:rsidP="00A11EF2">
      <w:pPr>
        <w:pStyle w:val="Brdtextmedindrag"/>
      </w:pPr>
    </w:p>
    <w:p w14:paraId="67343FE3" w14:textId="77777777"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9855CA">
        <w:rPr>
          <w:spacing w:val="-3"/>
          <w:lang w:val="sv-SE"/>
        </w:rPr>
        <w:t>17 december</w:t>
      </w:r>
      <w:r w:rsidR="006A63AA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6A63AA">
        <w:rPr>
          <w:spacing w:val="-3"/>
          <w:lang w:val="sv-SE"/>
        </w:rPr>
        <w:t>20</w:t>
      </w:r>
    </w:p>
    <w:p w14:paraId="5A83DCE0" w14:textId="77777777"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14:paraId="0FBD6F6B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>R e p u b l i k e n s   P r e s i d e n t</w:t>
      </w:r>
    </w:p>
    <w:p w14:paraId="716820E1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42C23CBE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30A1192B" w14:textId="77777777"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2F4F5FC9" w14:textId="77777777"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131A81B5" w14:textId="77777777"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7AEEAE81" w14:textId="77777777" w:rsidR="00A11EF2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07F9C">
        <w:rPr>
          <w:spacing w:val="-3"/>
        </w:rPr>
        <w:t>SAULI NIINISTÖ</w:t>
      </w:r>
    </w:p>
    <w:p w14:paraId="31A97C15" w14:textId="77777777" w:rsidR="00EF104B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4E09F6CA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6F4D6FF5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08CCFC46" w14:textId="77777777" w:rsidR="00A11EF2" w:rsidRPr="00A07F9C" w:rsidRDefault="00A11EF2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3AF6BD0E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26BFA1B2" w14:textId="77777777" w:rsidR="0002760D" w:rsidRPr="00A07F9C" w:rsidRDefault="0002760D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20AAFAD0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5A64CC89" w14:textId="77777777" w:rsidR="0002760D" w:rsidRPr="00A07F9C" w:rsidRDefault="00A11EF2" w:rsidP="00AD533D">
      <w:pPr>
        <w:tabs>
          <w:tab w:val="left" w:pos="567"/>
        </w:tabs>
        <w:spacing w:line="360" w:lineRule="auto"/>
        <w:rPr>
          <w:spacing w:val="-3"/>
        </w:rPr>
      </w:pP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="00C80B4B" w:rsidRPr="00A07F9C">
        <w:rPr>
          <w:spacing w:val="-3"/>
        </w:rPr>
        <w:tab/>
        <w:t>Justitieminister Anna-Maja Henriksson</w:t>
      </w:r>
    </w:p>
    <w:p w14:paraId="68078ED7" w14:textId="77777777" w:rsidR="0002760D" w:rsidRPr="00A07F9C" w:rsidRDefault="0002760D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04FFBD9A" w14:textId="77777777" w:rsidR="00AA3FDB" w:rsidRPr="00A07F9C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62197B35" w14:textId="77777777" w:rsidR="00AA3FDB" w:rsidRPr="00A07F9C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06989E4A" w14:textId="77777777" w:rsidR="00AA3FDB" w:rsidRPr="00A07F9C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27FD1DEE" w14:textId="77777777" w:rsidR="00AA3FDB" w:rsidRPr="00A07F9C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3471EAE9" w14:textId="77777777" w:rsidR="00AA3FDB" w:rsidRPr="00A07F9C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114DB002" w14:textId="77777777" w:rsidR="00AA3FDB" w:rsidRPr="00A07F9C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6C65FB84" w14:textId="77777777" w:rsidR="00AA3FDB" w:rsidRPr="00A07F9C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1F6ED909" w14:textId="77777777" w:rsidR="00AA3FDB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7A88FF44" w14:textId="77777777" w:rsidR="00A07F9C" w:rsidRDefault="00A07F9C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74B5BB1A" w14:textId="77777777" w:rsidR="00C13805" w:rsidRDefault="00C13805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7AD7C7C2" w14:textId="77777777" w:rsidR="00C13805" w:rsidRDefault="00C13805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43174C4C" w14:textId="77777777" w:rsidR="00C13805" w:rsidRDefault="00C13805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6FD6CBF5" w14:textId="77777777" w:rsidR="00A07F9C" w:rsidRPr="00A07F9C" w:rsidRDefault="00A07F9C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1E5B79BB" w14:textId="77777777" w:rsidR="00FC6FDD" w:rsidRPr="00A07F9C" w:rsidRDefault="00FC6FDD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3659BB00" w14:textId="77777777" w:rsidR="00C70D0A" w:rsidRPr="00503034" w:rsidRDefault="006D35AE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 w:rsidRPr="00503034">
        <w:rPr>
          <w:spacing w:val="-3"/>
          <w:sz w:val="16"/>
          <w:szCs w:val="16"/>
          <w:lang w:val="sv-SE"/>
        </w:rPr>
        <w:lastRenderedPageBreak/>
        <w:t>VN/</w:t>
      </w:r>
      <w:r w:rsidR="00503034" w:rsidRPr="00503034">
        <w:rPr>
          <w:spacing w:val="-3"/>
          <w:sz w:val="16"/>
          <w:szCs w:val="16"/>
          <w:lang w:val="sv-SE"/>
        </w:rPr>
        <w:t>27247</w:t>
      </w:r>
      <w:r w:rsidR="00883730" w:rsidRPr="00503034">
        <w:rPr>
          <w:spacing w:val="-3"/>
          <w:sz w:val="16"/>
          <w:szCs w:val="16"/>
          <w:lang w:val="sv-SE"/>
        </w:rPr>
        <w:t>/</w:t>
      </w:r>
      <w:r w:rsidR="00A07F9C" w:rsidRPr="00503034">
        <w:rPr>
          <w:spacing w:val="-3"/>
          <w:sz w:val="16"/>
          <w:szCs w:val="16"/>
          <w:lang w:val="sv-SE"/>
        </w:rPr>
        <w:t>2020</w:t>
      </w:r>
    </w:p>
    <w:sectPr w:rsidR="00C70D0A" w:rsidRPr="00503034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1707E" w14:textId="77777777" w:rsidR="00A47228" w:rsidRDefault="00A47228">
      <w:r>
        <w:separator/>
      </w:r>
    </w:p>
  </w:endnote>
  <w:endnote w:type="continuationSeparator" w:id="0">
    <w:p w14:paraId="43E75E1A" w14:textId="77777777" w:rsidR="00A47228" w:rsidRDefault="00A4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7AE17" w14:textId="77777777" w:rsidR="00A47228" w:rsidRDefault="00A47228">
      <w:r>
        <w:separator/>
      </w:r>
    </w:p>
  </w:footnote>
  <w:footnote w:type="continuationSeparator" w:id="0">
    <w:p w14:paraId="4CCF4DB7" w14:textId="77777777" w:rsidR="00A47228" w:rsidRDefault="00A4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805D1" w14:textId="77777777"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1"/>
    <w:rsid w:val="00003CFC"/>
    <w:rsid w:val="00003FE1"/>
    <w:rsid w:val="00011AD3"/>
    <w:rsid w:val="0001459B"/>
    <w:rsid w:val="00014B85"/>
    <w:rsid w:val="000208B7"/>
    <w:rsid w:val="00020A55"/>
    <w:rsid w:val="00022CB0"/>
    <w:rsid w:val="0002760D"/>
    <w:rsid w:val="000327F1"/>
    <w:rsid w:val="00036F54"/>
    <w:rsid w:val="000422AD"/>
    <w:rsid w:val="000425E8"/>
    <w:rsid w:val="000426F4"/>
    <w:rsid w:val="0004295E"/>
    <w:rsid w:val="00043F16"/>
    <w:rsid w:val="00051E74"/>
    <w:rsid w:val="00052AD1"/>
    <w:rsid w:val="000601D6"/>
    <w:rsid w:val="00083F54"/>
    <w:rsid w:val="000A1750"/>
    <w:rsid w:val="000A18F8"/>
    <w:rsid w:val="000A7921"/>
    <w:rsid w:val="000B1A05"/>
    <w:rsid w:val="000B4B66"/>
    <w:rsid w:val="000C09B9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34C8"/>
    <w:rsid w:val="001145EF"/>
    <w:rsid w:val="0011564E"/>
    <w:rsid w:val="0011799B"/>
    <w:rsid w:val="00117C91"/>
    <w:rsid w:val="00122BD5"/>
    <w:rsid w:val="00122C9C"/>
    <w:rsid w:val="00123510"/>
    <w:rsid w:val="00124529"/>
    <w:rsid w:val="00125E36"/>
    <w:rsid w:val="0013015A"/>
    <w:rsid w:val="001375A0"/>
    <w:rsid w:val="00143AA4"/>
    <w:rsid w:val="001537EE"/>
    <w:rsid w:val="0015543F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93E3B"/>
    <w:rsid w:val="001A3747"/>
    <w:rsid w:val="001B760F"/>
    <w:rsid w:val="001C0C5E"/>
    <w:rsid w:val="001C305E"/>
    <w:rsid w:val="001E58CF"/>
    <w:rsid w:val="001E6661"/>
    <w:rsid w:val="001F16AC"/>
    <w:rsid w:val="001F6910"/>
    <w:rsid w:val="00200F7C"/>
    <w:rsid w:val="00207582"/>
    <w:rsid w:val="0021587D"/>
    <w:rsid w:val="00216122"/>
    <w:rsid w:val="002203FD"/>
    <w:rsid w:val="00221393"/>
    <w:rsid w:val="002221DA"/>
    <w:rsid w:val="00226843"/>
    <w:rsid w:val="002270C1"/>
    <w:rsid w:val="00231ED7"/>
    <w:rsid w:val="00232424"/>
    <w:rsid w:val="00236C7F"/>
    <w:rsid w:val="00237784"/>
    <w:rsid w:val="002416D9"/>
    <w:rsid w:val="00250379"/>
    <w:rsid w:val="00253700"/>
    <w:rsid w:val="00260723"/>
    <w:rsid w:val="00265371"/>
    <w:rsid w:val="00265B6D"/>
    <w:rsid w:val="0027040F"/>
    <w:rsid w:val="00276CA2"/>
    <w:rsid w:val="00276F88"/>
    <w:rsid w:val="00280F67"/>
    <w:rsid w:val="00281E7B"/>
    <w:rsid w:val="0028279A"/>
    <w:rsid w:val="002903BA"/>
    <w:rsid w:val="00290FCB"/>
    <w:rsid w:val="00291B24"/>
    <w:rsid w:val="0029342B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55F0"/>
    <w:rsid w:val="002E5859"/>
    <w:rsid w:val="002F0EBF"/>
    <w:rsid w:val="00301679"/>
    <w:rsid w:val="00311545"/>
    <w:rsid w:val="003177BA"/>
    <w:rsid w:val="00323411"/>
    <w:rsid w:val="00332BF9"/>
    <w:rsid w:val="00332FCB"/>
    <w:rsid w:val="00335DA6"/>
    <w:rsid w:val="00343DF2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0835"/>
    <w:rsid w:val="00381021"/>
    <w:rsid w:val="00381856"/>
    <w:rsid w:val="00383562"/>
    <w:rsid w:val="00392320"/>
    <w:rsid w:val="003965B9"/>
    <w:rsid w:val="00397616"/>
    <w:rsid w:val="003A0698"/>
    <w:rsid w:val="003A6560"/>
    <w:rsid w:val="003A6EB5"/>
    <w:rsid w:val="003A72F7"/>
    <w:rsid w:val="003B5633"/>
    <w:rsid w:val="003C15DC"/>
    <w:rsid w:val="003C2F81"/>
    <w:rsid w:val="003C5805"/>
    <w:rsid w:val="003C60A4"/>
    <w:rsid w:val="003D40A0"/>
    <w:rsid w:val="003D6888"/>
    <w:rsid w:val="003E1F46"/>
    <w:rsid w:val="003E6A86"/>
    <w:rsid w:val="003F3177"/>
    <w:rsid w:val="00413524"/>
    <w:rsid w:val="00415E7B"/>
    <w:rsid w:val="00417E04"/>
    <w:rsid w:val="00436920"/>
    <w:rsid w:val="00437DE7"/>
    <w:rsid w:val="00446085"/>
    <w:rsid w:val="004503CE"/>
    <w:rsid w:val="0045075D"/>
    <w:rsid w:val="00452BB5"/>
    <w:rsid w:val="00457276"/>
    <w:rsid w:val="00461C6E"/>
    <w:rsid w:val="00465007"/>
    <w:rsid w:val="004712C8"/>
    <w:rsid w:val="004718D9"/>
    <w:rsid w:val="00472874"/>
    <w:rsid w:val="00473482"/>
    <w:rsid w:val="00476994"/>
    <w:rsid w:val="0048547C"/>
    <w:rsid w:val="00490F05"/>
    <w:rsid w:val="00491C47"/>
    <w:rsid w:val="004977EB"/>
    <w:rsid w:val="004A4324"/>
    <w:rsid w:val="004A4D06"/>
    <w:rsid w:val="004A59C4"/>
    <w:rsid w:val="004B7FFC"/>
    <w:rsid w:val="004C60BC"/>
    <w:rsid w:val="004D1E69"/>
    <w:rsid w:val="004D3BEA"/>
    <w:rsid w:val="004D521D"/>
    <w:rsid w:val="004D6A89"/>
    <w:rsid w:val="004E657F"/>
    <w:rsid w:val="004E7E6E"/>
    <w:rsid w:val="004F202B"/>
    <w:rsid w:val="004F3D5F"/>
    <w:rsid w:val="00502CE8"/>
    <w:rsid w:val="00503034"/>
    <w:rsid w:val="005059B8"/>
    <w:rsid w:val="00507A09"/>
    <w:rsid w:val="00514EA8"/>
    <w:rsid w:val="00515EEB"/>
    <w:rsid w:val="005161D2"/>
    <w:rsid w:val="005161E4"/>
    <w:rsid w:val="00526BF7"/>
    <w:rsid w:val="005307A2"/>
    <w:rsid w:val="005520A3"/>
    <w:rsid w:val="00556822"/>
    <w:rsid w:val="00563FFC"/>
    <w:rsid w:val="005658A6"/>
    <w:rsid w:val="00570BD9"/>
    <w:rsid w:val="00597DF9"/>
    <w:rsid w:val="005A1A4A"/>
    <w:rsid w:val="005B0642"/>
    <w:rsid w:val="005B20CE"/>
    <w:rsid w:val="005B47AF"/>
    <w:rsid w:val="005B4E54"/>
    <w:rsid w:val="005B69AD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39E2"/>
    <w:rsid w:val="00624320"/>
    <w:rsid w:val="00637022"/>
    <w:rsid w:val="00637A55"/>
    <w:rsid w:val="006416A0"/>
    <w:rsid w:val="00643DAB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66D9"/>
    <w:rsid w:val="00677B7C"/>
    <w:rsid w:val="00683F34"/>
    <w:rsid w:val="00691F5E"/>
    <w:rsid w:val="0069383A"/>
    <w:rsid w:val="00697911"/>
    <w:rsid w:val="006A03AA"/>
    <w:rsid w:val="006A0B33"/>
    <w:rsid w:val="006A4686"/>
    <w:rsid w:val="006A60F5"/>
    <w:rsid w:val="006A63AA"/>
    <w:rsid w:val="006A7F65"/>
    <w:rsid w:val="006B24EE"/>
    <w:rsid w:val="006B6070"/>
    <w:rsid w:val="006B6796"/>
    <w:rsid w:val="006B6A24"/>
    <w:rsid w:val="006C3692"/>
    <w:rsid w:val="006D1F80"/>
    <w:rsid w:val="006D35AE"/>
    <w:rsid w:val="006D49D2"/>
    <w:rsid w:val="006E0AC3"/>
    <w:rsid w:val="006E2F1B"/>
    <w:rsid w:val="006E2F1E"/>
    <w:rsid w:val="006E64AC"/>
    <w:rsid w:val="006E7843"/>
    <w:rsid w:val="006E7E05"/>
    <w:rsid w:val="006F2995"/>
    <w:rsid w:val="006F3929"/>
    <w:rsid w:val="00705A8B"/>
    <w:rsid w:val="00716139"/>
    <w:rsid w:val="0072520C"/>
    <w:rsid w:val="00751D53"/>
    <w:rsid w:val="00752AF9"/>
    <w:rsid w:val="00756A81"/>
    <w:rsid w:val="0076141A"/>
    <w:rsid w:val="00761EFD"/>
    <w:rsid w:val="0077393B"/>
    <w:rsid w:val="0077662A"/>
    <w:rsid w:val="00776EEE"/>
    <w:rsid w:val="007834BE"/>
    <w:rsid w:val="00783A84"/>
    <w:rsid w:val="00790C77"/>
    <w:rsid w:val="00795BA8"/>
    <w:rsid w:val="00796614"/>
    <w:rsid w:val="007A6874"/>
    <w:rsid w:val="007A7497"/>
    <w:rsid w:val="007A78AF"/>
    <w:rsid w:val="007B0820"/>
    <w:rsid w:val="007B3814"/>
    <w:rsid w:val="007C3C94"/>
    <w:rsid w:val="007C413E"/>
    <w:rsid w:val="007C42E2"/>
    <w:rsid w:val="007C51A2"/>
    <w:rsid w:val="007C5E75"/>
    <w:rsid w:val="007D4E7D"/>
    <w:rsid w:val="007E567A"/>
    <w:rsid w:val="007E6B0B"/>
    <w:rsid w:val="007F2A3B"/>
    <w:rsid w:val="007F320D"/>
    <w:rsid w:val="007F381D"/>
    <w:rsid w:val="007F3B68"/>
    <w:rsid w:val="007F486A"/>
    <w:rsid w:val="007F5958"/>
    <w:rsid w:val="00802370"/>
    <w:rsid w:val="008204D3"/>
    <w:rsid w:val="008215EC"/>
    <w:rsid w:val="0082355C"/>
    <w:rsid w:val="00837EE4"/>
    <w:rsid w:val="00841846"/>
    <w:rsid w:val="0084292C"/>
    <w:rsid w:val="0084621E"/>
    <w:rsid w:val="0085192A"/>
    <w:rsid w:val="00856867"/>
    <w:rsid w:val="00861405"/>
    <w:rsid w:val="00862FA7"/>
    <w:rsid w:val="0086419A"/>
    <w:rsid w:val="00870D8A"/>
    <w:rsid w:val="00873706"/>
    <w:rsid w:val="00874F7C"/>
    <w:rsid w:val="00875D04"/>
    <w:rsid w:val="00882B81"/>
    <w:rsid w:val="00883730"/>
    <w:rsid w:val="00893942"/>
    <w:rsid w:val="008A0119"/>
    <w:rsid w:val="008A5599"/>
    <w:rsid w:val="008B0B1E"/>
    <w:rsid w:val="008B1BC2"/>
    <w:rsid w:val="008B72A2"/>
    <w:rsid w:val="008D721C"/>
    <w:rsid w:val="008E4468"/>
    <w:rsid w:val="008E709A"/>
    <w:rsid w:val="008F0282"/>
    <w:rsid w:val="008F4AB0"/>
    <w:rsid w:val="008F7A36"/>
    <w:rsid w:val="00902321"/>
    <w:rsid w:val="00910573"/>
    <w:rsid w:val="0091123B"/>
    <w:rsid w:val="00917F48"/>
    <w:rsid w:val="009205BD"/>
    <w:rsid w:val="00926871"/>
    <w:rsid w:val="0093141A"/>
    <w:rsid w:val="00944E9D"/>
    <w:rsid w:val="0094506D"/>
    <w:rsid w:val="00945714"/>
    <w:rsid w:val="00952AB4"/>
    <w:rsid w:val="009625FB"/>
    <w:rsid w:val="00962FEA"/>
    <w:rsid w:val="009709DF"/>
    <w:rsid w:val="00971C1F"/>
    <w:rsid w:val="00973D48"/>
    <w:rsid w:val="00974F1B"/>
    <w:rsid w:val="0098102A"/>
    <w:rsid w:val="00983C29"/>
    <w:rsid w:val="009855CA"/>
    <w:rsid w:val="009911A9"/>
    <w:rsid w:val="00997391"/>
    <w:rsid w:val="009A0415"/>
    <w:rsid w:val="009A1D8E"/>
    <w:rsid w:val="009A1F83"/>
    <w:rsid w:val="009A2F09"/>
    <w:rsid w:val="009B208D"/>
    <w:rsid w:val="009B48C9"/>
    <w:rsid w:val="009B5301"/>
    <w:rsid w:val="009C322F"/>
    <w:rsid w:val="009C57DD"/>
    <w:rsid w:val="009D1A4B"/>
    <w:rsid w:val="009E1AEF"/>
    <w:rsid w:val="009E7F0A"/>
    <w:rsid w:val="009F0B53"/>
    <w:rsid w:val="009F29D0"/>
    <w:rsid w:val="009F407B"/>
    <w:rsid w:val="00A015DC"/>
    <w:rsid w:val="00A01C49"/>
    <w:rsid w:val="00A037AD"/>
    <w:rsid w:val="00A04A6D"/>
    <w:rsid w:val="00A05B59"/>
    <w:rsid w:val="00A06971"/>
    <w:rsid w:val="00A07F9C"/>
    <w:rsid w:val="00A11EF2"/>
    <w:rsid w:val="00A1292D"/>
    <w:rsid w:val="00A169B7"/>
    <w:rsid w:val="00A17B6E"/>
    <w:rsid w:val="00A21E16"/>
    <w:rsid w:val="00A22BA4"/>
    <w:rsid w:val="00A23A37"/>
    <w:rsid w:val="00A265FC"/>
    <w:rsid w:val="00A32790"/>
    <w:rsid w:val="00A34732"/>
    <w:rsid w:val="00A4132E"/>
    <w:rsid w:val="00A46014"/>
    <w:rsid w:val="00A47228"/>
    <w:rsid w:val="00A5521E"/>
    <w:rsid w:val="00A64AE2"/>
    <w:rsid w:val="00A728D2"/>
    <w:rsid w:val="00A75BBA"/>
    <w:rsid w:val="00A919CE"/>
    <w:rsid w:val="00A96169"/>
    <w:rsid w:val="00AA2664"/>
    <w:rsid w:val="00AA3FDB"/>
    <w:rsid w:val="00AA506E"/>
    <w:rsid w:val="00AA593C"/>
    <w:rsid w:val="00AC49F1"/>
    <w:rsid w:val="00AC6C1B"/>
    <w:rsid w:val="00AC730A"/>
    <w:rsid w:val="00AD1C76"/>
    <w:rsid w:val="00AD43BB"/>
    <w:rsid w:val="00AD533D"/>
    <w:rsid w:val="00AF265A"/>
    <w:rsid w:val="00AF4FA3"/>
    <w:rsid w:val="00B01D06"/>
    <w:rsid w:val="00B0380A"/>
    <w:rsid w:val="00B05612"/>
    <w:rsid w:val="00B07CE4"/>
    <w:rsid w:val="00B1014E"/>
    <w:rsid w:val="00B1089B"/>
    <w:rsid w:val="00B1559F"/>
    <w:rsid w:val="00B22647"/>
    <w:rsid w:val="00B42190"/>
    <w:rsid w:val="00B4448B"/>
    <w:rsid w:val="00B532D0"/>
    <w:rsid w:val="00B56732"/>
    <w:rsid w:val="00B56A43"/>
    <w:rsid w:val="00B61EF3"/>
    <w:rsid w:val="00B6239E"/>
    <w:rsid w:val="00B63788"/>
    <w:rsid w:val="00B64B9A"/>
    <w:rsid w:val="00B725A7"/>
    <w:rsid w:val="00B73673"/>
    <w:rsid w:val="00B743EA"/>
    <w:rsid w:val="00B813C6"/>
    <w:rsid w:val="00B83B57"/>
    <w:rsid w:val="00B856CE"/>
    <w:rsid w:val="00B87C26"/>
    <w:rsid w:val="00B87ECA"/>
    <w:rsid w:val="00B91D51"/>
    <w:rsid w:val="00B95EDF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D49DD"/>
    <w:rsid w:val="00BE1302"/>
    <w:rsid w:val="00BE6202"/>
    <w:rsid w:val="00BF1856"/>
    <w:rsid w:val="00BF6277"/>
    <w:rsid w:val="00C00941"/>
    <w:rsid w:val="00C0316E"/>
    <w:rsid w:val="00C04892"/>
    <w:rsid w:val="00C101D8"/>
    <w:rsid w:val="00C1157B"/>
    <w:rsid w:val="00C13805"/>
    <w:rsid w:val="00C169BC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4ADF"/>
    <w:rsid w:val="00C658FF"/>
    <w:rsid w:val="00C70D0A"/>
    <w:rsid w:val="00C807B1"/>
    <w:rsid w:val="00C80829"/>
    <w:rsid w:val="00C80B4B"/>
    <w:rsid w:val="00C84169"/>
    <w:rsid w:val="00C85387"/>
    <w:rsid w:val="00CA4FBB"/>
    <w:rsid w:val="00CA62A7"/>
    <w:rsid w:val="00CB1388"/>
    <w:rsid w:val="00CB38A6"/>
    <w:rsid w:val="00CC049E"/>
    <w:rsid w:val="00CC2104"/>
    <w:rsid w:val="00CC3A27"/>
    <w:rsid w:val="00CD5AAF"/>
    <w:rsid w:val="00CE50C5"/>
    <w:rsid w:val="00CE759E"/>
    <w:rsid w:val="00CF0FB2"/>
    <w:rsid w:val="00CF6C4D"/>
    <w:rsid w:val="00D029B0"/>
    <w:rsid w:val="00D048BE"/>
    <w:rsid w:val="00D05F54"/>
    <w:rsid w:val="00D3118F"/>
    <w:rsid w:val="00D3594D"/>
    <w:rsid w:val="00D361B0"/>
    <w:rsid w:val="00D37D72"/>
    <w:rsid w:val="00D4441D"/>
    <w:rsid w:val="00D44A46"/>
    <w:rsid w:val="00D47099"/>
    <w:rsid w:val="00D52F81"/>
    <w:rsid w:val="00D53400"/>
    <w:rsid w:val="00D60DF6"/>
    <w:rsid w:val="00D61BEF"/>
    <w:rsid w:val="00D6407D"/>
    <w:rsid w:val="00D65EFD"/>
    <w:rsid w:val="00D73D43"/>
    <w:rsid w:val="00D77537"/>
    <w:rsid w:val="00D818A4"/>
    <w:rsid w:val="00D84F8E"/>
    <w:rsid w:val="00D8761F"/>
    <w:rsid w:val="00D90488"/>
    <w:rsid w:val="00D951E3"/>
    <w:rsid w:val="00D97ACD"/>
    <w:rsid w:val="00DA3538"/>
    <w:rsid w:val="00DB42B8"/>
    <w:rsid w:val="00DC438B"/>
    <w:rsid w:val="00DC7566"/>
    <w:rsid w:val="00DD7F87"/>
    <w:rsid w:val="00DE1A68"/>
    <w:rsid w:val="00DE47E6"/>
    <w:rsid w:val="00DE51BC"/>
    <w:rsid w:val="00DE5707"/>
    <w:rsid w:val="00DE7F2E"/>
    <w:rsid w:val="00DF1F65"/>
    <w:rsid w:val="00E01B88"/>
    <w:rsid w:val="00E1101C"/>
    <w:rsid w:val="00E13FBE"/>
    <w:rsid w:val="00E222FC"/>
    <w:rsid w:val="00E2437D"/>
    <w:rsid w:val="00E3161A"/>
    <w:rsid w:val="00E43366"/>
    <w:rsid w:val="00E464F9"/>
    <w:rsid w:val="00E56964"/>
    <w:rsid w:val="00E67A57"/>
    <w:rsid w:val="00E82374"/>
    <w:rsid w:val="00E8488B"/>
    <w:rsid w:val="00E91913"/>
    <w:rsid w:val="00E93B96"/>
    <w:rsid w:val="00E94E27"/>
    <w:rsid w:val="00E97052"/>
    <w:rsid w:val="00EA0672"/>
    <w:rsid w:val="00EA31B1"/>
    <w:rsid w:val="00EA3A60"/>
    <w:rsid w:val="00EA526E"/>
    <w:rsid w:val="00EA52FE"/>
    <w:rsid w:val="00EB3470"/>
    <w:rsid w:val="00EB34F4"/>
    <w:rsid w:val="00EB3839"/>
    <w:rsid w:val="00EC2A1C"/>
    <w:rsid w:val="00EC642F"/>
    <w:rsid w:val="00EC69D7"/>
    <w:rsid w:val="00ED489F"/>
    <w:rsid w:val="00EE28A5"/>
    <w:rsid w:val="00EE2B38"/>
    <w:rsid w:val="00EE3124"/>
    <w:rsid w:val="00EE3FDB"/>
    <w:rsid w:val="00EF104B"/>
    <w:rsid w:val="00EF25B4"/>
    <w:rsid w:val="00EF7BA4"/>
    <w:rsid w:val="00F01D84"/>
    <w:rsid w:val="00F045E0"/>
    <w:rsid w:val="00F0797D"/>
    <w:rsid w:val="00F145F8"/>
    <w:rsid w:val="00F21478"/>
    <w:rsid w:val="00F21913"/>
    <w:rsid w:val="00F263BB"/>
    <w:rsid w:val="00F26809"/>
    <w:rsid w:val="00F3229D"/>
    <w:rsid w:val="00F32D0B"/>
    <w:rsid w:val="00F45F2A"/>
    <w:rsid w:val="00F47CC9"/>
    <w:rsid w:val="00F62B5D"/>
    <w:rsid w:val="00F63E3F"/>
    <w:rsid w:val="00F64FE5"/>
    <w:rsid w:val="00F66493"/>
    <w:rsid w:val="00F6685A"/>
    <w:rsid w:val="00F678B7"/>
    <w:rsid w:val="00F70960"/>
    <w:rsid w:val="00F70BDB"/>
    <w:rsid w:val="00F71011"/>
    <w:rsid w:val="00F720DA"/>
    <w:rsid w:val="00F73C68"/>
    <w:rsid w:val="00F7405A"/>
    <w:rsid w:val="00F7732E"/>
    <w:rsid w:val="00F84529"/>
    <w:rsid w:val="00F97BE1"/>
    <w:rsid w:val="00FA17D8"/>
    <w:rsid w:val="00FA1EEA"/>
    <w:rsid w:val="00FA594A"/>
    <w:rsid w:val="00FA6F4F"/>
    <w:rsid w:val="00FB0734"/>
    <w:rsid w:val="00FB67B9"/>
    <w:rsid w:val="00FC6FDD"/>
    <w:rsid w:val="00FC7152"/>
    <w:rsid w:val="00FE1787"/>
    <w:rsid w:val="00FE1EC6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73321"/>
  <w14:defaultImageDpi w14:val="0"/>
  <w15:docId w15:val="{FC0FBEC1-23C2-4DE1-9F47-D04DD3B8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character" w:styleId="Diskretbetoning">
    <w:name w:val="Subtle Emphasis"/>
    <w:basedOn w:val="Standardstycketeckensnitt"/>
    <w:uiPriority w:val="19"/>
    <w:qFormat/>
    <w:rsid w:val="00F678B7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6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175BD-BC6C-4D90-914E-B6C6C30E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723</Words>
  <Characters>3835</Characters>
  <Application>Microsoft Office Word</Application>
  <DocSecurity>0</DocSecurity>
  <Lines>31</Lines>
  <Paragraphs>9</Paragraphs>
  <ScaleCrop>false</ScaleCrop>
  <Company>OIKEUSMINISTERIÖ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Enegren-Åberg Jannika</dc:creator>
  <cp:keywords/>
  <dc:description/>
  <cp:lastModifiedBy>Jessica Laaksonen</cp:lastModifiedBy>
  <cp:revision>2</cp:revision>
  <cp:lastPrinted>2020-04-14T05:45:00Z</cp:lastPrinted>
  <dcterms:created xsi:type="dcterms:W3CDTF">2021-01-28T13:17:00Z</dcterms:created>
  <dcterms:modified xsi:type="dcterms:W3CDTF">2021-01-28T13:17:00Z</dcterms:modified>
</cp:coreProperties>
</file>