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602"/>
        <w:gridCol w:w="3094"/>
        <w:gridCol w:w="1203"/>
        <w:gridCol w:w="1791"/>
      </w:tblGrid>
      <w:tr w:rsidR="000B7170" w:rsidRPr="000B7170" w14:paraId="41628C65" w14:textId="77777777" w:rsidTr="7C190DF7">
        <w:trPr>
          <w:cantSplit/>
          <w:trHeight w:val="20"/>
        </w:trPr>
        <w:tc>
          <w:tcPr>
            <w:tcW w:w="858" w:type="dxa"/>
          </w:tcPr>
          <w:p w14:paraId="6CA17F8B" w14:textId="77777777" w:rsidR="000E14E2" w:rsidRPr="000B7170" w:rsidRDefault="000E14E2" w:rsidP="002E63F7">
            <w:pPr>
              <w:pStyle w:val="ANormal"/>
              <w:rPr>
                <w:noProof/>
              </w:rPr>
            </w:pPr>
          </w:p>
        </w:tc>
        <w:tc>
          <w:tcPr>
            <w:tcW w:w="8723" w:type="dxa"/>
            <w:gridSpan w:val="3"/>
            <w:vAlign w:val="bottom"/>
          </w:tcPr>
          <w:p w14:paraId="0AA6F06F" w14:textId="77777777" w:rsidR="000E14E2" w:rsidRPr="000B7170" w:rsidRDefault="006F687A">
            <w:pPr>
              <w:pStyle w:val="xMellanrum"/>
            </w:pPr>
            <w:r>
              <w:rPr>
                <w:noProof/>
              </w:rPr>
              <w:drawing>
                <wp:inline distT="0" distB="0" distL="0" distR="0" wp14:anchorId="49170023" wp14:editId="4E2BBB3F">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1">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p>
        </w:tc>
      </w:tr>
      <w:tr w:rsidR="000B7170" w:rsidRPr="000B7170" w14:paraId="1BD49286" w14:textId="77777777" w:rsidTr="7C190DF7">
        <w:trPr>
          <w:cantSplit/>
          <w:trHeight w:val="299"/>
        </w:trPr>
        <w:tc>
          <w:tcPr>
            <w:tcW w:w="5300" w:type="dxa"/>
            <w:gridSpan w:val="2"/>
            <w:vMerge w:val="restart"/>
          </w:tcPr>
          <w:p w14:paraId="7CB0CFC3" w14:textId="77777777" w:rsidR="00864FA6" w:rsidRPr="000B7170" w:rsidRDefault="006F687A">
            <w:pPr>
              <w:pStyle w:val="xAvsandare1"/>
            </w:pPr>
            <w:r>
              <w:rPr>
                <w:noProof/>
              </w:rPr>
              <w:drawing>
                <wp:inline distT="0" distB="0" distL="0" distR="0" wp14:anchorId="00451AE3" wp14:editId="1649C171">
                  <wp:extent cx="1809115" cy="468630"/>
                  <wp:effectExtent l="0" t="0" r="0" b="0"/>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pic:nvPicPr>
                        <pic:blipFill>
                          <a:blip r:embed="rId12">
                            <a:extLst>
                              <a:ext uri="{28A0092B-C50C-407E-A947-70E740481C1C}">
                                <a14:useLocalDpi xmlns:a14="http://schemas.microsoft.com/office/drawing/2010/main" val="0"/>
                              </a:ext>
                            </a:extLst>
                          </a:blip>
                          <a:stretch>
                            <a:fillRect/>
                          </a:stretch>
                        </pic:blipFill>
                        <pic:spPr>
                          <a:xfrm>
                            <a:off x="0" y="0"/>
                            <a:ext cx="1809115" cy="468630"/>
                          </a:xfrm>
                          <a:prstGeom prst="rect">
                            <a:avLst/>
                          </a:prstGeom>
                        </pic:spPr>
                      </pic:pic>
                    </a:graphicData>
                  </a:graphic>
                </wp:inline>
              </w:drawing>
            </w:r>
          </w:p>
        </w:tc>
        <w:tc>
          <w:tcPr>
            <w:tcW w:w="4288" w:type="dxa"/>
            <w:gridSpan w:val="2"/>
            <w:vAlign w:val="bottom"/>
          </w:tcPr>
          <w:p w14:paraId="261F5A36" w14:textId="73727A96" w:rsidR="00864FA6" w:rsidRPr="000B7170" w:rsidRDefault="00CB1288" w:rsidP="009A4355">
            <w:pPr>
              <w:pStyle w:val="xDokTypNr"/>
            </w:pPr>
            <w:r>
              <w:t>MEDDELANDE</w:t>
            </w:r>
            <w:r w:rsidR="009A4355" w:rsidRPr="000B7170">
              <w:t xml:space="preserve"> </w:t>
            </w:r>
            <w:r w:rsidR="009A4355" w:rsidRPr="00AC156D">
              <w:t xml:space="preserve">nr </w:t>
            </w:r>
            <w:r w:rsidR="00AC156D" w:rsidRPr="00AC156D">
              <w:t>1</w:t>
            </w:r>
            <w:r w:rsidR="009A4355" w:rsidRPr="000B7170">
              <w:t>/</w:t>
            </w:r>
            <w:proofErr w:type="gramStart"/>
            <w:r w:rsidR="009A4355" w:rsidRPr="000B7170">
              <w:t>20</w:t>
            </w:r>
            <w:r w:rsidR="00705F5B">
              <w:t>20</w:t>
            </w:r>
            <w:r w:rsidR="00864FA6" w:rsidRPr="000B7170">
              <w:t>-20</w:t>
            </w:r>
            <w:r w:rsidR="00705F5B">
              <w:t>21</w:t>
            </w:r>
            <w:proofErr w:type="gramEnd"/>
          </w:p>
        </w:tc>
      </w:tr>
      <w:tr w:rsidR="000B7170" w:rsidRPr="000B7170" w14:paraId="2DD3B2D3" w14:textId="77777777" w:rsidTr="7C190DF7">
        <w:trPr>
          <w:cantSplit/>
          <w:trHeight w:val="238"/>
        </w:trPr>
        <w:tc>
          <w:tcPr>
            <w:tcW w:w="5296" w:type="dxa"/>
            <w:gridSpan w:val="2"/>
            <w:vMerge/>
          </w:tcPr>
          <w:p w14:paraId="4505EE67" w14:textId="77777777" w:rsidR="00864FA6" w:rsidRPr="000B7170" w:rsidRDefault="00864FA6">
            <w:pPr>
              <w:pStyle w:val="xLedtext"/>
            </w:pPr>
          </w:p>
        </w:tc>
        <w:tc>
          <w:tcPr>
            <w:tcW w:w="1721" w:type="dxa"/>
            <w:vAlign w:val="bottom"/>
          </w:tcPr>
          <w:p w14:paraId="0F97C973" w14:textId="77777777" w:rsidR="00864FA6" w:rsidRPr="000B7170" w:rsidRDefault="00864FA6">
            <w:pPr>
              <w:pStyle w:val="xLedtext"/>
            </w:pPr>
            <w:r w:rsidRPr="000B7170">
              <w:t>Datum</w:t>
            </w:r>
          </w:p>
        </w:tc>
        <w:tc>
          <w:tcPr>
            <w:tcW w:w="2564" w:type="dxa"/>
            <w:vAlign w:val="bottom"/>
          </w:tcPr>
          <w:p w14:paraId="4D18070F" w14:textId="77777777" w:rsidR="00864FA6" w:rsidRPr="000B7170" w:rsidRDefault="00864FA6" w:rsidP="00F343BD">
            <w:pPr>
              <w:pStyle w:val="xLedtext"/>
            </w:pPr>
          </w:p>
        </w:tc>
      </w:tr>
      <w:tr w:rsidR="000B7170" w:rsidRPr="000B7170" w14:paraId="555A6AB2" w14:textId="77777777" w:rsidTr="7C190DF7">
        <w:trPr>
          <w:cantSplit/>
          <w:trHeight w:val="238"/>
        </w:trPr>
        <w:tc>
          <w:tcPr>
            <w:tcW w:w="5296" w:type="dxa"/>
            <w:gridSpan w:val="2"/>
            <w:vMerge/>
          </w:tcPr>
          <w:p w14:paraId="2D802378" w14:textId="77777777" w:rsidR="00864FA6" w:rsidRPr="000B7170" w:rsidRDefault="00864FA6">
            <w:pPr>
              <w:pStyle w:val="xAvsandare2"/>
            </w:pPr>
          </w:p>
        </w:tc>
        <w:tc>
          <w:tcPr>
            <w:tcW w:w="1721" w:type="dxa"/>
            <w:vAlign w:val="center"/>
          </w:tcPr>
          <w:p w14:paraId="27DD6BC4" w14:textId="20441DCC" w:rsidR="00864FA6" w:rsidRPr="000B7170" w:rsidRDefault="00D81F90" w:rsidP="00850D2A">
            <w:pPr>
              <w:pStyle w:val="xDatum1"/>
            </w:pPr>
            <w:r w:rsidRPr="000B7170">
              <w:t>20</w:t>
            </w:r>
            <w:r w:rsidR="00705F5B">
              <w:t>20</w:t>
            </w:r>
            <w:r w:rsidRPr="000B7170">
              <w:t>-</w:t>
            </w:r>
            <w:r w:rsidR="00705F5B">
              <w:t>12</w:t>
            </w:r>
            <w:r w:rsidR="00B8036E">
              <w:t>-10</w:t>
            </w:r>
          </w:p>
        </w:tc>
        <w:tc>
          <w:tcPr>
            <w:tcW w:w="2564" w:type="dxa"/>
            <w:vAlign w:val="center"/>
          </w:tcPr>
          <w:p w14:paraId="747C0861" w14:textId="77777777" w:rsidR="00864FA6" w:rsidRPr="000B7170" w:rsidRDefault="00864FA6">
            <w:pPr>
              <w:pStyle w:val="xBeteckning1"/>
            </w:pPr>
          </w:p>
        </w:tc>
      </w:tr>
      <w:tr w:rsidR="000B7170" w:rsidRPr="000B7170" w14:paraId="602FFBF1" w14:textId="77777777" w:rsidTr="7C190DF7">
        <w:trPr>
          <w:cantSplit/>
          <w:trHeight w:val="238"/>
        </w:trPr>
        <w:tc>
          <w:tcPr>
            <w:tcW w:w="5296" w:type="dxa"/>
            <w:gridSpan w:val="2"/>
          </w:tcPr>
          <w:p w14:paraId="08BC1971" w14:textId="77777777" w:rsidR="00850D2A" w:rsidRPr="00BD6319" w:rsidRDefault="00E33C33">
            <w:pPr>
              <w:pStyle w:val="xLedtext"/>
            </w:pPr>
            <w:r>
              <w:rPr>
                <w:b/>
              </w:rPr>
              <w:t xml:space="preserve"> </w:t>
            </w:r>
          </w:p>
        </w:tc>
        <w:tc>
          <w:tcPr>
            <w:tcW w:w="1721" w:type="dxa"/>
            <w:vAlign w:val="bottom"/>
          </w:tcPr>
          <w:p w14:paraId="3328B14F" w14:textId="77777777" w:rsidR="00850D2A" w:rsidRPr="000B7170" w:rsidRDefault="00850D2A">
            <w:pPr>
              <w:pStyle w:val="xLedtext"/>
            </w:pPr>
          </w:p>
        </w:tc>
        <w:tc>
          <w:tcPr>
            <w:tcW w:w="2564" w:type="dxa"/>
            <w:vAlign w:val="bottom"/>
          </w:tcPr>
          <w:p w14:paraId="3B26F273" w14:textId="77777777" w:rsidR="00850D2A" w:rsidRPr="000B7170" w:rsidRDefault="00850D2A">
            <w:pPr>
              <w:pStyle w:val="xLedtext"/>
            </w:pPr>
          </w:p>
        </w:tc>
      </w:tr>
      <w:tr w:rsidR="000B7170" w:rsidRPr="000B7170" w14:paraId="455357AF" w14:textId="77777777" w:rsidTr="7C190DF7">
        <w:trPr>
          <w:cantSplit/>
          <w:trHeight w:val="238"/>
        </w:trPr>
        <w:tc>
          <w:tcPr>
            <w:tcW w:w="5296" w:type="dxa"/>
            <w:gridSpan w:val="2"/>
            <w:tcBorders>
              <w:bottom w:val="single" w:sz="4" w:space="0" w:color="auto"/>
            </w:tcBorders>
          </w:tcPr>
          <w:p w14:paraId="2BE14869" w14:textId="77777777" w:rsidR="00850D2A" w:rsidRPr="000B7170" w:rsidRDefault="00850D2A">
            <w:pPr>
              <w:pStyle w:val="xAvsandare3"/>
            </w:pPr>
          </w:p>
        </w:tc>
        <w:tc>
          <w:tcPr>
            <w:tcW w:w="1721" w:type="dxa"/>
            <w:tcBorders>
              <w:bottom w:val="single" w:sz="4" w:space="0" w:color="auto"/>
            </w:tcBorders>
            <w:vAlign w:val="center"/>
          </w:tcPr>
          <w:p w14:paraId="7CA3A148" w14:textId="77777777" w:rsidR="00850D2A" w:rsidRPr="000B7170" w:rsidRDefault="00850D2A">
            <w:pPr>
              <w:pStyle w:val="xDatum2"/>
            </w:pPr>
          </w:p>
        </w:tc>
        <w:tc>
          <w:tcPr>
            <w:tcW w:w="2564" w:type="dxa"/>
            <w:tcBorders>
              <w:bottom w:val="single" w:sz="4" w:space="0" w:color="auto"/>
            </w:tcBorders>
            <w:vAlign w:val="center"/>
          </w:tcPr>
          <w:p w14:paraId="2C6F4FC1" w14:textId="77777777" w:rsidR="00850D2A" w:rsidRPr="000B7170" w:rsidRDefault="00850D2A">
            <w:pPr>
              <w:pStyle w:val="xBeteckning2"/>
            </w:pPr>
          </w:p>
        </w:tc>
      </w:tr>
      <w:tr w:rsidR="000B7170" w:rsidRPr="000B7170" w14:paraId="48AEB211" w14:textId="77777777" w:rsidTr="7C190DF7">
        <w:trPr>
          <w:cantSplit/>
          <w:trHeight w:val="238"/>
        </w:trPr>
        <w:tc>
          <w:tcPr>
            <w:tcW w:w="858" w:type="dxa"/>
            <w:tcBorders>
              <w:top w:val="single" w:sz="4" w:space="0" w:color="auto"/>
            </w:tcBorders>
            <w:vAlign w:val="bottom"/>
          </w:tcPr>
          <w:p w14:paraId="2957B3BC" w14:textId="77777777" w:rsidR="000E14E2" w:rsidRPr="000B7170" w:rsidRDefault="000E14E2">
            <w:pPr>
              <w:pStyle w:val="xLedtext"/>
            </w:pPr>
          </w:p>
        </w:tc>
        <w:tc>
          <w:tcPr>
            <w:tcW w:w="4438" w:type="dxa"/>
            <w:tcBorders>
              <w:top w:val="single" w:sz="4" w:space="0" w:color="auto"/>
            </w:tcBorders>
            <w:vAlign w:val="bottom"/>
          </w:tcPr>
          <w:p w14:paraId="24970100" w14:textId="77777777" w:rsidR="000E14E2" w:rsidRPr="000B7170" w:rsidRDefault="000E14E2">
            <w:pPr>
              <w:pStyle w:val="xLedtext"/>
            </w:pPr>
          </w:p>
        </w:tc>
        <w:tc>
          <w:tcPr>
            <w:tcW w:w="4285" w:type="dxa"/>
            <w:gridSpan w:val="2"/>
            <w:tcBorders>
              <w:top w:val="single" w:sz="4" w:space="0" w:color="auto"/>
            </w:tcBorders>
            <w:vAlign w:val="bottom"/>
          </w:tcPr>
          <w:p w14:paraId="500E1E56" w14:textId="77777777" w:rsidR="000E14E2" w:rsidRPr="000B7170" w:rsidRDefault="000E14E2">
            <w:pPr>
              <w:pStyle w:val="xLedtext"/>
            </w:pPr>
          </w:p>
        </w:tc>
      </w:tr>
      <w:tr w:rsidR="000B7170" w:rsidRPr="000B7170" w14:paraId="4D500783" w14:textId="77777777" w:rsidTr="7C190DF7">
        <w:trPr>
          <w:cantSplit/>
          <w:trHeight w:val="238"/>
        </w:trPr>
        <w:tc>
          <w:tcPr>
            <w:tcW w:w="858" w:type="dxa"/>
          </w:tcPr>
          <w:p w14:paraId="70F2146F" w14:textId="77777777" w:rsidR="000E14E2" w:rsidRPr="000B7170" w:rsidRDefault="000E14E2">
            <w:pPr>
              <w:pStyle w:val="xCelltext"/>
            </w:pPr>
          </w:p>
        </w:tc>
        <w:tc>
          <w:tcPr>
            <w:tcW w:w="4438" w:type="dxa"/>
            <w:vMerge w:val="restart"/>
          </w:tcPr>
          <w:p w14:paraId="1206D37F" w14:textId="77777777" w:rsidR="000E14E2" w:rsidRPr="000B7170" w:rsidRDefault="000E14E2">
            <w:pPr>
              <w:pStyle w:val="xMottagare1"/>
            </w:pPr>
            <w:r w:rsidRPr="000B7170">
              <w:t>Till Ålands lagting</w:t>
            </w:r>
          </w:p>
        </w:tc>
        <w:tc>
          <w:tcPr>
            <w:tcW w:w="4285" w:type="dxa"/>
            <w:gridSpan w:val="2"/>
            <w:vMerge w:val="restart"/>
          </w:tcPr>
          <w:p w14:paraId="2AEC7BA4" w14:textId="77777777" w:rsidR="000E14E2" w:rsidRPr="000B7170" w:rsidRDefault="000E14E2">
            <w:pPr>
              <w:pStyle w:val="xMottagare1"/>
              <w:tabs>
                <w:tab w:val="left" w:pos="2349"/>
              </w:tabs>
              <w:rPr>
                <w:lang w:val="sv-FI"/>
              </w:rPr>
            </w:pPr>
          </w:p>
        </w:tc>
      </w:tr>
      <w:tr w:rsidR="000B7170" w:rsidRPr="000B7170" w14:paraId="0BBFD71B" w14:textId="77777777" w:rsidTr="7C190DF7">
        <w:trPr>
          <w:cantSplit/>
          <w:trHeight w:val="238"/>
        </w:trPr>
        <w:tc>
          <w:tcPr>
            <w:tcW w:w="858" w:type="dxa"/>
          </w:tcPr>
          <w:p w14:paraId="123D0AA1" w14:textId="77777777" w:rsidR="000E14E2" w:rsidRPr="000B7170" w:rsidRDefault="000E14E2">
            <w:pPr>
              <w:pStyle w:val="xCelltext"/>
            </w:pPr>
          </w:p>
        </w:tc>
        <w:tc>
          <w:tcPr>
            <w:tcW w:w="4438" w:type="dxa"/>
            <w:vMerge/>
            <w:vAlign w:val="center"/>
          </w:tcPr>
          <w:p w14:paraId="4ACD7464" w14:textId="77777777" w:rsidR="000E14E2" w:rsidRPr="000B7170" w:rsidRDefault="000E14E2">
            <w:pPr>
              <w:pStyle w:val="xCelltext"/>
            </w:pPr>
          </w:p>
        </w:tc>
        <w:tc>
          <w:tcPr>
            <w:tcW w:w="4285" w:type="dxa"/>
            <w:gridSpan w:val="2"/>
            <w:vMerge/>
            <w:vAlign w:val="center"/>
          </w:tcPr>
          <w:p w14:paraId="46F6F91E" w14:textId="77777777" w:rsidR="000E14E2" w:rsidRPr="000B7170" w:rsidRDefault="000E14E2">
            <w:pPr>
              <w:pStyle w:val="xCelltext"/>
            </w:pPr>
          </w:p>
        </w:tc>
      </w:tr>
      <w:tr w:rsidR="000B7170" w:rsidRPr="000B7170" w14:paraId="6E5B7A1F" w14:textId="77777777" w:rsidTr="7C190DF7">
        <w:trPr>
          <w:cantSplit/>
          <w:trHeight w:val="238"/>
        </w:trPr>
        <w:tc>
          <w:tcPr>
            <w:tcW w:w="858" w:type="dxa"/>
          </w:tcPr>
          <w:p w14:paraId="59ABED2A" w14:textId="77777777" w:rsidR="000E14E2" w:rsidRPr="000B7170" w:rsidRDefault="000E14E2">
            <w:pPr>
              <w:pStyle w:val="xCelltext"/>
            </w:pPr>
          </w:p>
        </w:tc>
        <w:tc>
          <w:tcPr>
            <w:tcW w:w="4438" w:type="dxa"/>
            <w:vMerge/>
            <w:vAlign w:val="center"/>
          </w:tcPr>
          <w:p w14:paraId="33B6539A" w14:textId="77777777" w:rsidR="000E14E2" w:rsidRPr="000B7170" w:rsidRDefault="000E14E2">
            <w:pPr>
              <w:pStyle w:val="xCelltext"/>
            </w:pPr>
          </w:p>
        </w:tc>
        <w:tc>
          <w:tcPr>
            <w:tcW w:w="4285" w:type="dxa"/>
            <w:gridSpan w:val="2"/>
            <w:vMerge/>
            <w:vAlign w:val="center"/>
          </w:tcPr>
          <w:p w14:paraId="74B211A2" w14:textId="77777777" w:rsidR="000E14E2" w:rsidRPr="000B7170" w:rsidRDefault="000E14E2">
            <w:pPr>
              <w:pStyle w:val="xCelltext"/>
            </w:pPr>
          </w:p>
        </w:tc>
      </w:tr>
      <w:tr w:rsidR="000B7170" w:rsidRPr="000B7170" w14:paraId="649A3EE8" w14:textId="77777777" w:rsidTr="7C190DF7">
        <w:trPr>
          <w:cantSplit/>
          <w:trHeight w:val="238"/>
        </w:trPr>
        <w:tc>
          <w:tcPr>
            <w:tcW w:w="858" w:type="dxa"/>
          </w:tcPr>
          <w:p w14:paraId="4668E448" w14:textId="77777777" w:rsidR="000E14E2" w:rsidRPr="000B7170" w:rsidRDefault="000E14E2">
            <w:pPr>
              <w:pStyle w:val="xCelltext"/>
            </w:pPr>
          </w:p>
        </w:tc>
        <w:tc>
          <w:tcPr>
            <w:tcW w:w="4438" w:type="dxa"/>
            <w:vMerge/>
            <w:vAlign w:val="center"/>
          </w:tcPr>
          <w:p w14:paraId="410A8316" w14:textId="77777777" w:rsidR="000E14E2" w:rsidRPr="000B7170" w:rsidRDefault="000E14E2">
            <w:pPr>
              <w:pStyle w:val="xCelltext"/>
            </w:pPr>
          </w:p>
        </w:tc>
        <w:tc>
          <w:tcPr>
            <w:tcW w:w="4285" w:type="dxa"/>
            <w:gridSpan w:val="2"/>
            <w:vMerge/>
            <w:vAlign w:val="center"/>
          </w:tcPr>
          <w:p w14:paraId="4B53B02B" w14:textId="77777777" w:rsidR="000E14E2" w:rsidRPr="000B7170" w:rsidRDefault="000E14E2">
            <w:pPr>
              <w:pStyle w:val="xCelltext"/>
            </w:pPr>
          </w:p>
        </w:tc>
      </w:tr>
      <w:tr w:rsidR="000B7170" w:rsidRPr="000B7170" w14:paraId="3AD20702" w14:textId="77777777" w:rsidTr="7C190DF7">
        <w:trPr>
          <w:cantSplit/>
          <w:trHeight w:val="238"/>
        </w:trPr>
        <w:tc>
          <w:tcPr>
            <w:tcW w:w="858" w:type="dxa"/>
          </w:tcPr>
          <w:p w14:paraId="0C6C2998" w14:textId="77777777" w:rsidR="000E14E2" w:rsidRPr="000B7170" w:rsidRDefault="000E14E2">
            <w:pPr>
              <w:pStyle w:val="xCelltext"/>
            </w:pPr>
          </w:p>
        </w:tc>
        <w:tc>
          <w:tcPr>
            <w:tcW w:w="4438" w:type="dxa"/>
            <w:vMerge/>
            <w:vAlign w:val="center"/>
          </w:tcPr>
          <w:p w14:paraId="2C84617F" w14:textId="77777777" w:rsidR="000E14E2" w:rsidRPr="000B7170" w:rsidRDefault="000E14E2">
            <w:pPr>
              <w:pStyle w:val="xCelltext"/>
            </w:pPr>
          </w:p>
        </w:tc>
        <w:tc>
          <w:tcPr>
            <w:tcW w:w="4285" w:type="dxa"/>
            <w:gridSpan w:val="2"/>
            <w:vMerge/>
            <w:vAlign w:val="center"/>
          </w:tcPr>
          <w:p w14:paraId="6D9CFE3B" w14:textId="77777777" w:rsidR="000E14E2" w:rsidRPr="000B7170" w:rsidRDefault="000E14E2">
            <w:pPr>
              <w:pStyle w:val="xCelltext"/>
            </w:pPr>
          </w:p>
        </w:tc>
      </w:tr>
    </w:tbl>
    <w:p w14:paraId="141397BA" w14:textId="68072EED" w:rsidR="00411025" w:rsidRDefault="00411025" w:rsidP="000D4EC1">
      <w:pPr>
        <w:pStyle w:val="ArendeRubrik"/>
      </w:pPr>
      <w:r>
        <w:t xml:space="preserve">Ålands reform- och investeringsprojekt i EU:s facilitet för återhämtning och </w:t>
      </w:r>
      <w:proofErr w:type="spellStart"/>
      <w:r>
        <w:t>resiliens</w:t>
      </w:r>
      <w:proofErr w:type="spellEnd"/>
    </w:p>
    <w:p w14:paraId="1C89E311" w14:textId="77777777" w:rsidR="00411025" w:rsidRDefault="00411025" w:rsidP="005A1961">
      <w:pPr>
        <w:pStyle w:val="ANormal"/>
        <w:rPr>
          <w:i/>
        </w:rPr>
      </w:pPr>
    </w:p>
    <w:p w14:paraId="382922BB" w14:textId="07143F2A" w:rsidR="00FD2E00" w:rsidRPr="00FD2E00" w:rsidRDefault="00FD2E00" w:rsidP="00FD2E00">
      <w:pPr>
        <w:rPr>
          <w:rFonts w:ascii="Times New Roman" w:hAnsi="Times New Roman" w:cs="Times New Roman"/>
          <w:sz w:val="22"/>
          <w:szCs w:val="22"/>
        </w:rPr>
      </w:pPr>
      <w:r w:rsidRPr="7C190DF7">
        <w:rPr>
          <w:rFonts w:ascii="Times New Roman" w:hAnsi="Times New Roman" w:cs="Times New Roman"/>
          <w:sz w:val="22"/>
          <w:szCs w:val="22"/>
        </w:rPr>
        <w:t xml:space="preserve">Den europeiska kommissionen har under år 2020 arbetat fram förslag till ett återhämtningspaket i syfte att hjälpa EU att komma starkare och mer </w:t>
      </w:r>
      <w:proofErr w:type="spellStart"/>
      <w:r w:rsidRPr="7C190DF7">
        <w:rPr>
          <w:rFonts w:ascii="Times New Roman" w:hAnsi="Times New Roman" w:cs="Times New Roman"/>
          <w:sz w:val="22"/>
          <w:szCs w:val="22"/>
        </w:rPr>
        <w:t>resilient</w:t>
      </w:r>
      <w:proofErr w:type="spellEnd"/>
      <w:r w:rsidRPr="7C190DF7">
        <w:rPr>
          <w:rFonts w:ascii="Times New Roman" w:hAnsi="Times New Roman" w:cs="Times New Roman"/>
          <w:sz w:val="22"/>
          <w:szCs w:val="22"/>
        </w:rPr>
        <w:t xml:space="preserve"> ur </w:t>
      </w:r>
      <w:proofErr w:type="spellStart"/>
      <w:r w:rsidRPr="7C190DF7">
        <w:rPr>
          <w:rFonts w:ascii="Times New Roman" w:hAnsi="Times New Roman" w:cs="Times New Roman"/>
          <w:sz w:val="22"/>
          <w:szCs w:val="22"/>
        </w:rPr>
        <w:t>coronakrisen</w:t>
      </w:r>
      <w:proofErr w:type="spellEnd"/>
      <w:r w:rsidRPr="7C190DF7">
        <w:rPr>
          <w:rFonts w:ascii="Times New Roman" w:hAnsi="Times New Roman" w:cs="Times New Roman"/>
          <w:sz w:val="22"/>
          <w:szCs w:val="22"/>
        </w:rPr>
        <w:t xml:space="preserve">. Förslaget till förordning om inrättande av en facilitet för återhämtning och </w:t>
      </w:r>
      <w:proofErr w:type="spellStart"/>
      <w:r w:rsidRPr="7C190DF7">
        <w:rPr>
          <w:rFonts w:ascii="Times New Roman" w:hAnsi="Times New Roman" w:cs="Times New Roman"/>
          <w:sz w:val="22"/>
          <w:szCs w:val="22"/>
        </w:rPr>
        <w:t>resiliens</w:t>
      </w:r>
      <w:proofErr w:type="spellEnd"/>
      <w:r w:rsidRPr="7C190DF7">
        <w:rPr>
          <w:rFonts w:ascii="Times New Roman" w:hAnsi="Times New Roman" w:cs="Times New Roman"/>
          <w:sz w:val="22"/>
          <w:szCs w:val="22"/>
        </w:rPr>
        <w:t xml:space="preserve"> </w:t>
      </w:r>
      <w:r w:rsidR="507BE484" w:rsidRPr="7C190DF7">
        <w:rPr>
          <w:rFonts w:ascii="Times New Roman" w:hAnsi="Times New Roman" w:cs="Times New Roman"/>
          <w:sz w:val="22"/>
          <w:szCs w:val="22"/>
        </w:rPr>
        <w:t>(</w:t>
      </w:r>
      <w:proofErr w:type="gramStart"/>
      <w:r w:rsidRPr="7C190DF7">
        <w:rPr>
          <w:rFonts w:ascii="Times New Roman" w:hAnsi="Times New Roman" w:cs="Times New Roman"/>
          <w:sz w:val="22"/>
          <w:szCs w:val="22"/>
        </w:rPr>
        <w:t>COM(</w:t>
      </w:r>
      <w:proofErr w:type="gramEnd"/>
      <w:r w:rsidRPr="7C190DF7">
        <w:rPr>
          <w:rFonts w:ascii="Times New Roman" w:hAnsi="Times New Roman" w:cs="Times New Roman"/>
          <w:sz w:val="22"/>
          <w:szCs w:val="22"/>
        </w:rPr>
        <w:t>2020) 408 final</w:t>
      </w:r>
      <w:r w:rsidR="2FCE571D" w:rsidRPr="7C190DF7">
        <w:rPr>
          <w:rFonts w:ascii="Times New Roman" w:hAnsi="Times New Roman" w:cs="Times New Roman"/>
          <w:sz w:val="22"/>
          <w:szCs w:val="22"/>
        </w:rPr>
        <w:t>)</w:t>
      </w:r>
      <w:r w:rsidRPr="7C190DF7">
        <w:rPr>
          <w:rFonts w:ascii="Times New Roman" w:hAnsi="Times New Roman" w:cs="Times New Roman"/>
          <w:sz w:val="22"/>
          <w:szCs w:val="22"/>
        </w:rPr>
        <w:t xml:space="preserve"> är huvuddelen i det återhämtningspaket som kommissionen föreslog i maj och som medlemsstaterna kom överens om i europeiska rådet i juli</w:t>
      </w:r>
      <w:r w:rsidR="0975BB7D" w:rsidRPr="7C190DF7">
        <w:rPr>
          <w:rFonts w:ascii="Times New Roman" w:hAnsi="Times New Roman" w:cs="Times New Roman"/>
          <w:sz w:val="22"/>
          <w:szCs w:val="22"/>
        </w:rPr>
        <w:t xml:space="preserve"> 2020.</w:t>
      </w:r>
      <w:r w:rsidRPr="7C190DF7">
        <w:rPr>
          <w:rFonts w:ascii="Times New Roman" w:hAnsi="Times New Roman" w:cs="Times New Roman"/>
          <w:sz w:val="22"/>
          <w:szCs w:val="22"/>
        </w:rPr>
        <w:t xml:space="preserve"> </w:t>
      </w:r>
      <w:r w:rsidR="7455A090" w:rsidRPr="7C190DF7">
        <w:rPr>
          <w:rFonts w:ascii="Times New Roman" w:hAnsi="Times New Roman" w:cs="Times New Roman"/>
          <w:sz w:val="22"/>
          <w:szCs w:val="22"/>
        </w:rPr>
        <w:t>Återhämtningspaketet</w:t>
      </w:r>
      <w:r w:rsidRPr="7C190DF7">
        <w:rPr>
          <w:rFonts w:ascii="Times New Roman" w:hAnsi="Times New Roman" w:cs="Times New Roman"/>
          <w:sz w:val="22"/>
          <w:szCs w:val="22"/>
        </w:rPr>
        <w:t xml:space="preserve"> ska, via bidrag </w:t>
      </w:r>
      <w:r w:rsidRPr="0025756B">
        <w:rPr>
          <w:rFonts w:ascii="Times New Roman" w:hAnsi="Times New Roman" w:cs="Times New Roman"/>
          <w:sz w:val="22"/>
          <w:szCs w:val="22"/>
        </w:rPr>
        <w:t>och lån, stödja offentliga investeringar och reformer i medlemsstaterna. </w:t>
      </w:r>
      <w:r w:rsidR="008A14F0" w:rsidRPr="0025756B">
        <w:rPr>
          <w:rFonts w:ascii="Times New Roman" w:hAnsi="Times New Roman" w:cs="Times New Roman"/>
          <w:sz w:val="22"/>
          <w:szCs w:val="22"/>
        </w:rPr>
        <w:t xml:space="preserve">Slutbehandling av faciliteten för återhämtning och </w:t>
      </w:r>
      <w:proofErr w:type="spellStart"/>
      <w:r w:rsidR="008A14F0" w:rsidRPr="0025756B">
        <w:rPr>
          <w:rFonts w:ascii="Times New Roman" w:hAnsi="Times New Roman" w:cs="Times New Roman"/>
          <w:sz w:val="22"/>
          <w:szCs w:val="22"/>
        </w:rPr>
        <w:t>resiliens</w:t>
      </w:r>
      <w:proofErr w:type="spellEnd"/>
      <w:r w:rsidR="008A14F0" w:rsidRPr="0025756B">
        <w:rPr>
          <w:rFonts w:ascii="Times New Roman" w:hAnsi="Times New Roman" w:cs="Times New Roman"/>
          <w:sz w:val="22"/>
          <w:szCs w:val="22"/>
        </w:rPr>
        <w:t xml:space="preserve"> pågår i europeiska rådet.</w:t>
      </w:r>
    </w:p>
    <w:p w14:paraId="1F847D0E" w14:textId="187E56E0" w:rsidR="000B3A6E" w:rsidRDefault="00FD2E00" w:rsidP="00411025">
      <w:pPr>
        <w:rPr>
          <w:rFonts w:ascii="Times New Roman" w:hAnsi="Times New Roman" w:cs="Times New Roman"/>
          <w:sz w:val="22"/>
          <w:szCs w:val="22"/>
          <w:lang w:val="sv-FI" w:eastAsia="sv-FI"/>
        </w:rPr>
      </w:pPr>
      <w:r>
        <w:rPr>
          <w:rFonts w:ascii="Times New Roman" w:hAnsi="Times New Roman" w:cs="Times New Roman"/>
          <w:sz w:val="22"/>
          <w:szCs w:val="22"/>
          <w:lang w:val="sv-FI" w:eastAsia="sv-FI"/>
        </w:rPr>
        <w:t xml:space="preserve">   </w:t>
      </w:r>
      <w:r w:rsidR="00411025">
        <w:rPr>
          <w:rFonts w:ascii="Times New Roman" w:hAnsi="Times New Roman" w:cs="Times New Roman"/>
          <w:sz w:val="22"/>
          <w:szCs w:val="22"/>
          <w:lang w:val="sv-FI" w:eastAsia="sv-FI"/>
        </w:rPr>
        <w:t xml:space="preserve">EU:s facilitet för återhämtning och </w:t>
      </w:r>
      <w:proofErr w:type="spellStart"/>
      <w:r w:rsidR="00411025">
        <w:rPr>
          <w:rFonts w:ascii="Times New Roman" w:hAnsi="Times New Roman" w:cs="Times New Roman"/>
          <w:sz w:val="22"/>
          <w:szCs w:val="22"/>
          <w:lang w:val="sv-FI" w:eastAsia="sv-FI"/>
        </w:rPr>
        <w:t>resiliens</w:t>
      </w:r>
      <w:proofErr w:type="spellEnd"/>
      <w:r w:rsidR="00411025">
        <w:rPr>
          <w:rFonts w:ascii="Times New Roman" w:hAnsi="Times New Roman" w:cs="Times New Roman"/>
          <w:sz w:val="22"/>
          <w:szCs w:val="22"/>
          <w:lang w:val="sv-FI" w:eastAsia="sv-FI"/>
        </w:rPr>
        <w:t xml:space="preserve"> är avsedd att förbättra återhämtningsförmågan i medlemsstaterna, lindra krisens sociala och ekonomiska konsekvenser samt stödja den gröna och digitala omställningen. Enligt förslaget till EU-rättsakt måste en medlemsstat för att kunna få finansiering från faciliteten </w:t>
      </w:r>
      <w:r w:rsidR="000B3A6E">
        <w:rPr>
          <w:rFonts w:ascii="Times New Roman" w:hAnsi="Times New Roman" w:cs="Times New Roman"/>
          <w:sz w:val="22"/>
          <w:szCs w:val="22"/>
          <w:lang w:val="sv-FI" w:eastAsia="sv-FI"/>
        </w:rPr>
        <w:t xml:space="preserve">senast den 30 april 2021 lägga fram en nationell plan för återhämtning och </w:t>
      </w:r>
      <w:proofErr w:type="spellStart"/>
      <w:r w:rsidR="000B3A6E">
        <w:rPr>
          <w:rFonts w:ascii="Times New Roman" w:hAnsi="Times New Roman" w:cs="Times New Roman"/>
          <w:sz w:val="22"/>
          <w:szCs w:val="22"/>
          <w:lang w:val="sv-FI" w:eastAsia="sv-FI"/>
        </w:rPr>
        <w:t>resiliens</w:t>
      </w:r>
      <w:proofErr w:type="spellEnd"/>
      <w:r w:rsidR="000B3A6E">
        <w:rPr>
          <w:rFonts w:ascii="Times New Roman" w:hAnsi="Times New Roman" w:cs="Times New Roman"/>
          <w:sz w:val="22"/>
          <w:szCs w:val="22"/>
          <w:lang w:val="sv-FI" w:eastAsia="sv-FI"/>
        </w:rPr>
        <w:t>. Enligt kommissionens förordningsförslag bedöms Finland ur faciliteten kunna erhålla bidrag om högst ca 2,2 miljarder euro.</w:t>
      </w:r>
    </w:p>
    <w:p w14:paraId="457A7D7F" w14:textId="5C93FADE" w:rsidR="000B3A6E" w:rsidRDefault="000B3A6E" w:rsidP="00411025">
      <w:pPr>
        <w:rPr>
          <w:rFonts w:ascii="Times New Roman" w:hAnsi="Times New Roman" w:cs="Times New Roman"/>
          <w:sz w:val="22"/>
          <w:szCs w:val="22"/>
          <w:lang w:val="sv-FI" w:eastAsia="sv-FI"/>
        </w:rPr>
      </w:pPr>
      <w:r w:rsidRPr="7C190DF7">
        <w:rPr>
          <w:rFonts w:ascii="Times New Roman" w:hAnsi="Times New Roman" w:cs="Times New Roman"/>
          <w:sz w:val="22"/>
          <w:szCs w:val="22"/>
          <w:lang w:val="sv-FI" w:eastAsia="sv-FI"/>
        </w:rPr>
        <w:t xml:space="preserve">   Landskapsregeringen och riksmyndigheterna har efter samråd i enlighet med 59</w:t>
      </w:r>
      <w:r w:rsidR="41BB9D7E" w:rsidRPr="7C190DF7">
        <w:rPr>
          <w:rFonts w:ascii="Times New Roman" w:hAnsi="Times New Roman" w:cs="Times New Roman"/>
          <w:sz w:val="22"/>
          <w:szCs w:val="22"/>
          <w:lang w:val="sv-FI" w:eastAsia="sv-FI"/>
        </w:rPr>
        <w:t xml:space="preserve">b </w:t>
      </w:r>
      <w:r w:rsidRPr="7C190DF7">
        <w:rPr>
          <w:rFonts w:ascii="Times New Roman" w:hAnsi="Times New Roman" w:cs="Times New Roman"/>
          <w:sz w:val="22"/>
          <w:szCs w:val="22"/>
          <w:lang w:val="sv-FI" w:eastAsia="sv-FI"/>
        </w:rPr>
        <w:t>§ 2 mom. självstyrelselagen för Åland, överenskommit om en fördelningsnyckel för beräkning av det belopp som ska utgöra Ålands andel av det bidrag som allokeras till Finland. Fördelningsnyckeln baseras på aktuell befolkningsandel, det vill säga 0,54 procent. Uppskattningsvis bedöms Ålands andel av bidrag från faciliteten uppgå till ca 12</w:t>
      </w:r>
      <w:r w:rsidR="70AC7027" w:rsidRPr="7C190DF7">
        <w:rPr>
          <w:rFonts w:ascii="Times New Roman" w:hAnsi="Times New Roman" w:cs="Times New Roman"/>
          <w:sz w:val="22"/>
          <w:szCs w:val="22"/>
          <w:lang w:val="sv-FI" w:eastAsia="sv-FI"/>
        </w:rPr>
        <w:t>,6</w:t>
      </w:r>
      <w:r w:rsidRPr="7C190DF7">
        <w:rPr>
          <w:rFonts w:ascii="Times New Roman" w:hAnsi="Times New Roman" w:cs="Times New Roman"/>
          <w:sz w:val="22"/>
          <w:szCs w:val="22"/>
          <w:lang w:val="sv-FI" w:eastAsia="sv-FI"/>
        </w:rPr>
        <w:t xml:space="preserve"> miljoner euro.</w:t>
      </w:r>
    </w:p>
    <w:p w14:paraId="6EF4E4D4" w14:textId="5E0DF8FB" w:rsidR="000B3A6E" w:rsidRDefault="000B3A6E" w:rsidP="00411025">
      <w:pPr>
        <w:rPr>
          <w:rFonts w:ascii="Times New Roman" w:hAnsi="Times New Roman" w:cs="Times New Roman"/>
          <w:sz w:val="22"/>
          <w:szCs w:val="22"/>
          <w:lang w:val="sv-FI" w:eastAsia="sv-FI"/>
        </w:rPr>
      </w:pPr>
      <w:r>
        <w:rPr>
          <w:rFonts w:ascii="Times New Roman" w:hAnsi="Times New Roman" w:cs="Times New Roman"/>
          <w:sz w:val="22"/>
          <w:szCs w:val="22"/>
          <w:lang w:val="sv-FI" w:eastAsia="sv-FI"/>
        </w:rPr>
        <w:t xml:space="preserve">   </w:t>
      </w:r>
      <w:r w:rsidR="00411025" w:rsidRPr="00411025">
        <w:rPr>
          <w:rFonts w:ascii="Times New Roman" w:hAnsi="Times New Roman" w:cs="Times New Roman"/>
          <w:sz w:val="22"/>
          <w:szCs w:val="22"/>
          <w:lang w:val="sv-FI" w:eastAsia="sv-FI"/>
        </w:rPr>
        <w:t xml:space="preserve">I meddelandet redogör landskapsregeringen för sina </w:t>
      </w:r>
      <w:r w:rsidR="00411025">
        <w:rPr>
          <w:rFonts w:ascii="Times New Roman" w:hAnsi="Times New Roman" w:cs="Times New Roman"/>
          <w:sz w:val="22"/>
          <w:szCs w:val="22"/>
          <w:lang w:val="sv-FI" w:eastAsia="sv-FI"/>
        </w:rPr>
        <w:t xml:space="preserve">avsikter gällande </w:t>
      </w:r>
      <w:r>
        <w:rPr>
          <w:rFonts w:ascii="Times New Roman" w:hAnsi="Times New Roman" w:cs="Times New Roman"/>
          <w:sz w:val="22"/>
          <w:szCs w:val="22"/>
          <w:lang w:val="sv-FI" w:eastAsia="sv-FI"/>
        </w:rPr>
        <w:t>förslag till Ålands reform- och investeringsprojekt i facilit</w:t>
      </w:r>
      <w:r w:rsidRPr="0025756B">
        <w:rPr>
          <w:rFonts w:ascii="Times New Roman" w:hAnsi="Times New Roman" w:cs="Times New Roman"/>
          <w:sz w:val="22"/>
          <w:szCs w:val="22"/>
          <w:lang w:val="sv-FI" w:eastAsia="sv-FI"/>
        </w:rPr>
        <w:t>eten.</w:t>
      </w:r>
      <w:r w:rsidR="006C36A1" w:rsidRPr="0025756B">
        <w:rPr>
          <w:rFonts w:ascii="Times New Roman" w:hAnsi="Times New Roman" w:cs="Times New Roman"/>
          <w:sz w:val="22"/>
          <w:szCs w:val="22"/>
          <w:lang w:val="sv-FI" w:eastAsia="sv-FI"/>
        </w:rPr>
        <w:t xml:space="preserve"> </w:t>
      </w:r>
      <w:r w:rsidR="006C36A1" w:rsidRPr="00AC156D">
        <w:rPr>
          <w:rFonts w:ascii="Times New Roman" w:hAnsi="Times New Roman" w:cs="Times New Roman"/>
          <w:sz w:val="22"/>
          <w:szCs w:val="22"/>
          <w:lang w:val="sv-FI" w:eastAsia="sv-FI"/>
        </w:rPr>
        <w:t>Vidare är det landskapsregeringens avsikt att föra dialog med kommissionen angående Ålands tänkbara reform- och investeringsprojekt.</w:t>
      </w:r>
    </w:p>
    <w:p w14:paraId="2AA65A11" w14:textId="3C7F439E" w:rsidR="000B3A6E" w:rsidRDefault="000B3A6E" w:rsidP="00411025">
      <w:pPr>
        <w:rPr>
          <w:rFonts w:ascii="Times New Roman" w:hAnsi="Times New Roman" w:cs="Times New Roman"/>
          <w:sz w:val="22"/>
          <w:szCs w:val="22"/>
          <w:lang w:val="sv-FI" w:eastAsia="sv-FI"/>
        </w:rPr>
      </w:pPr>
      <w:r w:rsidRPr="7C190DF7">
        <w:rPr>
          <w:rFonts w:ascii="Times New Roman" w:hAnsi="Times New Roman" w:cs="Times New Roman"/>
          <w:sz w:val="22"/>
          <w:szCs w:val="22"/>
          <w:lang w:val="sv-FI" w:eastAsia="sv-FI"/>
        </w:rPr>
        <w:t xml:space="preserve">   Utöver detta meddelande avser landskapsregeringen att återkomma till lagtinget med ett förslag till budgetering av och </w:t>
      </w:r>
      <w:r w:rsidR="7633B246" w:rsidRPr="7C190DF7">
        <w:rPr>
          <w:rFonts w:ascii="Times New Roman" w:hAnsi="Times New Roman" w:cs="Times New Roman"/>
          <w:sz w:val="22"/>
          <w:szCs w:val="22"/>
          <w:lang w:val="sv-FI" w:eastAsia="sv-FI"/>
        </w:rPr>
        <w:t xml:space="preserve">en </w:t>
      </w:r>
      <w:r w:rsidRPr="7C190DF7">
        <w:rPr>
          <w:rFonts w:ascii="Times New Roman" w:hAnsi="Times New Roman" w:cs="Times New Roman"/>
          <w:sz w:val="22"/>
          <w:szCs w:val="22"/>
          <w:lang w:val="sv-FI" w:eastAsia="sv-FI"/>
        </w:rPr>
        <w:t xml:space="preserve">begäran om nödvändiga fullmakter för förverkligandet av Ålands reform- och investeringsprojekt inom ramen för EU:s facilitet för återhämtning och </w:t>
      </w:r>
      <w:proofErr w:type="spellStart"/>
      <w:r w:rsidRPr="7C190DF7">
        <w:rPr>
          <w:rFonts w:ascii="Times New Roman" w:hAnsi="Times New Roman" w:cs="Times New Roman"/>
          <w:sz w:val="22"/>
          <w:szCs w:val="22"/>
          <w:lang w:val="sv-FI" w:eastAsia="sv-FI"/>
        </w:rPr>
        <w:t>resiliens</w:t>
      </w:r>
      <w:proofErr w:type="spellEnd"/>
      <w:r w:rsidRPr="7C190DF7">
        <w:rPr>
          <w:rFonts w:ascii="Times New Roman" w:hAnsi="Times New Roman" w:cs="Times New Roman"/>
          <w:sz w:val="22"/>
          <w:szCs w:val="22"/>
          <w:lang w:val="sv-FI" w:eastAsia="sv-FI"/>
        </w:rPr>
        <w:t xml:space="preserve">. </w:t>
      </w:r>
    </w:p>
    <w:p w14:paraId="28C48690" w14:textId="77777777" w:rsidR="000B3A6E" w:rsidRDefault="000B3A6E" w:rsidP="00411025">
      <w:pPr>
        <w:rPr>
          <w:rFonts w:ascii="Times New Roman" w:hAnsi="Times New Roman" w:cs="Times New Roman"/>
          <w:sz w:val="22"/>
          <w:szCs w:val="22"/>
          <w:lang w:val="sv-FI" w:eastAsia="sv-FI"/>
        </w:rPr>
      </w:pPr>
    </w:p>
    <w:p w14:paraId="48C7D004" w14:textId="77777777" w:rsidR="005A1961" w:rsidRPr="000B7170" w:rsidRDefault="005A1961" w:rsidP="000D4EC1">
      <w:pPr>
        <w:pStyle w:val="ANormal"/>
      </w:pPr>
    </w:p>
    <w:p w14:paraId="473A2906" w14:textId="776A358F" w:rsidR="000D4EC1" w:rsidRPr="000B7170" w:rsidRDefault="000D4EC1" w:rsidP="000D4EC1">
      <w:pPr>
        <w:pStyle w:val="ANormal"/>
      </w:pPr>
      <w:r w:rsidRPr="000B7170">
        <w:t xml:space="preserve">Mariehamn den </w:t>
      </w:r>
      <w:r w:rsidR="00B8036E">
        <w:t>10</w:t>
      </w:r>
      <w:r w:rsidR="00411025">
        <w:t xml:space="preserve"> december </w:t>
      </w:r>
      <w:r w:rsidR="00970BA3">
        <w:t>20</w:t>
      </w:r>
      <w:r w:rsidR="00411025">
        <w:t>20</w:t>
      </w:r>
    </w:p>
    <w:p w14:paraId="1D449463" w14:textId="77777777" w:rsidR="000D4EC1" w:rsidRPr="000B7170" w:rsidRDefault="000D4EC1" w:rsidP="000D4EC1">
      <w:pPr>
        <w:pStyle w:val="ANormal"/>
      </w:pPr>
    </w:p>
    <w:p w14:paraId="6AFD5F32" w14:textId="77777777" w:rsidR="000D4EC1" w:rsidRPr="000B7170" w:rsidRDefault="000D4EC1" w:rsidP="000D4EC1">
      <w:pPr>
        <w:pStyle w:val="ANormal"/>
      </w:pPr>
    </w:p>
    <w:p w14:paraId="1539FB13" w14:textId="77777777" w:rsidR="000D4EC1" w:rsidRPr="000B7170" w:rsidRDefault="000D4EC1" w:rsidP="000D4EC1">
      <w:pPr>
        <w:pStyle w:val="ANormal"/>
      </w:pPr>
    </w:p>
    <w:p w14:paraId="05BFBD7A" w14:textId="50C08F43" w:rsidR="00411025" w:rsidRPr="000B7170" w:rsidRDefault="005A1961" w:rsidP="000D4EC1">
      <w:pPr>
        <w:pStyle w:val="ANormal"/>
      </w:pPr>
      <w:r>
        <w:t>L a n t r å d</w:t>
      </w:r>
      <w:r w:rsidR="000D4EC1" w:rsidRPr="000B7170">
        <w:tab/>
      </w:r>
      <w:r w:rsidR="00B8036E">
        <w:t>Veronica Thörnroos</w:t>
      </w:r>
      <w:r w:rsidR="000D4EC1" w:rsidRPr="000B7170">
        <w:tab/>
      </w:r>
    </w:p>
    <w:p w14:paraId="7F6C26BB" w14:textId="77777777" w:rsidR="000D4EC1" w:rsidRPr="000B7170" w:rsidRDefault="000D4EC1" w:rsidP="000D4EC1">
      <w:pPr>
        <w:pStyle w:val="ANormal"/>
      </w:pPr>
    </w:p>
    <w:p w14:paraId="7316CB71" w14:textId="77777777" w:rsidR="000D4EC1" w:rsidRPr="000B7170" w:rsidRDefault="000D4EC1" w:rsidP="000D4EC1">
      <w:pPr>
        <w:pStyle w:val="ANormal"/>
      </w:pPr>
    </w:p>
    <w:p w14:paraId="4C87A377" w14:textId="77777777" w:rsidR="000D4EC1" w:rsidRPr="000B7170" w:rsidRDefault="000D4EC1" w:rsidP="000D4EC1">
      <w:pPr>
        <w:pStyle w:val="ANormal"/>
      </w:pPr>
    </w:p>
    <w:p w14:paraId="0A96D7FD" w14:textId="0644E711" w:rsidR="000D4EC1" w:rsidRPr="000B7170" w:rsidRDefault="006C36A1" w:rsidP="000D4EC1">
      <w:pPr>
        <w:pStyle w:val="ANormal"/>
      </w:pPr>
      <w:r>
        <w:t>M</w:t>
      </w:r>
      <w:r w:rsidR="000B3A6E">
        <w:t>inister</w:t>
      </w:r>
      <w:r w:rsidR="004E359C">
        <w:tab/>
      </w:r>
      <w:r>
        <w:tab/>
      </w:r>
      <w:r w:rsidR="00B8036E">
        <w:t>Torbjörn Eliasson</w:t>
      </w:r>
      <w:r w:rsidR="004E359C">
        <w:tab/>
      </w:r>
      <w:r w:rsidR="00251F53" w:rsidRPr="000B7170">
        <w:tab/>
      </w:r>
      <w:r w:rsidR="00251F53" w:rsidRPr="000B7170">
        <w:tab/>
      </w:r>
      <w:r w:rsidR="005A1961">
        <w:t xml:space="preserve"> </w:t>
      </w:r>
    </w:p>
    <w:p w14:paraId="461A6106" w14:textId="2EC7D4D9" w:rsidR="00411025" w:rsidRDefault="00411025">
      <w:pPr>
        <w:pStyle w:val="Innehll1"/>
      </w:pPr>
    </w:p>
    <w:p w14:paraId="433D5137" w14:textId="77777777" w:rsidR="008A14F0" w:rsidRPr="008A14F0" w:rsidRDefault="008A14F0" w:rsidP="008A14F0"/>
    <w:p w14:paraId="19393806" w14:textId="46AF1737" w:rsidR="000E14E2" w:rsidRPr="000B7170" w:rsidRDefault="000E14E2">
      <w:pPr>
        <w:pStyle w:val="Innehll1"/>
      </w:pPr>
      <w:r w:rsidRPr="000B7170">
        <w:t>INNEHÅLL</w:t>
      </w:r>
    </w:p>
    <w:p w14:paraId="43270955" w14:textId="7F625205" w:rsidR="004961E1" w:rsidRDefault="000E14E2">
      <w:pPr>
        <w:pStyle w:val="Innehll1"/>
        <w:rPr>
          <w:rFonts w:asciiTheme="minorHAnsi" w:eastAsiaTheme="minorEastAsia" w:hAnsiTheme="minorHAnsi" w:cstheme="minorBidi"/>
          <w:sz w:val="22"/>
          <w:szCs w:val="22"/>
          <w:lang w:val="sv-FI" w:eastAsia="sv-FI"/>
        </w:rPr>
      </w:pPr>
      <w:r w:rsidRPr="000B7170">
        <w:fldChar w:fldCharType="begin"/>
      </w:r>
      <w:r w:rsidRPr="000B7170">
        <w:instrText xml:space="preserve"> TOC \o "1-3" \h \z </w:instrText>
      </w:r>
      <w:r w:rsidRPr="000B7170">
        <w:fldChar w:fldCharType="separate"/>
      </w:r>
      <w:hyperlink w:anchor="_Toc523391809" w:history="1">
        <w:r w:rsidR="004961E1" w:rsidRPr="00A13975">
          <w:rPr>
            <w:rStyle w:val="Hyperlnk"/>
            <w:lang w:val="sv-FI" w:eastAsia="sv-FI"/>
          </w:rPr>
          <w:t xml:space="preserve">1. </w:t>
        </w:r>
        <w:r w:rsidR="00D1657B">
          <w:rPr>
            <w:rStyle w:val="Hyperlnk"/>
            <w:lang w:val="sv-FI" w:eastAsia="sv-FI"/>
          </w:rPr>
          <w:t>EU:s princip</w:t>
        </w:r>
        <w:r w:rsidR="00FD2E00">
          <w:rPr>
            <w:rStyle w:val="Hyperlnk"/>
            <w:lang w:val="sv-FI" w:eastAsia="sv-FI"/>
          </w:rPr>
          <w:t>er</w:t>
        </w:r>
        <w:r w:rsidR="00D1657B">
          <w:rPr>
            <w:rStyle w:val="Hyperlnk"/>
            <w:lang w:val="sv-FI" w:eastAsia="sv-FI"/>
          </w:rPr>
          <w:t xml:space="preserve"> och riktlinjer för reform- och investeringsprojekt</w:t>
        </w:r>
        <w:r w:rsidR="004961E1">
          <w:rPr>
            <w:webHidden/>
          </w:rPr>
          <w:tab/>
        </w:r>
        <w:r w:rsidR="004961E1">
          <w:rPr>
            <w:webHidden/>
          </w:rPr>
          <w:fldChar w:fldCharType="begin"/>
        </w:r>
        <w:r w:rsidR="004961E1">
          <w:rPr>
            <w:webHidden/>
          </w:rPr>
          <w:instrText xml:space="preserve"> PAGEREF _Toc523391809 \h </w:instrText>
        </w:r>
        <w:r w:rsidR="004961E1">
          <w:rPr>
            <w:webHidden/>
          </w:rPr>
        </w:r>
        <w:r w:rsidR="004961E1">
          <w:rPr>
            <w:webHidden/>
          </w:rPr>
          <w:fldChar w:fldCharType="separate"/>
        </w:r>
        <w:r w:rsidR="0095492D">
          <w:rPr>
            <w:webHidden/>
          </w:rPr>
          <w:t>3</w:t>
        </w:r>
        <w:r w:rsidR="004961E1">
          <w:rPr>
            <w:webHidden/>
          </w:rPr>
          <w:fldChar w:fldCharType="end"/>
        </w:r>
      </w:hyperlink>
    </w:p>
    <w:p w14:paraId="4B9DE2D6" w14:textId="1EE28D48" w:rsidR="004961E1" w:rsidRDefault="006F10A5">
      <w:pPr>
        <w:pStyle w:val="Innehll1"/>
        <w:rPr>
          <w:rFonts w:asciiTheme="minorHAnsi" w:eastAsiaTheme="minorEastAsia" w:hAnsiTheme="minorHAnsi" w:cstheme="minorBidi"/>
          <w:sz w:val="22"/>
          <w:szCs w:val="22"/>
          <w:lang w:val="sv-FI" w:eastAsia="sv-FI"/>
        </w:rPr>
      </w:pPr>
      <w:hyperlink w:anchor="_Toc523391810" w:history="1">
        <w:r w:rsidR="004961E1" w:rsidRPr="00A13975">
          <w:rPr>
            <w:rStyle w:val="Hyperlnk"/>
          </w:rPr>
          <w:t xml:space="preserve">2. </w:t>
        </w:r>
        <w:r w:rsidR="00D1657B">
          <w:rPr>
            <w:rStyle w:val="Hyperlnk"/>
          </w:rPr>
          <w:t>Tänkbara reform- och investeringsprojekt</w:t>
        </w:r>
        <w:r w:rsidR="00FE3C9E">
          <w:rPr>
            <w:rStyle w:val="Hyperlnk"/>
          </w:rPr>
          <w:t xml:space="preserve"> för Åland</w:t>
        </w:r>
        <w:r w:rsidR="004961E1">
          <w:rPr>
            <w:webHidden/>
          </w:rPr>
          <w:tab/>
        </w:r>
        <w:r w:rsidR="00287CF5">
          <w:rPr>
            <w:webHidden/>
          </w:rPr>
          <w:t>4</w:t>
        </w:r>
      </w:hyperlink>
    </w:p>
    <w:p w14:paraId="0314073C" w14:textId="417017CF" w:rsidR="004961E1" w:rsidRDefault="006F10A5">
      <w:pPr>
        <w:pStyle w:val="Innehll1"/>
      </w:pPr>
      <w:hyperlink w:anchor="_Toc523391811" w:history="1">
        <w:r w:rsidR="004961E1" w:rsidRPr="00A13975">
          <w:rPr>
            <w:rStyle w:val="Hyperlnk"/>
          </w:rPr>
          <w:t xml:space="preserve">3. </w:t>
        </w:r>
        <w:r w:rsidR="0011715F">
          <w:rPr>
            <w:rStyle w:val="Hyperlnk"/>
          </w:rPr>
          <w:t>Preliminära p</w:t>
        </w:r>
        <w:r w:rsidR="00D1657B">
          <w:rPr>
            <w:rStyle w:val="Hyperlnk"/>
          </w:rPr>
          <w:t>rojektbeskrivningar</w:t>
        </w:r>
        <w:r w:rsidR="004961E1">
          <w:rPr>
            <w:webHidden/>
          </w:rPr>
          <w:tab/>
        </w:r>
        <w:r w:rsidR="004961E1">
          <w:rPr>
            <w:webHidden/>
          </w:rPr>
          <w:fldChar w:fldCharType="begin"/>
        </w:r>
        <w:r w:rsidR="004961E1">
          <w:rPr>
            <w:webHidden/>
          </w:rPr>
          <w:instrText xml:space="preserve"> PAGEREF _Toc523391811 \h </w:instrText>
        </w:r>
        <w:r w:rsidR="004961E1">
          <w:rPr>
            <w:webHidden/>
          </w:rPr>
        </w:r>
        <w:r w:rsidR="004961E1">
          <w:rPr>
            <w:webHidden/>
          </w:rPr>
          <w:fldChar w:fldCharType="separate"/>
        </w:r>
        <w:r w:rsidR="0095492D">
          <w:rPr>
            <w:webHidden/>
          </w:rPr>
          <w:t>5</w:t>
        </w:r>
        <w:r w:rsidR="004961E1">
          <w:rPr>
            <w:webHidden/>
          </w:rPr>
          <w:fldChar w:fldCharType="end"/>
        </w:r>
      </w:hyperlink>
    </w:p>
    <w:p w14:paraId="5933F474" w14:textId="1FDCB6C0" w:rsidR="00287CF5" w:rsidRPr="00287CF5" w:rsidRDefault="00287CF5" w:rsidP="00287CF5"/>
    <w:p w14:paraId="13374D58" w14:textId="3654C802" w:rsidR="00287CF5" w:rsidRPr="00287CF5" w:rsidRDefault="00287CF5" w:rsidP="00287CF5"/>
    <w:p w14:paraId="4EECAAFD" w14:textId="2FF4DE16" w:rsidR="00287CF5" w:rsidRDefault="000E14E2" w:rsidP="00122483">
      <w:pPr>
        <w:pStyle w:val="ANormal"/>
        <w:rPr>
          <w:noProof/>
        </w:rPr>
      </w:pPr>
      <w:r w:rsidRPr="000B7170">
        <w:rPr>
          <w:noProof/>
        </w:rPr>
        <w:fldChar w:fldCharType="end"/>
      </w:r>
      <w:bookmarkStart w:id="0" w:name="_Toc444602654"/>
    </w:p>
    <w:p w14:paraId="027F4853" w14:textId="77777777" w:rsidR="002A7E86" w:rsidRPr="000B7170" w:rsidRDefault="002A7E86" w:rsidP="00A16BD2">
      <w:pPr>
        <w:pStyle w:val="RubrikA"/>
        <w:rPr>
          <w:lang w:val="sv-FI" w:eastAsia="sv-FI"/>
        </w:rPr>
      </w:pPr>
    </w:p>
    <w:p w14:paraId="68065571" w14:textId="77777777" w:rsidR="007E43EE" w:rsidRDefault="007E43EE">
      <w:pPr>
        <w:rPr>
          <w:rFonts w:ascii="Times New Roman" w:eastAsia="Times New Roman" w:hAnsi="Times New Roman" w:cs="Times New Roman"/>
          <w:sz w:val="30"/>
          <w:szCs w:val="20"/>
          <w:lang w:val="sv-FI" w:eastAsia="sv-FI"/>
        </w:rPr>
      </w:pPr>
      <w:r>
        <w:rPr>
          <w:lang w:val="sv-FI" w:eastAsia="sv-FI"/>
        </w:rPr>
        <w:br w:type="page"/>
      </w:r>
    </w:p>
    <w:p w14:paraId="5608C038" w14:textId="77777777" w:rsidR="00DF0CD8" w:rsidRPr="000B7170" w:rsidRDefault="00DF0CD8" w:rsidP="00A16BD2">
      <w:pPr>
        <w:pStyle w:val="RubrikA"/>
        <w:rPr>
          <w:lang w:val="sv-FI" w:eastAsia="sv-FI"/>
        </w:rPr>
      </w:pPr>
    </w:p>
    <w:p w14:paraId="5E95009A" w14:textId="6F923B69" w:rsidR="00A16BD2" w:rsidRDefault="00A16BD2" w:rsidP="005A1961">
      <w:pPr>
        <w:pStyle w:val="RubrikA"/>
        <w:rPr>
          <w:lang w:val="sv-FI" w:eastAsia="sv-FI"/>
        </w:rPr>
      </w:pPr>
      <w:bookmarkStart w:id="1" w:name="_Toc523391809"/>
      <w:r w:rsidRPr="000B7170">
        <w:rPr>
          <w:lang w:val="sv-FI" w:eastAsia="sv-FI"/>
        </w:rPr>
        <w:t xml:space="preserve">1. </w:t>
      </w:r>
      <w:bookmarkEnd w:id="0"/>
      <w:bookmarkEnd w:id="1"/>
      <w:r w:rsidR="00D1657B">
        <w:rPr>
          <w:lang w:val="sv-FI" w:eastAsia="sv-FI"/>
        </w:rPr>
        <w:t>EU:s principer och riktlinjer för reform- och investeringsprojekt</w:t>
      </w:r>
    </w:p>
    <w:p w14:paraId="5AC2563F" w14:textId="77777777" w:rsidR="00D1657B" w:rsidRPr="00D1657B" w:rsidRDefault="00D1657B" w:rsidP="00D1657B">
      <w:pPr>
        <w:pStyle w:val="Rubrikmellanrum"/>
        <w:rPr>
          <w:lang w:val="sv-FI" w:eastAsia="sv-FI"/>
        </w:rPr>
      </w:pPr>
    </w:p>
    <w:p w14:paraId="6991FDCA" w14:textId="7A8A2261" w:rsidR="00D1657B" w:rsidRDefault="00D1657B" w:rsidP="005A1961">
      <w:pPr>
        <w:pStyle w:val="ANormal"/>
        <w:rPr>
          <w:iCs/>
        </w:rPr>
      </w:pPr>
      <w:r>
        <w:rPr>
          <w:iCs/>
        </w:rPr>
        <w:t xml:space="preserve">EU:s facilitet för återhämtning och </w:t>
      </w:r>
      <w:proofErr w:type="spellStart"/>
      <w:r>
        <w:rPr>
          <w:iCs/>
        </w:rPr>
        <w:t>resiliens</w:t>
      </w:r>
      <w:proofErr w:type="spellEnd"/>
      <w:r w:rsidR="00A40F3D">
        <w:rPr>
          <w:iCs/>
        </w:rPr>
        <w:t xml:space="preserve"> står i centrum för återhämtningen</w:t>
      </w:r>
      <w:r w:rsidR="007014B3">
        <w:rPr>
          <w:iCs/>
        </w:rPr>
        <w:t xml:space="preserve"> efter </w:t>
      </w:r>
      <w:proofErr w:type="spellStart"/>
      <w:r w:rsidR="007014B3">
        <w:rPr>
          <w:iCs/>
        </w:rPr>
        <w:t>coronakrisen</w:t>
      </w:r>
      <w:proofErr w:type="spellEnd"/>
      <w:r w:rsidR="007014B3">
        <w:rPr>
          <w:iCs/>
        </w:rPr>
        <w:t xml:space="preserve"> och är avsedd att hjälpa EU att komma starkare och mer </w:t>
      </w:r>
      <w:proofErr w:type="spellStart"/>
      <w:r w:rsidR="007014B3">
        <w:rPr>
          <w:iCs/>
        </w:rPr>
        <w:t>resilient</w:t>
      </w:r>
      <w:proofErr w:type="spellEnd"/>
      <w:r w:rsidR="007014B3">
        <w:rPr>
          <w:iCs/>
        </w:rPr>
        <w:t xml:space="preserve"> ur krisen. Facilitet</w:t>
      </w:r>
      <w:r w:rsidR="00C23BE5">
        <w:rPr>
          <w:iCs/>
        </w:rPr>
        <w:t xml:space="preserve">en för återhämtning och </w:t>
      </w:r>
      <w:proofErr w:type="spellStart"/>
      <w:r w:rsidR="00C23BE5">
        <w:rPr>
          <w:iCs/>
        </w:rPr>
        <w:t>resiliens</w:t>
      </w:r>
      <w:proofErr w:type="spellEnd"/>
      <w:r w:rsidR="00C23BE5">
        <w:rPr>
          <w:iCs/>
        </w:rPr>
        <w:t xml:space="preserve"> utgör ett omfattande ekonomiskt stöd under de första avgörande åren av återhämtningen.</w:t>
      </w:r>
    </w:p>
    <w:p w14:paraId="7252055C" w14:textId="6D3255A2" w:rsidR="00C23BE5" w:rsidRDefault="00C23BE5" w:rsidP="7C190DF7">
      <w:pPr>
        <w:pStyle w:val="ANormal"/>
      </w:pPr>
      <w:r>
        <w:t xml:space="preserve">  För att medlemsstaterna ska kunna dra fördel av faciliteten för återhämtning och </w:t>
      </w:r>
      <w:proofErr w:type="spellStart"/>
      <w:r>
        <w:t>resiliens</w:t>
      </w:r>
      <w:proofErr w:type="spellEnd"/>
      <w:r>
        <w:t xml:space="preserve"> bör de lämna sina utkast till planer för återhämtning och </w:t>
      </w:r>
      <w:proofErr w:type="spellStart"/>
      <w:r>
        <w:t>resiliens</w:t>
      </w:r>
      <w:proofErr w:type="spellEnd"/>
      <w:r>
        <w:t xml:space="preserve"> som beskriver deras nationella investerings- och reformagendor</w:t>
      </w:r>
      <w:r w:rsidR="39CFE4D0">
        <w:t xml:space="preserve"> till kommissionen</w:t>
      </w:r>
      <w:r>
        <w:t xml:space="preserve">. EU avser därefter att bevilja ekonomiskt stöd till reform- och investeringsprojekt som är utformade i enlighet med </w:t>
      </w:r>
      <w:r w:rsidR="3626B467">
        <w:t>vissa</w:t>
      </w:r>
      <w:r>
        <w:t xml:space="preserve"> principer.</w:t>
      </w:r>
    </w:p>
    <w:p w14:paraId="18B1FC5E" w14:textId="34DC2192" w:rsidR="007014B3" w:rsidRPr="007014B3" w:rsidRDefault="00C23BE5" w:rsidP="00C23BE5">
      <w:pPr>
        <w:pStyle w:val="ANormal"/>
        <w:rPr>
          <w:szCs w:val="22"/>
        </w:rPr>
      </w:pPr>
      <w:r>
        <w:rPr>
          <w:szCs w:val="22"/>
        </w:rPr>
        <w:t xml:space="preserve">   </w:t>
      </w:r>
      <w:r w:rsidR="007014B3" w:rsidRPr="007014B3">
        <w:rPr>
          <w:szCs w:val="22"/>
        </w:rPr>
        <w:t>De fyra dimensionerna miljömässig hållbarhet, produktivitet, rättvisa och makroekonomisk stabilitet är vägledande principer för facilitetens reformer och investeringar.</w:t>
      </w:r>
    </w:p>
    <w:p w14:paraId="3EC552AC" w14:textId="1CAE5CB3" w:rsidR="007014B3" w:rsidRPr="007014B3" w:rsidRDefault="00C23BE5" w:rsidP="007014B3">
      <w:pPr>
        <w:rPr>
          <w:rFonts w:ascii="Times New Roman" w:hAnsi="Times New Roman" w:cs="Times New Roman"/>
          <w:sz w:val="22"/>
          <w:szCs w:val="22"/>
        </w:rPr>
      </w:pPr>
      <w:r>
        <w:rPr>
          <w:rFonts w:ascii="Times New Roman" w:hAnsi="Times New Roman" w:cs="Times New Roman"/>
          <w:sz w:val="22"/>
          <w:szCs w:val="22"/>
        </w:rPr>
        <w:t xml:space="preserve">   </w:t>
      </w:r>
      <w:r w:rsidR="007014B3" w:rsidRPr="007014B3">
        <w:rPr>
          <w:rFonts w:ascii="Times New Roman" w:hAnsi="Times New Roman" w:cs="Times New Roman"/>
          <w:sz w:val="22"/>
          <w:szCs w:val="22"/>
        </w:rPr>
        <w:t xml:space="preserve">Planerna bör göra det möjligt för medlemsstaterna att öka sina ekonomiers tillväxtpotential, jobbskapande, ekonomiska och sociala </w:t>
      </w:r>
      <w:proofErr w:type="spellStart"/>
      <w:r w:rsidR="007014B3" w:rsidRPr="007014B3">
        <w:rPr>
          <w:rFonts w:ascii="Times New Roman" w:hAnsi="Times New Roman" w:cs="Times New Roman"/>
          <w:sz w:val="22"/>
          <w:szCs w:val="22"/>
        </w:rPr>
        <w:t>resiliens</w:t>
      </w:r>
      <w:proofErr w:type="spellEnd"/>
      <w:r w:rsidR="007014B3" w:rsidRPr="007014B3">
        <w:rPr>
          <w:rFonts w:ascii="Times New Roman" w:hAnsi="Times New Roman" w:cs="Times New Roman"/>
          <w:sz w:val="22"/>
          <w:szCs w:val="22"/>
        </w:rPr>
        <w:t xml:space="preserve"> samt förverkliga den gröna och digitala omställningen.</w:t>
      </w:r>
      <w:r>
        <w:rPr>
          <w:rFonts w:ascii="Times New Roman" w:hAnsi="Times New Roman" w:cs="Times New Roman"/>
          <w:sz w:val="22"/>
          <w:szCs w:val="22"/>
        </w:rPr>
        <w:t xml:space="preserve"> K</w:t>
      </w:r>
      <w:r w:rsidR="007014B3" w:rsidRPr="007014B3">
        <w:rPr>
          <w:rFonts w:ascii="Times New Roman" w:hAnsi="Times New Roman" w:cs="Times New Roman"/>
          <w:sz w:val="22"/>
          <w:szCs w:val="22"/>
        </w:rPr>
        <w:t xml:space="preserve">ommissionen uppmanar medlemsstaterna att i sina planer inkludera investeringar och reformer </w:t>
      </w:r>
      <w:r>
        <w:rPr>
          <w:rFonts w:ascii="Times New Roman" w:hAnsi="Times New Roman" w:cs="Times New Roman"/>
          <w:sz w:val="22"/>
          <w:szCs w:val="22"/>
        </w:rPr>
        <w:t>inom</w:t>
      </w:r>
      <w:r w:rsidR="007014B3" w:rsidRPr="007014B3">
        <w:rPr>
          <w:rFonts w:ascii="Times New Roman" w:hAnsi="Times New Roman" w:cs="Times New Roman"/>
          <w:sz w:val="22"/>
          <w:szCs w:val="22"/>
        </w:rPr>
        <w:t xml:space="preserve"> följande flaggskeppsområden:</w:t>
      </w:r>
    </w:p>
    <w:p w14:paraId="3301756A" w14:textId="04486879" w:rsidR="007014B3" w:rsidRPr="007014B3" w:rsidRDefault="007014B3" w:rsidP="007014B3">
      <w:pPr>
        <w:numPr>
          <w:ilvl w:val="0"/>
          <w:numId w:val="35"/>
        </w:numPr>
        <w:spacing w:before="100" w:beforeAutospacing="1" w:after="100" w:afterAutospacing="1"/>
        <w:rPr>
          <w:rFonts w:ascii="Times New Roman" w:eastAsia="Times New Roman" w:hAnsi="Times New Roman" w:cs="Times New Roman"/>
          <w:color w:val="000000"/>
          <w:sz w:val="22"/>
          <w:szCs w:val="22"/>
          <w:lang w:eastAsia="sv-FI"/>
        </w:rPr>
      </w:pPr>
      <w:r w:rsidRPr="007014B3">
        <w:rPr>
          <w:rFonts w:ascii="Times New Roman" w:eastAsia="Times New Roman" w:hAnsi="Times New Roman" w:cs="Times New Roman"/>
          <w:i/>
          <w:iCs/>
          <w:color w:val="000000"/>
          <w:sz w:val="22"/>
          <w:szCs w:val="22"/>
          <w:lang w:eastAsia="sv-FI"/>
        </w:rPr>
        <w:t>Uppväxling</w:t>
      </w:r>
      <w:r w:rsidRPr="007014B3">
        <w:rPr>
          <w:rFonts w:ascii="Times New Roman" w:eastAsia="Times New Roman" w:hAnsi="Times New Roman" w:cs="Times New Roman"/>
          <w:color w:val="000000"/>
          <w:sz w:val="22"/>
          <w:szCs w:val="22"/>
          <w:lang w:eastAsia="sv-FI"/>
        </w:rPr>
        <w:t xml:space="preserve"> </w:t>
      </w:r>
      <w:r w:rsidR="0051706E">
        <w:rPr>
          <w:rFonts w:ascii="Times New Roman" w:eastAsia="Times New Roman" w:hAnsi="Times New Roman" w:cs="Times New Roman"/>
          <w:color w:val="000000"/>
          <w:sz w:val="22"/>
          <w:szCs w:val="22"/>
          <w:lang w:eastAsia="sv-FI"/>
        </w:rPr>
        <w:t>-</w:t>
      </w:r>
      <w:r w:rsidRPr="007014B3">
        <w:rPr>
          <w:rFonts w:ascii="Times New Roman" w:eastAsia="Times New Roman" w:hAnsi="Times New Roman" w:cs="Times New Roman"/>
          <w:color w:val="000000"/>
          <w:sz w:val="22"/>
          <w:szCs w:val="22"/>
          <w:lang w:eastAsia="sv-FI"/>
        </w:rPr>
        <w:t xml:space="preserve"> Tidigareläggning av framtidssäkrad ren teknik och påskyndande av utvecklingen och användningen av förnybar energi.</w:t>
      </w:r>
    </w:p>
    <w:p w14:paraId="5A0230AF" w14:textId="7240009D" w:rsidR="007014B3" w:rsidRPr="007014B3" w:rsidRDefault="007014B3" w:rsidP="007014B3">
      <w:pPr>
        <w:numPr>
          <w:ilvl w:val="0"/>
          <w:numId w:val="35"/>
        </w:numPr>
        <w:spacing w:before="100" w:beforeAutospacing="1" w:after="100" w:afterAutospacing="1"/>
        <w:rPr>
          <w:rFonts w:ascii="Times New Roman" w:eastAsia="Times New Roman" w:hAnsi="Times New Roman" w:cs="Times New Roman"/>
          <w:color w:val="000000"/>
          <w:sz w:val="22"/>
          <w:szCs w:val="22"/>
          <w:lang w:eastAsia="sv-FI"/>
        </w:rPr>
      </w:pPr>
      <w:r w:rsidRPr="007014B3">
        <w:rPr>
          <w:rFonts w:ascii="Times New Roman" w:eastAsia="Times New Roman" w:hAnsi="Times New Roman" w:cs="Times New Roman"/>
          <w:i/>
          <w:iCs/>
          <w:color w:val="000000"/>
          <w:sz w:val="22"/>
          <w:szCs w:val="22"/>
          <w:lang w:eastAsia="sv-FI"/>
        </w:rPr>
        <w:t>Renovering</w:t>
      </w:r>
      <w:r w:rsidRPr="007014B3">
        <w:rPr>
          <w:rFonts w:ascii="Times New Roman" w:eastAsia="Times New Roman" w:hAnsi="Times New Roman" w:cs="Times New Roman"/>
          <w:color w:val="000000"/>
          <w:sz w:val="22"/>
          <w:szCs w:val="22"/>
          <w:lang w:eastAsia="sv-FI"/>
        </w:rPr>
        <w:t xml:space="preserve"> </w:t>
      </w:r>
      <w:r w:rsidR="0051706E">
        <w:rPr>
          <w:rFonts w:ascii="Times New Roman" w:eastAsia="Times New Roman" w:hAnsi="Times New Roman" w:cs="Times New Roman"/>
          <w:color w:val="000000"/>
          <w:sz w:val="22"/>
          <w:szCs w:val="22"/>
          <w:lang w:eastAsia="sv-FI"/>
        </w:rPr>
        <w:t>-</w:t>
      </w:r>
      <w:r w:rsidRPr="007014B3">
        <w:rPr>
          <w:rFonts w:ascii="Times New Roman" w:eastAsia="Times New Roman" w:hAnsi="Times New Roman" w:cs="Times New Roman"/>
          <w:color w:val="000000"/>
          <w:sz w:val="22"/>
          <w:szCs w:val="22"/>
          <w:lang w:eastAsia="sv-FI"/>
        </w:rPr>
        <w:t xml:space="preserve"> Förbättring av energieffektiviteten i offentliga och privata byggnader.</w:t>
      </w:r>
    </w:p>
    <w:p w14:paraId="211286DD" w14:textId="77777777" w:rsidR="007014B3" w:rsidRPr="007014B3" w:rsidRDefault="007014B3" w:rsidP="007014B3">
      <w:pPr>
        <w:numPr>
          <w:ilvl w:val="0"/>
          <w:numId w:val="35"/>
        </w:numPr>
        <w:spacing w:before="100" w:beforeAutospacing="1" w:after="100" w:afterAutospacing="1"/>
        <w:rPr>
          <w:rFonts w:ascii="Times New Roman" w:eastAsia="Times New Roman" w:hAnsi="Times New Roman" w:cs="Times New Roman"/>
          <w:color w:val="000000"/>
          <w:sz w:val="22"/>
          <w:szCs w:val="22"/>
          <w:lang w:eastAsia="sv-FI"/>
        </w:rPr>
      </w:pPr>
      <w:r w:rsidRPr="007014B3">
        <w:rPr>
          <w:rFonts w:ascii="Times New Roman" w:eastAsia="Times New Roman" w:hAnsi="Times New Roman" w:cs="Times New Roman"/>
          <w:i/>
          <w:iCs/>
          <w:color w:val="000000"/>
          <w:sz w:val="22"/>
          <w:szCs w:val="22"/>
          <w:lang w:eastAsia="sv-FI"/>
        </w:rPr>
        <w:t>Laddning och tankning</w:t>
      </w:r>
      <w:r w:rsidRPr="007014B3">
        <w:rPr>
          <w:rFonts w:ascii="Times New Roman" w:eastAsia="Times New Roman" w:hAnsi="Times New Roman" w:cs="Times New Roman"/>
          <w:color w:val="000000"/>
          <w:sz w:val="22"/>
          <w:szCs w:val="22"/>
          <w:lang w:eastAsia="sv-FI"/>
        </w:rPr>
        <w:t xml:space="preserve"> – Främjandet av en framtidssäkrad ren teknik för att påskynda användningen av hållbara, tillgängliga och smarta transporter, laddnings- och tankningsstationer och utbyggnad av allmänna kommunikationer.</w:t>
      </w:r>
    </w:p>
    <w:p w14:paraId="5ECC853B" w14:textId="579F412A" w:rsidR="007014B3" w:rsidRPr="007014B3" w:rsidRDefault="007014B3" w:rsidP="007014B3">
      <w:pPr>
        <w:numPr>
          <w:ilvl w:val="0"/>
          <w:numId w:val="35"/>
        </w:numPr>
        <w:spacing w:before="100" w:beforeAutospacing="1" w:after="100" w:afterAutospacing="1"/>
        <w:rPr>
          <w:rFonts w:ascii="Times New Roman" w:eastAsia="Times New Roman" w:hAnsi="Times New Roman" w:cs="Times New Roman"/>
          <w:color w:val="000000"/>
          <w:sz w:val="22"/>
          <w:szCs w:val="22"/>
          <w:lang w:eastAsia="sv-FI"/>
        </w:rPr>
      </w:pPr>
      <w:r w:rsidRPr="007014B3">
        <w:rPr>
          <w:rFonts w:ascii="Times New Roman" w:eastAsia="Times New Roman" w:hAnsi="Times New Roman" w:cs="Times New Roman"/>
          <w:i/>
          <w:iCs/>
          <w:color w:val="000000"/>
          <w:sz w:val="22"/>
          <w:szCs w:val="22"/>
          <w:lang w:eastAsia="sv-FI"/>
        </w:rPr>
        <w:t>Uppkoppling</w:t>
      </w:r>
      <w:r w:rsidRPr="007014B3">
        <w:rPr>
          <w:rFonts w:ascii="Times New Roman" w:eastAsia="Times New Roman" w:hAnsi="Times New Roman" w:cs="Times New Roman"/>
          <w:color w:val="000000"/>
          <w:sz w:val="22"/>
          <w:szCs w:val="22"/>
          <w:lang w:eastAsia="sv-FI"/>
        </w:rPr>
        <w:t xml:space="preserve"> </w:t>
      </w:r>
      <w:r w:rsidR="0051706E">
        <w:rPr>
          <w:rFonts w:ascii="Times New Roman" w:eastAsia="Times New Roman" w:hAnsi="Times New Roman" w:cs="Times New Roman"/>
          <w:color w:val="000000"/>
          <w:sz w:val="22"/>
          <w:szCs w:val="22"/>
          <w:lang w:eastAsia="sv-FI"/>
        </w:rPr>
        <w:t>-</w:t>
      </w:r>
      <w:r w:rsidRPr="007014B3">
        <w:rPr>
          <w:rFonts w:ascii="Times New Roman" w:eastAsia="Times New Roman" w:hAnsi="Times New Roman" w:cs="Times New Roman"/>
          <w:color w:val="000000"/>
          <w:sz w:val="22"/>
          <w:szCs w:val="22"/>
          <w:lang w:eastAsia="sv-FI"/>
        </w:rPr>
        <w:t xml:space="preserve"> En snabb utbyggnad av snabba bredbandstjänster till alla regioner och hushåll, inklusive fiber- och 5G-nät.</w:t>
      </w:r>
    </w:p>
    <w:p w14:paraId="67200412" w14:textId="28C05147" w:rsidR="007014B3" w:rsidRPr="007014B3" w:rsidRDefault="007014B3" w:rsidP="007014B3">
      <w:pPr>
        <w:numPr>
          <w:ilvl w:val="0"/>
          <w:numId w:val="35"/>
        </w:numPr>
        <w:spacing w:before="100" w:beforeAutospacing="1" w:after="100" w:afterAutospacing="1"/>
        <w:rPr>
          <w:rFonts w:ascii="Times New Roman" w:eastAsia="Times New Roman" w:hAnsi="Times New Roman" w:cs="Times New Roman"/>
          <w:color w:val="000000"/>
          <w:sz w:val="22"/>
          <w:szCs w:val="22"/>
          <w:lang w:eastAsia="sv-FI"/>
        </w:rPr>
      </w:pPr>
      <w:bookmarkStart w:id="2" w:name="_Hlk58403619"/>
      <w:r w:rsidRPr="007014B3">
        <w:rPr>
          <w:rFonts w:ascii="Times New Roman" w:eastAsia="Times New Roman" w:hAnsi="Times New Roman" w:cs="Times New Roman"/>
          <w:i/>
          <w:iCs/>
          <w:color w:val="000000"/>
          <w:sz w:val="22"/>
          <w:szCs w:val="22"/>
          <w:lang w:eastAsia="sv-FI"/>
        </w:rPr>
        <w:t>Modernisering</w:t>
      </w:r>
      <w:r w:rsidRPr="007014B3">
        <w:rPr>
          <w:rFonts w:ascii="Times New Roman" w:eastAsia="Times New Roman" w:hAnsi="Times New Roman" w:cs="Times New Roman"/>
          <w:color w:val="000000"/>
          <w:sz w:val="22"/>
          <w:szCs w:val="22"/>
          <w:lang w:eastAsia="sv-FI"/>
        </w:rPr>
        <w:t xml:space="preserve"> </w:t>
      </w:r>
      <w:r w:rsidR="0051706E">
        <w:rPr>
          <w:rFonts w:ascii="Times New Roman" w:eastAsia="Times New Roman" w:hAnsi="Times New Roman" w:cs="Times New Roman"/>
          <w:color w:val="000000"/>
          <w:sz w:val="22"/>
          <w:szCs w:val="22"/>
          <w:lang w:eastAsia="sv-FI"/>
        </w:rPr>
        <w:t>-</w:t>
      </w:r>
      <w:r w:rsidRPr="007014B3">
        <w:rPr>
          <w:rFonts w:ascii="Times New Roman" w:eastAsia="Times New Roman" w:hAnsi="Times New Roman" w:cs="Times New Roman"/>
          <w:color w:val="000000"/>
          <w:sz w:val="22"/>
          <w:szCs w:val="22"/>
          <w:lang w:eastAsia="sv-FI"/>
        </w:rPr>
        <w:t xml:space="preserve"> Digitalisering av offentlig förvaltning och offentliga tjänster, inbegripet rättsväsende och hälso- och sjukvårdssystem.</w:t>
      </w:r>
    </w:p>
    <w:bookmarkEnd w:id="2"/>
    <w:p w14:paraId="524905FF" w14:textId="58084608" w:rsidR="007014B3" w:rsidRPr="007014B3" w:rsidRDefault="007014B3" w:rsidP="007014B3">
      <w:pPr>
        <w:numPr>
          <w:ilvl w:val="0"/>
          <w:numId w:val="35"/>
        </w:numPr>
        <w:spacing w:before="100" w:beforeAutospacing="1" w:after="100" w:afterAutospacing="1"/>
        <w:rPr>
          <w:rFonts w:ascii="Times New Roman" w:eastAsia="Times New Roman" w:hAnsi="Times New Roman" w:cs="Times New Roman"/>
          <w:color w:val="000000"/>
          <w:sz w:val="22"/>
          <w:szCs w:val="22"/>
          <w:lang w:eastAsia="sv-FI"/>
        </w:rPr>
      </w:pPr>
      <w:r w:rsidRPr="007014B3">
        <w:rPr>
          <w:rFonts w:ascii="Times New Roman" w:eastAsia="Times New Roman" w:hAnsi="Times New Roman" w:cs="Times New Roman"/>
          <w:i/>
          <w:iCs/>
          <w:color w:val="000000"/>
          <w:sz w:val="22"/>
          <w:szCs w:val="22"/>
          <w:lang w:eastAsia="sv-FI"/>
        </w:rPr>
        <w:t>Expandering</w:t>
      </w:r>
      <w:r w:rsidRPr="007014B3">
        <w:rPr>
          <w:rFonts w:ascii="Times New Roman" w:eastAsia="Times New Roman" w:hAnsi="Times New Roman" w:cs="Times New Roman"/>
          <w:color w:val="000000"/>
          <w:sz w:val="22"/>
          <w:szCs w:val="22"/>
          <w:lang w:eastAsia="sv-FI"/>
        </w:rPr>
        <w:t xml:space="preserve"> </w:t>
      </w:r>
      <w:r w:rsidR="0051706E">
        <w:rPr>
          <w:rFonts w:ascii="Times New Roman" w:eastAsia="Times New Roman" w:hAnsi="Times New Roman" w:cs="Times New Roman"/>
          <w:color w:val="000000"/>
          <w:sz w:val="22"/>
          <w:szCs w:val="22"/>
          <w:lang w:eastAsia="sv-FI"/>
        </w:rPr>
        <w:t>-</w:t>
      </w:r>
      <w:r w:rsidRPr="007014B3">
        <w:rPr>
          <w:rFonts w:ascii="Times New Roman" w:eastAsia="Times New Roman" w:hAnsi="Times New Roman" w:cs="Times New Roman"/>
          <w:color w:val="000000"/>
          <w:sz w:val="22"/>
          <w:szCs w:val="22"/>
          <w:lang w:eastAsia="sv-FI"/>
        </w:rPr>
        <w:t xml:space="preserve"> Ökning av den europeiska industriella datamolnskapaciteten och utveckling av de mest kraftfulla, avancerade och hållbara processorerna.</w:t>
      </w:r>
    </w:p>
    <w:p w14:paraId="5677F136" w14:textId="7C635E96" w:rsidR="007014B3" w:rsidRPr="007014B3" w:rsidRDefault="007014B3" w:rsidP="007014B3">
      <w:pPr>
        <w:numPr>
          <w:ilvl w:val="0"/>
          <w:numId w:val="35"/>
        </w:numPr>
        <w:spacing w:before="100" w:beforeAutospacing="1" w:after="100" w:afterAutospacing="1"/>
        <w:rPr>
          <w:rFonts w:ascii="Times New Roman" w:eastAsia="Times New Roman" w:hAnsi="Times New Roman" w:cs="Times New Roman"/>
          <w:color w:val="000000"/>
          <w:sz w:val="22"/>
          <w:szCs w:val="22"/>
          <w:lang w:eastAsia="sv-FI"/>
        </w:rPr>
      </w:pPr>
      <w:bookmarkStart w:id="3" w:name="_Hlk58403288"/>
      <w:r w:rsidRPr="007014B3">
        <w:rPr>
          <w:rFonts w:ascii="Times New Roman" w:eastAsia="Times New Roman" w:hAnsi="Times New Roman" w:cs="Times New Roman"/>
          <w:i/>
          <w:iCs/>
          <w:color w:val="000000"/>
          <w:sz w:val="22"/>
          <w:szCs w:val="22"/>
          <w:lang w:eastAsia="sv-FI"/>
        </w:rPr>
        <w:t>Omskolning och kompetensutveckling</w:t>
      </w:r>
      <w:r w:rsidRPr="007014B3">
        <w:rPr>
          <w:rFonts w:ascii="Times New Roman" w:eastAsia="Times New Roman" w:hAnsi="Times New Roman" w:cs="Times New Roman"/>
          <w:color w:val="000000"/>
          <w:sz w:val="22"/>
          <w:szCs w:val="22"/>
          <w:lang w:eastAsia="sv-FI"/>
        </w:rPr>
        <w:t xml:space="preserve"> </w:t>
      </w:r>
      <w:r w:rsidR="0051706E">
        <w:rPr>
          <w:rFonts w:ascii="Times New Roman" w:eastAsia="Times New Roman" w:hAnsi="Times New Roman" w:cs="Times New Roman"/>
          <w:color w:val="000000"/>
          <w:sz w:val="22"/>
          <w:szCs w:val="22"/>
          <w:lang w:eastAsia="sv-FI"/>
        </w:rPr>
        <w:t>-</w:t>
      </w:r>
      <w:r w:rsidRPr="007014B3">
        <w:rPr>
          <w:rFonts w:ascii="Times New Roman" w:eastAsia="Times New Roman" w:hAnsi="Times New Roman" w:cs="Times New Roman"/>
          <w:color w:val="000000"/>
          <w:sz w:val="22"/>
          <w:szCs w:val="22"/>
          <w:lang w:eastAsia="sv-FI"/>
        </w:rPr>
        <w:t xml:space="preserve"> Anpassning av utbildningssystemen till stöd för digitala färdigheter, utbildning och yrkesutbildning för alla åldrar.</w:t>
      </w:r>
    </w:p>
    <w:bookmarkEnd w:id="3"/>
    <w:p w14:paraId="4AFCB936" w14:textId="6D934946" w:rsidR="7C190DF7" w:rsidRDefault="7C190DF7" w:rsidP="7C190DF7"/>
    <w:p w14:paraId="55965CE0" w14:textId="6B235FF4" w:rsidR="003A1469" w:rsidRDefault="003A1469" w:rsidP="003A1469">
      <w:pPr>
        <w:pStyle w:val="RubrikA"/>
      </w:pPr>
      <w:bookmarkStart w:id="4" w:name="_Toc523391810"/>
      <w:r w:rsidRPr="000B7170">
        <w:t xml:space="preserve">2. </w:t>
      </w:r>
      <w:bookmarkEnd w:id="4"/>
      <w:r w:rsidR="00A40F3D">
        <w:t>Tänkbara reform- och investeringsprojekt</w:t>
      </w:r>
      <w:r w:rsidR="00FE3C9E">
        <w:t xml:space="preserve"> för Åland</w:t>
      </w:r>
    </w:p>
    <w:p w14:paraId="7F4096F0" w14:textId="77777777" w:rsidR="00A40F3D" w:rsidRPr="00A40F3D" w:rsidRDefault="00A40F3D" w:rsidP="00A40F3D">
      <w:pPr>
        <w:pStyle w:val="Rubrikmellanrum"/>
      </w:pPr>
    </w:p>
    <w:p w14:paraId="24E8348F" w14:textId="77777777" w:rsidR="00A40F3D" w:rsidRDefault="00A40F3D" w:rsidP="00485071">
      <w:pPr>
        <w:pStyle w:val="ANormal"/>
      </w:pPr>
      <w:r>
        <w:t>Landskapsregeringen har, utgående från EU:s principer och riktlinjer, utformat förslag till tänkbara åländska reform- och investeringsprojekt.</w:t>
      </w:r>
    </w:p>
    <w:p w14:paraId="32166C55" w14:textId="05567913" w:rsidR="00A40F3D" w:rsidRPr="0025756B" w:rsidRDefault="0011715F" w:rsidP="00485071">
      <w:pPr>
        <w:pStyle w:val="ANormal"/>
      </w:pPr>
      <w:r>
        <w:t xml:space="preserve">   </w:t>
      </w:r>
      <w:r w:rsidR="00A40F3D">
        <w:t xml:space="preserve">I arbetet </w:t>
      </w:r>
      <w:r w:rsidR="00A40F3D" w:rsidRPr="0025756B">
        <w:t>har följande riktlinjer varit vägledande:</w:t>
      </w:r>
    </w:p>
    <w:p w14:paraId="3DF43C6E" w14:textId="5F887817" w:rsidR="005A1961" w:rsidRPr="0025756B" w:rsidRDefault="00A40F3D" w:rsidP="0011715F">
      <w:pPr>
        <w:pStyle w:val="ANormal"/>
      </w:pPr>
      <w:r w:rsidRPr="0025756B">
        <w:t xml:space="preserve">- </w:t>
      </w:r>
      <w:r w:rsidR="0011715F" w:rsidRPr="0025756B">
        <w:t>F</w:t>
      </w:r>
      <w:r w:rsidRPr="0025756B">
        <w:t>örslag till reform- och in</w:t>
      </w:r>
      <w:r w:rsidR="0011715F" w:rsidRPr="0025756B">
        <w:t>v</w:t>
      </w:r>
      <w:r w:rsidRPr="0025756B">
        <w:t>esteringsprojekt ska</w:t>
      </w:r>
      <w:r w:rsidR="0011715F" w:rsidRPr="0025756B">
        <w:t xml:space="preserve"> tydligt bidra till uppnåendet av landskapets mål på medellång sikt (utvecklings- och hållbarhetsagendans sju strategiska utvecklingsmålen per år 2030).</w:t>
      </w:r>
    </w:p>
    <w:p w14:paraId="741721AD" w14:textId="79DBABAB" w:rsidR="0011715F" w:rsidRPr="0025756B" w:rsidRDefault="0011715F" w:rsidP="0011715F">
      <w:pPr>
        <w:pStyle w:val="ANormal"/>
      </w:pPr>
      <w:r w:rsidRPr="0025756B">
        <w:t>- Reform- och investeringsprojekten ska vara begränsade till antalet i syfte att projekten ska kunna tilldelas de resurser de behöver för att projektens mål ska ha goda möjligheter att kunna uppnås.</w:t>
      </w:r>
    </w:p>
    <w:p w14:paraId="7B55BF18" w14:textId="23C5CFB0" w:rsidR="0011715F" w:rsidRPr="0025756B" w:rsidRDefault="0011715F" w:rsidP="0011715F">
      <w:pPr>
        <w:pStyle w:val="ANormal"/>
      </w:pPr>
      <w:r w:rsidRPr="0025756B">
        <w:lastRenderedPageBreak/>
        <w:t>- Reform- och investeringsprojekten bör ha betydande potential för hävstångseffekter som stimulerar hållbar ekonomisk tillväxt samt skapar strategiska arbetstillfällen på kort- och medellång sikt.</w:t>
      </w:r>
    </w:p>
    <w:p w14:paraId="76BD56E5" w14:textId="58BB85BA" w:rsidR="0011715F" w:rsidRDefault="0011715F" w:rsidP="0011715F">
      <w:pPr>
        <w:pStyle w:val="ANormal"/>
      </w:pPr>
    </w:p>
    <w:p w14:paraId="1C2D8470" w14:textId="08CA4B8C" w:rsidR="005F31F7" w:rsidRDefault="0011715F" w:rsidP="0011715F">
      <w:pPr>
        <w:pStyle w:val="ANormal"/>
      </w:pPr>
      <w:r>
        <w:t>Mot ovanstående bakgrund är det landskapsregeringens avsikt att arbeta</w:t>
      </w:r>
      <w:r w:rsidR="205170C7">
        <w:t xml:space="preserve"> </w:t>
      </w:r>
      <w:r>
        <w:t xml:space="preserve">vidare </w:t>
      </w:r>
      <w:r w:rsidR="13D30C39">
        <w:t xml:space="preserve">med </w:t>
      </w:r>
      <w:r>
        <w:t xml:space="preserve">utformandet av </w:t>
      </w:r>
      <w:r w:rsidR="005F31F7">
        <w:t xml:space="preserve">nedanstående </w:t>
      </w:r>
      <w:r>
        <w:t>fyra reform- och investeringsprojek</w:t>
      </w:r>
      <w:r w:rsidR="0069021A">
        <w:t>t</w:t>
      </w:r>
      <w:r w:rsidR="00C23BE5">
        <w:t>. Preliminära projektbeskrivningar av de fyra projekten redogörs för i kapitel 3</w:t>
      </w:r>
      <w:r w:rsidR="005F31F7">
        <w:t xml:space="preserve">.   </w:t>
      </w:r>
    </w:p>
    <w:p w14:paraId="503F1410" w14:textId="1EF1817B" w:rsidR="0011715F" w:rsidRDefault="0011715F" w:rsidP="0011715F">
      <w:pPr>
        <w:pStyle w:val="ANormal"/>
      </w:pPr>
    </w:p>
    <w:p w14:paraId="32011317" w14:textId="74CFA060" w:rsidR="0011715F" w:rsidRDefault="0011715F" w:rsidP="0011715F">
      <w:pPr>
        <w:pStyle w:val="ANormal"/>
      </w:pPr>
      <w:r>
        <w:t xml:space="preserve">A. </w:t>
      </w:r>
      <w:r w:rsidR="00164E35">
        <w:t>OWF-baserat energisystem och fossilfri energiproduktion</w:t>
      </w:r>
    </w:p>
    <w:p w14:paraId="0856BB7E" w14:textId="77777777" w:rsidR="00AE75F8" w:rsidRDefault="00AE75F8" w:rsidP="0011715F">
      <w:pPr>
        <w:pStyle w:val="ANormal"/>
        <w:rPr>
          <w:i/>
          <w:iCs/>
        </w:rPr>
      </w:pPr>
    </w:p>
    <w:p w14:paraId="354CCBB7" w14:textId="7B9E7D24" w:rsidR="0011715F" w:rsidRDefault="00C23BE5" w:rsidP="7C190DF7">
      <w:pPr>
        <w:pStyle w:val="ANormal"/>
        <w:rPr>
          <w:i/>
          <w:iCs/>
        </w:rPr>
      </w:pPr>
      <w:r w:rsidRPr="7C190DF7">
        <w:rPr>
          <w:i/>
          <w:iCs/>
        </w:rPr>
        <w:t xml:space="preserve">Projektet bidrar </w:t>
      </w:r>
      <w:r w:rsidR="347CD94D" w:rsidRPr="7C190DF7">
        <w:rPr>
          <w:i/>
          <w:iCs/>
        </w:rPr>
        <w:t xml:space="preserve">i första hand </w:t>
      </w:r>
      <w:r w:rsidRPr="7C190DF7">
        <w:rPr>
          <w:i/>
          <w:iCs/>
        </w:rPr>
        <w:t xml:space="preserve">till </w:t>
      </w:r>
      <w:r w:rsidR="05C82EC6" w:rsidRPr="7C190DF7">
        <w:rPr>
          <w:i/>
          <w:iCs/>
        </w:rPr>
        <w:t xml:space="preserve">det strategiska utvecklingsmålet 6 (markant högre andel energi från förnyelsebara källor och ökad energieffektivitet) i Ålands utvecklings- och hållbarhetsagenda och till </w:t>
      </w:r>
      <w:r w:rsidRPr="7C190DF7">
        <w:rPr>
          <w:i/>
          <w:iCs/>
        </w:rPr>
        <w:t>den europeiska kommissionens flaggskeppsområde 1 (uppväxling – tidigareläggning av framtidssäkrad ren teknik och påskyndande av utvecklingen och användningen av förnybar energi)</w:t>
      </w:r>
      <w:r w:rsidR="72C038A7" w:rsidRPr="7C190DF7">
        <w:rPr>
          <w:i/>
          <w:iCs/>
        </w:rPr>
        <w:t>.</w:t>
      </w:r>
    </w:p>
    <w:p w14:paraId="37CB2130" w14:textId="77777777" w:rsidR="00C23BE5" w:rsidRPr="00C23BE5" w:rsidRDefault="00C23BE5" w:rsidP="0011715F">
      <w:pPr>
        <w:pStyle w:val="ANormal"/>
        <w:rPr>
          <w:i/>
          <w:iCs/>
        </w:rPr>
      </w:pPr>
    </w:p>
    <w:p w14:paraId="639C31CD" w14:textId="24E9C395" w:rsidR="00AE75F8" w:rsidRDefault="0011715F" w:rsidP="0011715F">
      <w:pPr>
        <w:pStyle w:val="ANormal"/>
        <w:rPr>
          <w:color w:val="FF0000"/>
        </w:rPr>
      </w:pPr>
      <w:r>
        <w:t xml:space="preserve">B. </w:t>
      </w:r>
      <w:r w:rsidR="004576A6" w:rsidRPr="003B6F50">
        <w:t>Förstärkning av högskolans attraktionskraft genom förädlat utbildningserbjudande och moderniserad digital pedagogik</w:t>
      </w:r>
    </w:p>
    <w:p w14:paraId="3700FE60" w14:textId="77777777" w:rsidR="004576A6" w:rsidRDefault="004576A6" w:rsidP="0011715F">
      <w:pPr>
        <w:pStyle w:val="ANormal"/>
        <w:rPr>
          <w:i/>
          <w:iCs/>
        </w:rPr>
      </w:pPr>
    </w:p>
    <w:p w14:paraId="3DDB7CB8" w14:textId="5C8CEC3A" w:rsidR="00C23BE5" w:rsidRDefault="00C23BE5" w:rsidP="7C190DF7">
      <w:pPr>
        <w:pStyle w:val="ANormal"/>
        <w:rPr>
          <w:i/>
          <w:iCs/>
        </w:rPr>
      </w:pPr>
      <w:r w:rsidRPr="7C190DF7">
        <w:rPr>
          <w:i/>
          <w:iCs/>
        </w:rPr>
        <w:t xml:space="preserve">Projektet bidrar </w:t>
      </w:r>
      <w:r w:rsidR="5119A778" w:rsidRPr="7C190DF7">
        <w:rPr>
          <w:i/>
          <w:iCs/>
        </w:rPr>
        <w:t xml:space="preserve">i fösta hand </w:t>
      </w:r>
      <w:r w:rsidRPr="7C190DF7">
        <w:rPr>
          <w:i/>
          <w:iCs/>
        </w:rPr>
        <w:t xml:space="preserve">till </w:t>
      </w:r>
      <w:r w:rsidR="71639C04" w:rsidRPr="7C190DF7">
        <w:rPr>
          <w:i/>
          <w:iCs/>
        </w:rPr>
        <w:t>de strategiska utvecklingsmåle</w:t>
      </w:r>
      <w:r w:rsidR="77A86976" w:rsidRPr="7C190DF7">
        <w:rPr>
          <w:i/>
          <w:iCs/>
        </w:rPr>
        <w:t>n</w:t>
      </w:r>
      <w:r w:rsidR="71639C04" w:rsidRPr="7C190DF7">
        <w:rPr>
          <w:i/>
          <w:iCs/>
        </w:rPr>
        <w:t xml:space="preserve"> </w:t>
      </w:r>
      <w:r w:rsidR="7432CBCB" w:rsidRPr="7C190DF7">
        <w:rPr>
          <w:i/>
          <w:iCs/>
        </w:rPr>
        <w:t>1 och 5</w:t>
      </w:r>
      <w:r w:rsidR="71639C04" w:rsidRPr="7C190DF7">
        <w:rPr>
          <w:i/>
          <w:iCs/>
        </w:rPr>
        <w:t xml:space="preserve"> (</w:t>
      </w:r>
      <w:r w:rsidR="2E2EF0B0" w:rsidRPr="7C190DF7">
        <w:rPr>
          <w:i/>
          <w:iCs/>
        </w:rPr>
        <w:t xml:space="preserve">välmående människor vars inneboende resurser växer respektive </w:t>
      </w:r>
      <w:r w:rsidR="71639C04" w:rsidRPr="7C190DF7">
        <w:rPr>
          <w:i/>
          <w:iCs/>
        </w:rPr>
        <w:t>attraktionskraft för boende, besökare och företag)</w:t>
      </w:r>
      <w:r w:rsidR="13CF4BE6" w:rsidRPr="7C190DF7">
        <w:rPr>
          <w:i/>
          <w:iCs/>
        </w:rPr>
        <w:t xml:space="preserve"> men även till mål 6 och 7</w:t>
      </w:r>
      <w:r w:rsidR="71639C04" w:rsidRPr="7C190DF7">
        <w:rPr>
          <w:i/>
          <w:iCs/>
        </w:rPr>
        <w:t xml:space="preserve"> i Ålands utvecklings- och hållbarhetsagenda och till </w:t>
      </w:r>
      <w:r w:rsidRPr="7C190DF7">
        <w:rPr>
          <w:i/>
          <w:iCs/>
        </w:rPr>
        <w:t>den europeiska kommissionens flaggskeppsområde 7 (omskolning och kompetensutveckling – anpassning av utbildningssystem till stöd för digitala färdigheter, utb</w:t>
      </w:r>
      <w:r w:rsidR="00AE75F8" w:rsidRPr="7C190DF7">
        <w:rPr>
          <w:i/>
          <w:iCs/>
        </w:rPr>
        <w:t>ildning och yrkesutbildning för alla åldrar)</w:t>
      </w:r>
      <w:r w:rsidR="60D0D2F4" w:rsidRPr="7C190DF7">
        <w:rPr>
          <w:i/>
          <w:iCs/>
        </w:rPr>
        <w:t xml:space="preserve"> samt flaggskeppsområde 5 (modernisering – digitalisering av offentlig förvaltning och offentliga tjänster, inbegripet rättsväsende och hälso- och sjukvårdssystem).</w:t>
      </w:r>
    </w:p>
    <w:p w14:paraId="2209A206" w14:textId="77777777" w:rsidR="00AE75F8" w:rsidRPr="00C23BE5" w:rsidRDefault="00AE75F8" w:rsidP="0011715F">
      <w:pPr>
        <w:pStyle w:val="ANormal"/>
        <w:rPr>
          <w:i/>
          <w:iCs/>
        </w:rPr>
      </w:pPr>
    </w:p>
    <w:p w14:paraId="2C9714E5" w14:textId="1EB7D5B6" w:rsidR="0011715F" w:rsidRDefault="0011715F" w:rsidP="0011715F">
      <w:pPr>
        <w:pStyle w:val="ANormal"/>
      </w:pPr>
      <w:r>
        <w:t xml:space="preserve">C. </w:t>
      </w:r>
      <w:r w:rsidR="00164E35">
        <w:t>Byte av vårdinformationssystem inom Å</w:t>
      </w:r>
      <w:r w:rsidR="0051706E">
        <w:t>lands hälso- och sjukvård (ÅHS)</w:t>
      </w:r>
    </w:p>
    <w:p w14:paraId="41CC3AC8" w14:textId="77777777" w:rsidR="00AE75F8" w:rsidRDefault="00AE75F8" w:rsidP="0011715F">
      <w:pPr>
        <w:pStyle w:val="ANormal"/>
        <w:rPr>
          <w:i/>
          <w:iCs/>
        </w:rPr>
      </w:pPr>
    </w:p>
    <w:p w14:paraId="0310BADF" w14:textId="022769A8" w:rsidR="0011715F" w:rsidRDefault="00AE75F8" w:rsidP="7C190DF7">
      <w:pPr>
        <w:pStyle w:val="ANormal"/>
        <w:rPr>
          <w:i/>
          <w:iCs/>
        </w:rPr>
      </w:pPr>
      <w:r w:rsidRPr="7C190DF7">
        <w:rPr>
          <w:i/>
          <w:iCs/>
        </w:rPr>
        <w:t xml:space="preserve">Projektet bidrar till </w:t>
      </w:r>
      <w:r w:rsidR="32B4582E" w:rsidRPr="7C190DF7">
        <w:rPr>
          <w:i/>
          <w:iCs/>
        </w:rPr>
        <w:t>de strategiska utvecklingsmål</w:t>
      </w:r>
      <w:r w:rsidR="139C8870" w:rsidRPr="7C190DF7">
        <w:rPr>
          <w:i/>
          <w:iCs/>
        </w:rPr>
        <w:t>en 1 och 2</w:t>
      </w:r>
      <w:r w:rsidR="32B4582E" w:rsidRPr="7C190DF7">
        <w:rPr>
          <w:i/>
          <w:iCs/>
        </w:rPr>
        <w:t xml:space="preserve"> </w:t>
      </w:r>
      <w:r w:rsidR="40BCB330" w:rsidRPr="7C190DF7">
        <w:rPr>
          <w:i/>
          <w:iCs/>
        </w:rPr>
        <w:t>(</w:t>
      </w:r>
      <w:r w:rsidR="24F976E8" w:rsidRPr="7C190DF7">
        <w:rPr>
          <w:i/>
          <w:iCs/>
        </w:rPr>
        <w:t>välmående människor vars inneboende resurser växer samt alla känner tillit och har verkliga möjligheter att vara delaktiga i samhället</w:t>
      </w:r>
      <w:r w:rsidR="7523416E" w:rsidRPr="7C190DF7">
        <w:rPr>
          <w:i/>
          <w:iCs/>
        </w:rPr>
        <w:t>)</w:t>
      </w:r>
      <w:r w:rsidR="32B4582E" w:rsidRPr="7C190DF7">
        <w:rPr>
          <w:i/>
          <w:iCs/>
        </w:rPr>
        <w:t xml:space="preserve"> i Ålands utvecklings- och hållbarhetsagenda och till </w:t>
      </w:r>
      <w:r w:rsidRPr="7C190DF7">
        <w:rPr>
          <w:i/>
          <w:iCs/>
        </w:rPr>
        <w:t>den europeiska kommissionens flaggskeppsområde 5 (modernisering – digitalisering av offentlig förvaltning och offentliga tjänster, inbegripet rättsväsende och hälso- och sjukvårdssystem)</w:t>
      </w:r>
      <w:r w:rsidR="13500F7E" w:rsidRPr="7C190DF7">
        <w:rPr>
          <w:i/>
          <w:iCs/>
        </w:rPr>
        <w:t>.</w:t>
      </w:r>
    </w:p>
    <w:p w14:paraId="1EABD842" w14:textId="77777777" w:rsidR="00AE75F8" w:rsidRPr="00AE75F8" w:rsidRDefault="00AE75F8" w:rsidP="0011715F">
      <w:pPr>
        <w:pStyle w:val="ANormal"/>
        <w:rPr>
          <w:i/>
          <w:iCs/>
        </w:rPr>
      </w:pPr>
    </w:p>
    <w:p w14:paraId="5BA8B2FF" w14:textId="3DA12621" w:rsidR="0011715F" w:rsidRDefault="0011715F" w:rsidP="0011715F">
      <w:pPr>
        <w:pStyle w:val="ANormal"/>
      </w:pPr>
      <w:r>
        <w:t>D. Fossilfri trafik</w:t>
      </w:r>
    </w:p>
    <w:p w14:paraId="08E39D63" w14:textId="77777777" w:rsidR="00AE75F8" w:rsidRDefault="00AE75F8" w:rsidP="00485071">
      <w:pPr>
        <w:pStyle w:val="ANormal"/>
        <w:rPr>
          <w:i/>
          <w:iCs/>
        </w:rPr>
      </w:pPr>
    </w:p>
    <w:p w14:paraId="5DBF1356" w14:textId="567C1DA6" w:rsidR="00485071" w:rsidRPr="00485071" w:rsidRDefault="00AE75F8" w:rsidP="00485071">
      <w:pPr>
        <w:pStyle w:val="ANormal"/>
      </w:pPr>
      <w:r w:rsidRPr="7C190DF7">
        <w:rPr>
          <w:i/>
          <w:iCs/>
        </w:rPr>
        <w:t xml:space="preserve">Projektet bidrar </w:t>
      </w:r>
      <w:r w:rsidR="1F1712A6" w:rsidRPr="7C190DF7">
        <w:rPr>
          <w:i/>
          <w:iCs/>
        </w:rPr>
        <w:t xml:space="preserve">i första hand </w:t>
      </w:r>
      <w:r w:rsidRPr="7C190DF7">
        <w:rPr>
          <w:i/>
          <w:iCs/>
        </w:rPr>
        <w:t xml:space="preserve">till </w:t>
      </w:r>
      <w:r w:rsidR="64966F3C" w:rsidRPr="7C190DF7">
        <w:rPr>
          <w:i/>
          <w:iCs/>
        </w:rPr>
        <w:t xml:space="preserve">det strategiska utvecklingsmålet 6 (markant högre andel energi från förnyelsebara källor och ökad energieffektivitet) i Ålands utvecklings- och hållbarhetsagenda och till </w:t>
      </w:r>
      <w:r w:rsidRPr="7C190DF7">
        <w:rPr>
          <w:i/>
          <w:iCs/>
        </w:rPr>
        <w:t xml:space="preserve">den europeiska kommissionens </w:t>
      </w:r>
      <w:bookmarkStart w:id="5" w:name="_Hlk58403502"/>
      <w:r w:rsidRPr="7C190DF7">
        <w:rPr>
          <w:i/>
          <w:iCs/>
        </w:rPr>
        <w:t>flaggskeppsområde 3 (laddning och tankning</w:t>
      </w:r>
      <w:r w:rsidR="00287CF5" w:rsidRPr="7C190DF7">
        <w:rPr>
          <w:i/>
          <w:iCs/>
        </w:rPr>
        <w:t xml:space="preserve"> – främjandet av en framtidssäkrad ren teknik för att påskynda användningen av hållbara, tillgängliga och smarta transporter, laddnings- och tankningsstationer och utbyggnad av allmänna kommunikationer)</w:t>
      </w:r>
      <w:r w:rsidR="3CD0909C" w:rsidRPr="7C190DF7">
        <w:rPr>
          <w:i/>
          <w:iCs/>
        </w:rPr>
        <w:t>.</w:t>
      </w:r>
    </w:p>
    <w:bookmarkEnd w:id="5"/>
    <w:p w14:paraId="09AA0D57" w14:textId="3721CEAF" w:rsidR="7C190DF7" w:rsidRDefault="7C190DF7" w:rsidP="7C190DF7">
      <w:pPr>
        <w:pStyle w:val="RubrikA"/>
      </w:pPr>
    </w:p>
    <w:p w14:paraId="2702DA34" w14:textId="3379D36F" w:rsidR="0055007A" w:rsidRDefault="0055007A" w:rsidP="0055007A">
      <w:pPr>
        <w:pStyle w:val="Rubrikmellanrum"/>
      </w:pPr>
    </w:p>
    <w:p w14:paraId="63B11B4B" w14:textId="1C710183" w:rsidR="0055007A" w:rsidRDefault="0055007A" w:rsidP="0055007A">
      <w:pPr>
        <w:pStyle w:val="ANormal"/>
      </w:pPr>
    </w:p>
    <w:p w14:paraId="3653BC55" w14:textId="77777777" w:rsidR="0055007A" w:rsidRPr="0055007A" w:rsidRDefault="0055007A" w:rsidP="0055007A">
      <w:pPr>
        <w:pStyle w:val="ANormal"/>
      </w:pPr>
    </w:p>
    <w:p w14:paraId="738215F2" w14:textId="2685AF80" w:rsidR="00287CF5" w:rsidRPr="00287CF5" w:rsidRDefault="005A1961" w:rsidP="7C190DF7">
      <w:pPr>
        <w:pStyle w:val="RubrikA"/>
      </w:pPr>
      <w:bookmarkStart w:id="6" w:name="_Toc523391811"/>
      <w:r>
        <w:lastRenderedPageBreak/>
        <w:t xml:space="preserve">3. </w:t>
      </w:r>
      <w:bookmarkEnd w:id="6"/>
      <w:r w:rsidR="0011715F">
        <w:t>Preliminära projektbeskrivningar</w:t>
      </w:r>
    </w:p>
    <w:p w14:paraId="72451CC0" w14:textId="77777777" w:rsidR="00287CF5" w:rsidRPr="00287CF5" w:rsidRDefault="00287CF5" w:rsidP="00287CF5">
      <w:pPr>
        <w:pStyle w:val="Rubrikmellanrum"/>
      </w:pPr>
    </w:p>
    <w:p w14:paraId="0741E942" w14:textId="0192E805" w:rsidR="001D40AB" w:rsidRDefault="3CB5843B" w:rsidP="00F36356">
      <w:pPr>
        <w:pStyle w:val="ANormal"/>
      </w:pPr>
      <w:r>
        <w:t xml:space="preserve">Nedan </w:t>
      </w:r>
      <w:r w:rsidR="00F36356">
        <w:t>redogörs för de förslag till tänkbara åländska reform- och investeringsprojekt som landskapsregeringen, utgående från EU:s principer och riktlinjer, har utformat.</w:t>
      </w:r>
    </w:p>
    <w:p w14:paraId="7BDBC3D5" w14:textId="144CFEC7" w:rsidR="001D40AB" w:rsidRPr="00AC156D" w:rsidRDefault="001D40AB" w:rsidP="00F36356">
      <w:pPr>
        <w:pStyle w:val="ANormal"/>
      </w:pPr>
      <w:r w:rsidRPr="00AC156D">
        <w:t xml:space="preserve">   I slutet av respektive projektbeskrivning finns en riktgivande uppskattning av respektive projekts ekonomiska omfattning. Den sammanlagda ekonomiska omfattningen överstiger 12,6 miljoner euro</w:t>
      </w:r>
      <w:r w:rsidR="00D53093" w:rsidRPr="00AC156D">
        <w:t>. Marginalen finns för den fortsatta behandlingen lokalt och i EU:s institutioner.</w:t>
      </w:r>
    </w:p>
    <w:p w14:paraId="12600B5A" w14:textId="09A048E0" w:rsidR="00F36356" w:rsidRDefault="00F36356" w:rsidP="00F36356">
      <w:pPr>
        <w:pStyle w:val="ANormal"/>
      </w:pPr>
    </w:p>
    <w:p w14:paraId="67DF171C" w14:textId="301EB547" w:rsidR="7C190DF7" w:rsidRDefault="7C190DF7" w:rsidP="7C190DF7">
      <w:pPr>
        <w:pStyle w:val="ANormal"/>
      </w:pPr>
    </w:p>
    <w:p w14:paraId="6C161542" w14:textId="77777777" w:rsidR="00F36356" w:rsidRDefault="00F36356" w:rsidP="002A3F0F">
      <w:pPr>
        <w:pStyle w:val="RubrikB"/>
      </w:pPr>
      <w:r>
        <w:t>A. OWF-baserat energisystem och fossilfri energiproduktion</w:t>
      </w:r>
    </w:p>
    <w:p w14:paraId="6518704C" w14:textId="263A7585" w:rsidR="00F36356" w:rsidRDefault="00F36356" w:rsidP="00F36356">
      <w:pPr>
        <w:pStyle w:val="ANormal"/>
      </w:pPr>
    </w:p>
    <w:p w14:paraId="2971EE96" w14:textId="77777777" w:rsidR="00F36356" w:rsidRPr="002A3F0F" w:rsidRDefault="00F36356" w:rsidP="002A3F0F">
      <w:pPr>
        <w:pStyle w:val="RubrikD"/>
      </w:pPr>
      <w:r w:rsidRPr="002A3F0F">
        <w:t>Havsbaserad storskalig vindkraft - OWF</w:t>
      </w:r>
    </w:p>
    <w:p w14:paraId="7FE965C3" w14:textId="57926F65" w:rsidR="0077455E" w:rsidRPr="0077455E" w:rsidRDefault="00F36356" w:rsidP="0077455E">
      <w:pPr>
        <w:rPr>
          <w:rFonts w:ascii="Times New Roman" w:hAnsi="Times New Roman" w:cs="Times New Roman"/>
          <w:sz w:val="22"/>
          <w:szCs w:val="22"/>
        </w:rPr>
      </w:pPr>
      <w:r w:rsidRPr="7C190DF7">
        <w:rPr>
          <w:rFonts w:ascii="Times New Roman" w:hAnsi="Times New Roman" w:cs="Times New Roman"/>
          <w:sz w:val="22"/>
          <w:szCs w:val="22"/>
        </w:rPr>
        <w:t>Remissunderlaget för den åländska havsplanen definierar områden för storskalig havsbaserad vindkraft. Detta har redan väckt ett stort intresse bland internationella aktörer inom vindkraftsbranschen. Det totala området</w:t>
      </w:r>
      <w:r w:rsidR="475DFD3E" w:rsidRPr="7C190DF7">
        <w:rPr>
          <w:rFonts w:ascii="Times New Roman" w:hAnsi="Times New Roman" w:cs="Times New Roman"/>
          <w:sz w:val="22"/>
          <w:szCs w:val="22"/>
        </w:rPr>
        <w:t xml:space="preserve"> </w:t>
      </w:r>
      <w:r w:rsidRPr="7C190DF7">
        <w:rPr>
          <w:rFonts w:ascii="Times New Roman" w:hAnsi="Times New Roman" w:cs="Times New Roman"/>
          <w:sz w:val="22"/>
          <w:szCs w:val="22"/>
        </w:rPr>
        <w:t>är ca 1 100 km</w:t>
      </w:r>
      <w:r w:rsidRPr="7C190DF7">
        <w:rPr>
          <w:rFonts w:ascii="Times New Roman" w:hAnsi="Times New Roman" w:cs="Times New Roman"/>
          <w:sz w:val="22"/>
          <w:szCs w:val="22"/>
          <w:vertAlign w:val="superscript"/>
        </w:rPr>
        <w:t xml:space="preserve">2 </w:t>
      </w:r>
      <w:r w:rsidRPr="7C190DF7">
        <w:rPr>
          <w:rFonts w:ascii="Times New Roman" w:hAnsi="Times New Roman" w:cs="Times New Roman"/>
          <w:sz w:val="22"/>
          <w:szCs w:val="22"/>
        </w:rPr>
        <w:t xml:space="preserve">vilket helt utbyggt med över 500 vindkraftsturbiner skulle kunna ge en total energieffekt på upp till 6 GW. Den helt utbyggda vindkraftens årliga energiproduktionspotential skulle uppgå till ca 30 TWh, </w:t>
      </w:r>
      <w:r w:rsidR="0077455E" w:rsidRPr="0077455E">
        <w:rPr>
          <w:rFonts w:ascii="Times New Roman" w:hAnsi="Times New Roman" w:cs="Times New Roman"/>
          <w:sz w:val="22"/>
          <w:szCs w:val="22"/>
        </w:rPr>
        <w:t xml:space="preserve">vilket skulle innebära möjligheter för omfattande </w:t>
      </w:r>
      <w:proofErr w:type="spellStart"/>
      <w:r w:rsidR="0077455E" w:rsidRPr="0077455E">
        <w:rPr>
          <w:rFonts w:ascii="Times New Roman" w:hAnsi="Times New Roman" w:cs="Times New Roman"/>
          <w:sz w:val="22"/>
          <w:szCs w:val="22"/>
        </w:rPr>
        <w:t>energiexport</w:t>
      </w:r>
      <w:proofErr w:type="spellEnd"/>
      <w:r w:rsidR="0077455E" w:rsidRPr="0077455E">
        <w:rPr>
          <w:rFonts w:ascii="Times New Roman" w:hAnsi="Times New Roman" w:cs="Times New Roman"/>
          <w:sz w:val="22"/>
          <w:szCs w:val="22"/>
        </w:rPr>
        <w:t xml:space="preserve"> och samtidigt bidra till att nordiska energi- och klimatmål kan uppnås</w:t>
      </w:r>
      <w:r w:rsidR="0077455E">
        <w:rPr>
          <w:rFonts w:ascii="Times New Roman" w:hAnsi="Times New Roman" w:cs="Times New Roman"/>
          <w:sz w:val="22"/>
          <w:szCs w:val="22"/>
        </w:rPr>
        <w:t>.</w:t>
      </w:r>
    </w:p>
    <w:p w14:paraId="6C018E09" w14:textId="512401A5" w:rsidR="00F36356" w:rsidRPr="002A3F0F" w:rsidRDefault="005F32E3" w:rsidP="00F36356">
      <w:pPr>
        <w:rPr>
          <w:rFonts w:ascii="Times New Roman" w:hAnsi="Times New Roman" w:cs="Times New Roman"/>
          <w:sz w:val="22"/>
          <w:szCs w:val="22"/>
        </w:rPr>
      </w:pPr>
      <w:r>
        <w:rPr>
          <w:rFonts w:ascii="Times New Roman" w:hAnsi="Times New Roman" w:cs="Times New Roman"/>
          <w:sz w:val="22"/>
          <w:szCs w:val="22"/>
        </w:rPr>
        <w:t xml:space="preserve">   </w:t>
      </w:r>
      <w:r w:rsidR="00F36356" w:rsidRPr="002A3F0F">
        <w:rPr>
          <w:rFonts w:ascii="Times New Roman" w:hAnsi="Times New Roman" w:cs="Times New Roman"/>
          <w:sz w:val="22"/>
          <w:szCs w:val="22"/>
        </w:rPr>
        <w:t>Utbyggnaden av den storskaliga havsbaserade vindkraften i åländska havsområden kräver initiala miljoninvesteringar av landskap</w:t>
      </w:r>
      <w:r w:rsidR="0051706E">
        <w:rPr>
          <w:rFonts w:ascii="Times New Roman" w:hAnsi="Times New Roman" w:cs="Times New Roman"/>
          <w:sz w:val="22"/>
          <w:szCs w:val="22"/>
        </w:rPr>
        <w:t>et Åland</w:t>
      </w:r>
      <w:r w:rsidR="00F36356" w:rsidRPr="002A3F0F">
        <w:rPr>
          <w:rFonts w:ascii="Times New Roman" w:hAnsi="Times New Roman" w:cs="Times New Roman"/>
          <w:sz w:val="22"/>
          <w:szCs w:val="22"/>
        </w:rPr>
        <w:t xml:space="preserve"> och därefter mångmiljardinvesteringar av privata branschaktörer. </w:t>
      </w:r>
    </w:p>
    <w:p w14:paraId="12B2DB8B" w14:textId="26D17EBC" w:rsidR="00F36356" w:rsidRPr="002A3F0F" w:rsidRDefault="005F32E3" w:rsidP="00F36356">
      <w:pPr>
        <w:rPr>
          <w:rFonts w:ascii="Times New Roman" w:hAnsi="Times New Roman" w:cs="Times New Roman"/>
          <w:sz w:val="22"/>
          <w:szCs w:val="22"/>
        </w:rPr>
      </w:pPr>
      <w:r>
        <w:rPr>
          <w:rFonts w:ascii="Times New Roman" w:hAnsi="Times New Roman" w:cs="Times New Roman"/>
          <w:sz w:val="22"/>
          <w:szCs w:val="22"/>
        </w:rPr>
        <w:t xml:space="preserve">   </w:t>
      </w:r>
      <w:r w:rsidR="00F36356" w:rsidRPr="002A3F0F">
        <w:rPr>
          <w:rFonts w:ascii="Times New Roman" w:hAnsi="Times New Roman" w:cs="Times New Roman"/>
          <w:sz w:val="22"/>
          <w:szCs w:val="22"/>
        </w:rPr>
        <w:t xml:space="preserve">Distributionen av den producerade elenergin skulle innebära ett viktigt tillskott till den nordiska/europeiska elmarknaden. Genom att bygga en ny </w:t>
      </w:r>
      <w:proofErr w:type="spellStart"/>
      <w:r w:rsidR="00F36356" w:rsidRPr="002A3F0F">
        <w:rPr>
          <w:rFonts w:ascii="Times New Roman" w:hAnsi="Times New Roman" w:cs="Times New Roman"/>
          <w:sz w:val="22"/>
          <w:szCs w:val="22"/>
        </w:rPr>
        <w:t>interconnector</w:t>
      </w:r>
      <w:proofErr w:type="spellEnd"/>
      <w:r w:rsidR="00F36356" w:rsidRPr="002A3F0F">
        <w:rPr>
          <w:rFonts w:ascii="Times New Roman" w:hAnsi="Times New Roman" w:cs="Times New Roman"/>
          <w:sz w:val="22"/>
          <w:szCs w:val="22"/>
        </w:rPr>
        <w:t xml:space="preserve"> från det norra energiområdet mellan Finland och Sverige (med en eventuell anslutning till Åland) skulle det kunna transiteras el till det nordiska elnätets områden där konsumtionen är som störst.</w:t>
      </w:r>
    </w:p>
    <w:p w14:paraId="729D291A" w14:textId="09D14873" w:rsidR="00F36356" w:rsidRPr="002A3F0F" w:rsidRDefault="005F32E3" w:rsidP="00F36356">
      <w:pPr>
        <w:rPr>
          <w:rFonts w:ascii="Times New Roman" w:hAnsi="Times New Roman" w:cs="Times New Roman"/>
          <w:sz w:val="22"/>
          <w:szCs w:val="22"/>
        </w:rPr>
      </w:pPr>
      <w:r w:rsidRPr="7C190DF7">
        <w:rPr>
          <w:rFonts w:ascii="Times New Roman" w:hAnsi="Times New Roman" w:cs="Times New Roman"/>
          <w:sz w:val="22"/>
          <w:szCs w:val="22"/>
        </w:rPr>
        <w:t xml:space="preserve">   </w:t>
      </w:r>
      <w:r w:rsidR="00F36356" w:rsidRPr="7C190DF7">
        <w:rPr>
          <w:rFonts w:ascii="Times New Roman" w:hAnsi="Times New Roman" w:cs="Times New Roman"/>
          <w:sz w:val="22"/>
          <w:szCs w:val="22"/>
        </w:rPr>
        <w:t>Det finns stor potential för att omvandla den producerade elenergin till andra energiformer (</w:t>
      </w:r>
      <w:proofErr w:type="spellStart"/>
      <w:r w:rsidR="00F36356" w:rsidRPr="7C190DF7">
        <w:rPr>
          <w:rFonts w:ascii="Times New Roman" w:hAnsi="Times New Roman" w:cs="Times New Roman"/>
          <w:sz w:val="22"/>
          <w:szCs w:val="22"/>
        </w:rPr>
        <w:t>power</w:t>
      </w:r>
      <w:proofErr w:type="spellEnd"/>
      <w:r w:rsidR="00F36356" w:rsidRPr="7C190DF7">
        <w:rPr>
          <w:rFonts w:ascii="Times New Roman" w:hAnsi="Times New Roman" w:cs="Times New Roman"/>
          <w:sz w:val="22"/>
          <w:szCs w:val="22"/>
        </w:rPr>
        <w:t>-to-x), i första hand till vätgas men även genom vidareförädling till metanol, grön bensin/diesel/flygbränsle</w:t>
      </w:r>
      <w:r w:rsidR="64A485B9" w:rsidRPr="7C190DF7">
        <w:rPr>
          <w:rFonts w:ascii="Times New Roman" w:hAnsi="Times New Roman" w:cs="Times New Roman"/>
          <w:sz w:val="22"/>
          <w:szCs w:val="22"/>
        </w:rPr>
        <w:t xml:space="preserve"> och</w:t>
      </w:r>
      <w:r w:rsidR="00F36356" w:rsidRPr="7C190DF7">
        <w:rPr>
          <w:rFonts w:ascii="Times New Roman" w:hAnsi="Times New Roman" w:cs="Times New Roman"/>
          <w:sz w:val="22"/>
          <w:szCs w:val="22"/>
        </w:rPr>
        <w:t xml:space="preserve"> ammoniak.</w:t>
      </w:r>
    </w:p>
    <w:p w14:paraId="123EC0D6" w14:textId="1900854F" w:rsidR="00F36356" w:rsidRPr="002A3F0F" w:rsidRDefault="005F32E3" w:rsidP="00F36356">
      <w:pPr>
        <w:rPr>
          <w:rFonts w:ascii="Times New Roman" w:hAnsi="Times New Roman" w:cs="Times New Roman"/>
          <w:sz w:val="22"/>
          <w:szCs w:val="22"/>
        </w:rPr>
      </w:pPr>
      <w:r w:rsidRPr="7C190DF7">
        <w:rPr>
          <w:rFonts w:ascii="Times New Roman" w:hAnsi="Times New Roman" w:cs="Times New Roman"/>
          <w:sz w:val="22"/>
          <w:szCs w:val="22"/>
        </w:rPr>
        <w:t xml:space="preserve">   </w:t>
      </w:r>
      <w:r w:rsidR="00F36356" w:rsidRPr="7C190DF7">
        <w:rPr>
          <w:rFonts w:ascii="Times New Roman" w:hAnsi="Times New Roman" w:cs="Times New Roman"/>
          <w:sz w:val="22"/>
          <w:szCs w:val="22"/>
        </w:rPr>
        <w:t>Eftersom elproduktionen från vindkraft är volatil</w:t>
      </w:r>
      <w:r w:rsidR="55E711DC" w:rsidRPr="7C190DF7">
        <w:rPr>
          <w:rFonts w:ascii="Times New Roman" w:hAnsi="Times New Roman" w:cs="Times New Roman"/>
          <w:sz w:val="22"/>
          <w:szCs w:val="22"/>
        </w:rPr>
        <w:t xml:space="preserve"> </w:t>
      </w:r>
      <w:r w:rsidR="00F36356" w:rsidRPr="7C190DF7">
        <w:rPr>
          <w:rFonts w:ascii="Times New Roman" w:hAnsi="Times New Roman" w:cs="Times New Roman"/>
          <w:sz w:val="22"/>
          <w:szCs w:val="22"/>
        </w:rPr>
        <w:t xml:space="preserve">och i korrelation till det även dess marknadspris är det välmotiverat att undersöka och planera olika </w:t>
      </w:r>
      <w:proofErr w:type="spellStart"/>
      <w:r w:rsidR="00F36356" w:rsidRPr="7C190DF7">
        <w:rPr>
          <w:rFonts w:ascii="Times New Roman" w:hAnsi="Times New Roman" w:cs="Times New Roman"/>
          <w:sz w:val="22"/>
          <w:szCs w:val="22"/>
        </w:rPr>
        <w:t>power</w:t>
      </w:r>
      <w:proofErr w:type="spellEnd"/>
      <w:r w:rsidR="00F36356" w:rsidRPr="7C190DF7">
        <w:rPr>
          <w:rFonts w:ascii="Times New Roman" w:hAnsi="Times New Roman" w:cs="Times New Roman"/>
          <w:sz w:val="22"/>
          <w:szCs w:val="22"/>
        </w:rPr>
        <w:t xml:space="preserve">-to-x alternativ. Power-to-x kan ge den åländska havsbaserade vindkraftsproduktionen en roll som föregångare inom den internationella energimarknaden. En storskalig </w:t>
      </w:r>
      <w:proofErr w:type="spellStart"/>
      <w:r w:rsidR="00F36356" w:rsidRPr="7C190DF7">
        <w:rPr>
          <w:rFonts w:ascii="Times New Roman" w:hAnsi="Times New Roman" w:cs="Times New Roman"/>
          <w:sz w:val="22"/>
          <w:szCs w:val="22"/>
        </w:rPr>
        <w:t>power</w:t>
      </w:r>
      <w:proofErr w:type="spellEnd"/>
      <w:r w:rsidR="00F36356" w:rsidRPr="7C190DF7">
        <w:rPr>
          <w:rFonts w:ascii="Times New Roman" w:hAnsi="Times New Roman" w:cs="Times New Roman"/>
          <w:sz w:val="22"/>
          <w:szCs w:val="22"/>
        </w:rPr>
        <w:t>-to-x produktion skulle medföra en större flexibilitet för den producerade energin och även ett minskat behov av elkabelinfrastruktur.</w:t>
      </w:r>
    </w:p>
    <w:p w14:paraId="0C7884EC" w14:textId="169A7D28" w:rsidR="00F36356" w:rsidRPr="002A3F0F" w:rsidRDefault="005F32E3" w:rsidP="00F36356">
      <w:pPr>
        <w:rPr>
          <w:rFonts w:ascii="Times New Roman" w:hAnsi="Times New Roman" w:cs="Times New Roman"/>
          <w:sz w:val="22"/>
          <w:szCs w:val="22"/>
        </w:rPr>
      </w:pPr>
      <w:r>
        <w:rPr>
          <w:rFonts w:ascii="Times New Roman" w:hAnsi="Times New Roman" w:cs="Times New Roman"/>
          <w:sz w:val="22"/>
          <w:szCs w:val="22"/>
        </w:rPr>
        <w:t xml:space="preserve">   </w:t>
      </w:r>
      <w:r w:rsidR="00F36356" w:rsidRPr="002A3F0F">
        <w:rPr>
          <w:rFonts w:ascii="Times New Roman" w:hAnsi="Times New Roman" w:cs="Times New Roman"/>
          <w:sz w:val="22"/>
          <w:szCs w:val="22"/>
        </w:rPr>
        <w:t>Projektet skulle ge ett synnerligen viktigt tillskott för att de nationella och åländska hållbarhetsmålen ska kunna uppnås. Projektet kommer också att ha en stor inverkan på samhället genom stora möjligheter för branschspecifik utbildning, nya arbetsplatser, företagsetableringar och övriga kringeffekter.</w:t>
      </w:r>
    </w:p>
    <w:p w14:paraId="06900789" w14:textId="211EC19F" w:rsidR="00F36356" w:rsidRPr="002A3F0F" w:rsidRDefault="005F32E3" w:rsidP="00F36356">
      <w:pPr>
        <w:rPr>
          <w:rFonts w:ascii="Times New Roman" w:hAnsi="Times New Roman" w:cs="Times New Roman"/>
          <w:sz w:val="22"/>
          <w:szCs w:val="22"/>
        </w:rPr>
      </w:pPr>
      <w:r w:rsidRPr="7C190DF7">
        <w:rPr>
          <w:rFonts w:ascii="Times New Roman" w:hAnsi="Times New Roman" w:cs="Times New Roman"/>
          <w:sz w:val="22"/>
          <w:szCs w:val="22"/>
        </w:rPr>
        <w:t xml:space="preserve">   </w:t>
      </w:r>
      <w:r w:rsidR="00F36356" w:rsidRPr="7C190DF7">
        <w:rPr>
          <w:rFonts w:ascii="Times New Roman" w:hAnsi="Times New Roman" w:cs="Times New Roman"/>
          <w:sz w:val="22"/>
          <w:szCs w:val="22"/>
        </w:rPr>
        <w:t xml:space="preserve">Projektet sträcker sig över en mycket lång tidsperiod, men det bör omgående startas upp med investeringar för planering av helhetskonceptet inklusive affärsmodell och distributionsinfrastruktur samt evaluering av </w:t>
      </w:r>
      <w:proofErr w:type="spellStart"/>
      <w:r w:rsidR="00F36356" w:rsidRPr="7C190DF7">
        <w:rPr>
          <w:rFonts w:ascii="Times New Roman" w:hAnsi="Times New Roman" w:cs="Times New Roman"/>
          <w:sz w:val="22"/>
          <w:szCs w:val="22"/>
        </w:rPr>
        <w:t>power</w:t>
      </w:r>
      <w:proofErr w:type="spellEnd"/>
      <w:r w:rsidR="00F36356" w:rsidRPr="7C190DF7">
        <w:rPr>
          <w:rFonts w:ascii="Times New Roman" w:hAnsi="Times New Roman" w:cs="Times New Roman"/>
          <w:sz w:val="22"/>
          <w:szCs w:val="22"/>
        </w:rPr>
        <w:t xml:space="preserve">-to-x alternativ. Betydelsen av grundläggande projektering och väl utförd planering innefattande bland annat vindmätningar, bottenundersökningar och anslutningsmöjligheter är viktig för att de potentiella </w:t>
      </w:r>
      <w:r w:rsidR="0E3ACA22" w:rsidRPr="7C190DF7">
        <w:rPr>
          <w:rFonts w:ascii="Times New Roman" w:hAnsi="Times New Roman" w:cs="Times New Roman"/>
          <w:sz w:val="22"/>
          <w:szCs w:val="22"/>
        </w:rPr>
        <w:t>havs</w:t>
      </w:r>
      <w:r w:rsidR="00F36356" w:rsidRPr="7C190DF7">
        <w:rPr>
          <w:rFonts w:ascii="Times New Roman" w:hAnsi="Times New Roman" w:cs="Times New Roman"/>
          <w:sz w:val="22"/>
          <w:szCs w:val="22"/>
        </w:rPr>
        <w:t>områdena ska kunna exploateras och utnyttjas optimalt.</w:t>
      </w:r>
    </w:p>
    <w:p w14:paraId="5E7DD647" w14:textId="338EA0C4" w:rsidR="00F36356" w:rsidRPr="002A3F0F" w:rsidRDefault="005F32E3" w:rsidP="00F36356">
      <w:pPr>
        <w:rPr>
          <w:rFonts w:ascii="Times New Roman" w:hAnsi="Times New Roman" w:cs="Times New Roman"/>
          <w:sz w:val="22"/>
          <w:szCs w:val="22"/>
        </w:rPr>
      </w:pPr>
      <w:r>
        <w:rPr>
          <w:rFonts w:ascii="Times New Roman" w:hAnsi="Times New Roman" w:cs="Times New Roman"/>
          <w:sz w:val="22"/>
          <w:szCs w:val="22"/>
        </w:rPr>
        <w:t xml:space="preserve">   </w:t>
      </w:r>
      <w:r w:rsidR="00F36356" w:rsidRPr="002A3F0F">
        <w:rPr>
          <w:rFonts w:ascii="Times New Roman" w:hAnsi="Times New Roman" w:cs="Times New Roman"/>
          <w:sz w:val="22"/>
          <w:szCs w:val="22"/>
        </w:rPr>
        <w:t>Utöver planeringen bör även undersökningarna på plats på de potentiella energiområdena startas upp relativt snabbt eftersom genomförandet kommer att spänna över en relativt lång tidsperiod.</w:t>
      </w:r>
    </w:p>
    <w:p w14:paraId="1C9254E3" w14:textId="15A4CED2" w:rsidR="00F36356" w:rsidRPr="002A3F0F" w:rsidRDefault="005F32E3" w:rsidP="7C190DF7">
      <w:pPr>
        <w:rPr>
          <w:rFonts w:ascii="Times New Roman" w:hAnsi="Times New Roman" w:cs="Times New Roman"/>
          <w:i/>
          <w:iCs/>
          <w:sz w:val="22"/>
          <w:szCs w:val="22"/>
        </w:rPr>
      </w:pPr>
      <w:r w:rsidRPr="7C190DF7">
        <w:rPr>
          <w:rFonts w:ascii="Times New Roman" w:hAnsi="Times New Roman" w:cs="Times New Roman"/>
          <w:sz w:val="22"/>
          <w:szCs w:val="22"/>
        </w:rPr>
        <w:t xml:space="preserve">   </w:t>
      </w:r>
      <w:r w:rsidR="00F36356" w:rsidRPr="7C190DF7">
        <w:rPr>
          <w:rFonts w:ascii="Times New Roman" w:hAnsi="Times New Roman" w:cs="Times New Roman"/>
          <w:sz w:val="22"/>
          <w:szCs w:val="22"/>
        </w:rPr>
        <w:t>Projektet uppfyller väl kriterierna för EU:s återhämtningsfonds flaggskeppsområde</w:t>
      </w:r>
      <w:r w:rsidR="42E33324" w:rsidRPr="7C190DF7">
        <w:rPr>
          <w:rFonts w:ascii="Times New Roman" w:hAnsi="Times New Roman" w:cs="Times New Roman"/>
          <w:sz w:val="22"/>
          <w:szCs w:val="22"/>
        </w:rPr>
        <w:t xml:space="preserve"> 1</w:t>
      </w:r>
      <w:r w:rsidR="00F36356" w:rsidRPr="7C190DF7">
        <w:rPr>
          <w:rFonts w:ascii="Times New Roman" w:hAnsi="Times New Roman" w:cs="Times New Roman"/>
          <w:sz w:val="22"/>
          <w:szCs w:val="22"/>
        </w:rPr>
        <w:t xml:space="preserve">: </w:t>
      </w:r>
      <w:r w:rsidR="00F36356" w:rsidRPr="7C190DF7">
        <w:rPr>
          <w:rFonts w:ascii="Times New Roman" w:hAnsi="Times New Roman" w:cs="Times New Roman"/>
          <w:i/>
          <w:iCs/>
          <w:sz w:val="22"/>
          <w:szCs w:val="22"/>
        </w:rPr>
        <w:t xml:space="preserve">Uppväxling </w:t>
      </w:r>
      <w:r w:rsidR="0051706E">
        <w:rPr>
          <w:rFonts w:ascii="Times New Roman" w:hAnsi="Times New Roman" w:cs="Times New Roman"/>
          <w:i/>
          <w:iCs/>
          <w:sz w:val="22"/>
          <w:szCs w:val="22"/>
        </w:rPr>
        <w:t>-</w:t>
      </w:r>
      <w:r w:rsidR="00F36356" w:rsidRPr="7C190DF7">
        <w:rPr>
          <w:rFonts w:ascii="Times New Roman" w:hAnsi="Times New Roman" w:cs="Times New Roman"/>
          <w:i/>
          <w:iCs/>
          <w:sz w:val="22"/>
          <w:szCs w:val="22"/>
        </w:rPr>
        <w:t xml:space="preserve"> Tidigareläggning av framtidssäkrad ren </w:t>
      </w:r>
      <w:r w:rsidR="00F36356" w:rsidRPr="7C190DF7">
        <w:rPr>
          <w:rFonts w:ascii="Times New Roman" w:hAnsi="Times New Roman" w:cs="Times New Roman"/>
          <w:i/>
          <w:iCs/>
          <w:sz w:val="22"/>
          <w:szCs w:val="22"/>
        </w:rPr>
        <w:lastRenderedPageBreak/>
        <w:t>teknik och påskyndande av utvecklingen och användningen av förnybar energi.</w:t>
      </w:r>
    </w:p>
    <w:p w14:paraId="34CF3BF1" w14:textId="576D8A90" w:rsidR="00F36356" w:rsidRPr="002A3F0F" w:rsidRDefault="00E94434" w:rsidP="00F36356">
      <w:pPr>
        <w:rPr>
          <w:rFonts w:ascii="Times New Roman" w:hAnsi="Times New Roman" w:cs="Times New Roman"/>
          <w:sz w:val="22"/>
          <w:szCs w:val="22"/>
        </w:rPr>
      </w:pPr>
      <w:r>
        <w:rPr>
          <w:rFonts w:ascii="Times New Roman" w:hAnsi="Times New Roman" w:cs="Times New Roman"/>
          <w:sz w:val="22"/>
          <w:szCs w:val="22"/>
        </w:rPr>
        <w:t xml:space="preserve">   </w:t>
      </w:r>
      <w:r w:rsidR="00F36356" w:rsidRPr="002A3F0F">
        <w:rPr>
          <w:rFonts w:ascii="Times New Roman" w:hAnsi="Times New Roman" w:cs="Times New Roman"/>
          <w:sz w:val="22"/>
          <w:szCs w:val="22"/>
        </w:rPr>
        <w:t>Projektet innefattar även energilagring och kompetensutveckling som ingår i övriga flaggskeppsområden.</w:t>
      </w:r>
    </w:p>
    <w:p w14:paraId="4ADC6FE2" w14:textId="5724FB45" w:rsidR="00E94434" w:rsidRDefault="00E94434" w:rsidP="00F36356">
      <w:pPr>
        <w:rPr>
          <w:rFonts w:ascii="Times New Roman" w:hAnsi="Times New Roman" w:cs="Times New Roman"/>
          <w:sz w:val="22"/>
          <w:szCs w:val="22"/>
        </w:rPr>
      </w:pPr>
      <w:r w:rsidRPr="7C190DF7">
        <w:rPr>
          <w:rFonts w:ascii="Times New Roman" w:hAnsi="Times New Roman" w:cs="Times New Roman"/>
          <w:sz w:val="22"/>
          <w:szCs w:val="22"/>
        </w:rPr>
        <w:t xml:space="preserve">   </w:t>
      </w:r>
      <w:r w:rsidR="00F36356" w:rsidRPr="7C190DF7">
        <w:rPr>
          <w:rFonts w:ascii="Times New Roman" w:hAnsi="Times New Roman" w:cs="Times New Roman"/>
          <w:sz w:val="22"/>
          <w:szCs w:val="22"/>
        </w:rPr>
        <w:t xml:space="preserve">Investeringsbehovet för den storskaliga havsbaserade vindkraften i de åländska havsområdena inklusive </w:t>
      </w:r>
      <w:proofErr w:type="spellStart"/>
      <w:r w:rsidR="00F36356" w:rsidRPr="7C190DF7">
        <w:rPr>
          <w:rFonts w:ascii="Times New Roman" w:hAnsi="Times New Roman" w:cs="Times New Roman"/>
          <w:sz w:val="22"/>
          <w:szCs w:val="22"/>
        </w:rPr>
        <w:t>power</w:t>
      </w:r>
      <w:proofErr w:type="spellEnd"/>
      <w:r w:rsidR="00F36356" w:rsidRPr="7C190DF7">
        <w:rPr>
          <w:rFonts w:ascii="Times New Roman" w:hAnsi="Times New Roman" w:cs="Times New Roman"/>
          <w:sz w:val="22"/>
          <w:szCs w:val="22"/>
        </w:rPr>
        <w:t>-to-x undersökningar kommer att kräva stora investeringar</w:t>
      </w:r>
      <w:r w:rsidR="0077455E" w:rsidRPr="00AC156D">
        <w:rPr>
          <w:rFonts w:ascii="Times New Roman" w:hAnsi="Times New Roman" w:cs="Times New Roman"/>
          <w:sz w:val="22"/>
          <w:szCs w:val="22"/>
        </w:rPr>
        <w:t>.</w:t>
      </w:r>
      <w:r w:rsidR="001E669A" w:rsidRPr="00AC156D">
        <w:rPr>
          <w:rFonts w:ascii="Times New Roman" w:hAnsi="Times New Roman" w:cs="Times New Roman"/>
          <w:sz w:val="22"/>
          <w:szCs w:val="22"/>
        </w:rPr>
        <w:t xml:space="preserve"> Projektet riktar sig</w:t>
      </w:r>
      <w:r w:rsidR="005A320C" w:rsidRPr="00AC156D">
        <w:rPr>
          <w:rFonts w:ascii="Times New Roman" w:hAnsi="Times New Roman" w:cs="Times New Roman"/>
          <w:sz w:val="22"/>
          <w:szCs w:val="22"/>
        </w:rPr>
        <w:t xml:space="preserve"> i huvudsak</w:t>
      </w:r>
      <w:r w:rsidR="001E669A" w:rsidRPr="00AC156D">
        <w:rPr>
          <w:rFonts w:ascii="Times New Roman" w:hAnsi="Times New Roman" w:cs="Times New Roman"/>
          <w:sz w:val="22"/>
          <w:szCs w:val="22"/>
        </w:rPr>
        <w:t xml:space="preserve"> till att möjliggöra export av energi och är inte </w:t>
      </w:r>
      <w:r w:rsidR="005A320C" w:rsidRPr="00AC156D">
        <w:rPr>
          <w:rFonts w:ascii="Times New Roman" w:hAnsi="Times New Roman" w:cs="Times New Roman"/>
          <w:sz w:val="22"/>
          <w:szCs w:val="22"/>
        </w:rPr>
        <w:t xml:space="preserve">direkt </w:t>
      </w:r>
      <w:r w:rsidR="001E669A" w:rsidRPr="00AC156D">
        <w:rPr>
          <w:rFonts w:ascii="Times New Roman" w:hAnsi="Times New Roman" w:cs="Times New Roman"/>
          <w:sz w:val="22"/>
          <w:szCs w:val="22"/>
        </w:rPr>
        <w:t>ihopkopplat med andra</w:t>
      </w:r>
      <w:r w:rsidR="0051706E" w:rsidRPr="00AC156D">
        <w:rPr>
          <w:rFonts w:ascii="Times New Roman" w:hAnsi="Times New Roman" w:cs="Times New Roman"/>
          <w:sz w:val="22"/>
          <w:szCs w:val="22"/>
        </w:rPr>
        <w:t xml:space="preserve"> lokala vindkraftsprojekt </w:t>
      </w:r>
      <w:r w:rsidR="001E669A" w:rsidRPr="00AC156D">
        <w:rPr>
          <w:rFonts w:ascii="Times New Roman" w:hAnsi="Times New Roman" w:cs="Times New Roman"/>
          <w:sz w:val="22"/>
          <w:szCs w:val="22"/>
        </w:rPr>
        <w:t xml:space="preserve">på Åland. </w:t>
      </w:r>
    </w:p>
    <w:p w14:paraId="3ACDA6B0" w14:textId="77777777" w:rsidR="0055146F" w:rsidRDefault="0055146F" w:rsidP="00E94434">
      <w:pPr>
        <w:rPr>
          <w:rFonts w:ascii="Times New Roman" w:hAnsi="Times New Roman" w:cs="Times New Roman"/>
          <w:b/>
          <w:bCs/>
          <w:sz w:val="22"/>
          <w:szCs w:val="22"/>
        </w:rPr>
      </w:pPr>
    </w:p>
    <w:p w14:paraId="0F22DCB1" w14:textId="547D898D" w:rsidR="00E94434" w:rsidRPr="00E94434" w:rsidRDefault="00E94434" w:rsidP="00E94434">
      <w:pPr>
        <w:pStyle w:val="RubrikD"/>
      </w:pPr>
      <w:r w:rsidRPr="00E94434">
        <w:t>Solparksanläggningar</w:t>
      </w:r>
    </w:p>
    <w:p w14:paraId="1B5CAE1D" w14:textId="77777777" w:rsidR="00E7142E" w:rsidRDefault="00E94434" w:rsidP="00E94434">
      <w:pPr>
        <w:rPr>
          <w:rFonts w:ascii="Times New Roman" w:hAnsi="Times New Roman" w:cs="Times New Roman"/>
          <w:sz w:val="22"/>
          <w:szCs w:val="22"/>
        </w:rPr>
      </w:pPr>
      <w:r w:rsidRPr="7C190DF7">
        <w:rPr>
          <w:rFonts w:ascii="Times New Roman" w:hAnsi="Times New Roman" w:cs="Times New Roman"/>
          <w:sz w:val="22"/>
          <w:szCs w:val="22"/>
        </w:rPr>
        <w:t xml:space="preserve">Ålands </w:t>
      </w:r>
      <w:r w:rsidR="06912039" w:rsidRPr="7C190DF7">
        <w:rPr>
          <w:rFonts w:ascii="Times New Roman" w:hAnsi="Times New Roman" w:cs="Times New Roman"/>
          <w:sz w:val="22"/>
          <w:szCs w:val="22"/>
        </w:rPr>
        <w:t>e</w:t>
      </w:r>
      <w:r w:rsidRPr="7C190DF7">
        <w:rPr>
          <w:rFonts w:ascii="Times New Roman" w:hAnsi="Times New Roman" w:cs="Times New Roman"/>
          <w:sz w:val="22"/>
          <w:szCs w:val="22"/>
        </w:rPr>
        <w:t>nergi- och klimatstrategi fastslår att effekten från solenergiproduktionen år 2030</w:t>
      </w:r>
      <w:r w:rsidR="6A661F99" w:rsidRPr="7C190DF7">
        <w:rPr>
          <w:rFonts w:ascii="Times New Roman" w:hAnsi="Times New Roman" w:cs="Times New Roman"/>
          <w:sz w:val="22"/>
          <w:szCs w:val="22"/>
        </w:rPr>
        <w:t xml:space="preserve"> ska</w:t>
      </w:r>
      <w:r w:rsidRPr="7C190DF7">
        <w:rPr>
          <w:rFonts w:ascii="Times New Roman" w:hAnsi="Times New Roman" w:cs="Times New Roman"/>
          <w:sz w:val="22"/>
          <w:szCs w:val="22"/>
        </w:rPr>
        <w:t xml:space="preserve"> uppgå till 17 MW. Hittills har det på Åland installerats småskaliga solpaneler till en sammanlagd effekt av ca 2 MW. För att effektmålet ska kunna uppnås krävs</w:t>
      </w:r>
      <w:r w:rsidR="0DD112FC" w:rsidRPr="7C190DF7">
        <w:rPr>
          <w:rFonts w:ascii="Times New Roman" w:hAnsi="Times New Roman" w:cs="Times New Roman"/>
          <w:sz w:val="22"/>
          <w:szCs w:val="22"/>
        </w:rPr>
        <w:t xml:space="preserve"> även</w:t>
      </w:r>
      <w:r w:rsidRPr="7C190DF7">
        <w:rPr>
          <w:rFonts w:ascii="Times New Roman" w:hAnsi="Times New Roman" w:cs="Times New Roman"/>
          <w:sz w:val="22"/>
          <w:szCs w:val="22"/>
        </w:rPr>
        <w:t xml:space="preserve"> att storskalig solkraft byggs ut i form av </w:t>
      </w:r>
      <w:proofErr w:type="spellStart"/>
      <w:r w:rsidRPr="7C190DF7">
        <w:rPr>
          <w:rFonts w:ascii="Times New Roman" w:hAnsi="Times New Roman" w:cs="Times New Roman"/>
          <w:sz w:val="22"/>
          <w:szCs w:val="22"/>
        </w:rPr>
        <w:t>solparker</w:t>
      </w:r>
      <w:proofErr w:type="spellEnd"/>
      <w:r w:rsidRPr="7C190DF7">
        <w:rPr>
          <w:rFonts w:ascii="Times New Roman" w:hAnsi="Times New Roman" w:cs="Times New Roman"/>
          <w:sz w:val="22"/>
          <w:szCs w:val="22"/>
        </w:rPr>
        <w:t>. Det är ungefär dubbelt så kostnadseffektivt att bygga storskaliga solparksanläggningar jämfört med små installationer.</w:t>
      </w:r>
      <w:r w:rsidR="3628E171" w:rsidRPr="7C190DF7">
        <w:rPr>
          <w:rFonts w:ascii="Times New Roman" w:hAnsi="Times New Roman" w:cs="Times New Roman"/>
          <w:sz w:val="22"/>
          <w:szCs w:val="22"/>
        </w:rPr>
        <w:t xml:space="preserve"> </w:t>
      </w:r>
      <w:r w:rsidRPr="7C190DF7">
        <w:rPr>
          <w:rFonts w:ascii="Times New Roman" w:hAnsi="Times New Roman" w:cs="Times New Roman"/>
          <w:sz w:val="22"/>
          <w:szCs w:val="22"/>
        </w:rPr>
        <w:t xml:space="preserve">Utbyggnaden av storskaliga </w:t>
      </w:r>
      <w:proofErr w:type="spellStart"/>
      <w:r w:rsidRPr="7C190DF7">
        <w:rPr>
          <w:rFonts w:ascii="Times New Roman" w:hAnsi="Times New Roman" w:cs="Times New Roman"/>
          <w:sz w:val="22"/>
          <w:szCs w:val="22"/>
        </w:rPr>
        <w:t>solparker</w:t>
      </w:r>
      <w:proofErr w:type="spellEnd"/>
      <w:r w:rsidRPr="7C190DF7">
        <w:rPr>
          <w:rFonts w:ascii="Times New Roman" w:hAnsi="Times New Roman" w:cs="Times New Roman"/>
          <w:sz w:val="22"/>
          <w:szCs w:val="22"/>
        </w:rPr>
        <w:t xml:space="preserve"> skulle ha en betydande sysselsättningseffekt för de lokala branschföretagen.</w:t>
      </w:r>
      <w:r w:rsidR="66A2685C" w:rsidRPr="7C190DF7">
        <w:rPr>
          <w:rFonts w:ascii="Times New Roman" w:hAnsi="Times New Roman" w:cs="Times New Roman"/>
          <w:sz w:val="22"/>
          <w:szCs w:val="22"/>
        </w:rPr>
        <w:t xml:space="preserve"> </w:t>
      </w:r>
      <w:bookmarkStart w:id="7" w:name="_Hlk58403228"/>
    </w:p>
    <w:p w14:paraId="3540BC3C" w14:textId="77777777" w:rsidR="00E7142E" w:rsidRDefault="00E7142E" w:rsidP="00E94434">
      <w:pPr>
        <w:rPr>
          <w:rFonts w:ascii="Times New Roman" w:hAnsi="Times New Roman" w:cs="Times New Roman"/>
          <w:sz w:val="22"/>
          <w:szCs w:val="22"/>
        </w:rPr>
      </w:pPr>
    </w:p>
    <w:p w14:paraId="3FDF2368" w14:textId="017BFE47" w:rsidR="00E94434" w:rsidRPr="00E94434" w:rsidRDefault="00E94434" w:rsidP="00E94434">
      <w:pPr>
        <w:rPr>
          <w:rFonts w:ascii="Times New Roman" w:hAnsi="Times New Roman" w:cs="Times New Roman"/>
          <w:sz w:val="22"/>
          <w:szCs w:val="22"/>
        </w:rPr>
      </w:pPr>
      <w:r w:rsidRPr="7C190DF7">
        <w:rPr>
          <w:rFonts w:ascii="Times New Roman" w:hAnsi="Times New Roman" w:cs="Times New Roman"/>
          <w:sz w:val="22"/>
          <w:szCs w:val="22"/>
        </w:rPr>
        <w:t>Projektet</w:t>
      </w:r>
      <w:r w:rsidR="00E7142E">
        <w:rPr>
          <w:rFonts w:ascii="Times New Roman" w:hAnsi="Times New Roman" w:cs="Times New Roman"/>
          <w:sz w:val="22"/>
          <w:szCs w:val="22"/>
        </w:rPr>
        <w:t xml:space="preserve"> som helhet</w:t>
      </w:r>
      <w:r w:rsidRPr="7C190DF7">
        <w:rPr>
          <w:rFonts w:ascii="Times New Roman" w:hAnsi="Times New Roman" w:cs="Times New Roman"/>
          <w:sz w:val="22"/>
          <w:szCs w:val="22"/>
        </w:rPr>
        <w:t xml:space="preserve"> uppfyller väl kriterierna för EU:s återhämtningsfonds flaggskeppsområde</w:t>
      </w:r>
      <w:r w:rsidR="43D62DF0" w:rsidRPr="7C190DF7">
        <w:rPr>
          <w:rFonts w:ascii="Times New Roman" w:hAnsi="Times New Roman" w:cs="Times New Roman"/>
          <w:sz w:val="22"/>
          <w:szCs w:val="22"/>
        </w:rPr>
        <w:t xml:space="preserve"> 1</w:t>
      </w:r>
      <w:r w:rsidRPr="7C190DF7">
        <w:rPr>
          <w:rFonts w:ascii="Times New Roman" w:hAnsi="Times New Roman" w:cs="Times New Roman"/>
          <w:sz w:val="22"/>
          <w:szCs w:val="22"/>
        </w:rPr>
        <w:t xml:space="preserve">: </w:t>
      </w:r>
      <w:r w:rsidRPr="7C190DF7">
        <w:rPr>
          <w:rFonts w:ascii="Times New Roman" w:hAnsi="Times New Roman" w:cs="Times New Roman"/>
          <w:i/>
          <w:iCs/>
          <w:sz w:val="22"/>
          <w:szCs w:val="22"/>
        </w:rPr>
        <w:t>Uppväxling — Tidigareläggning av framtidssäkrad ren teknik och påskyndande av utvecklingen och användningen av förnybar energi.</w:t>
      </w:r>
      <w:r w:rsidRPr="7C190DF7">
        <w:rPr>
          <w:rFonts w:ascii="Times New Roman" w:hAnsi="Times New Roman" w:cs="Times New Roman"/>
          <w:sz w:val="22"/>
          <w:szCs w:val="22"/>
        </w:rPr>
        <w:t xml:space="preserve"> </w:t>
      </w:r>
    </w:p>
    <w:bookmarkEnd w:id="7"/>
    <w:p w14:paraId="2A97A46F" w14:textId="77777777" w:rsidR="0077455E" w:rsidRDefault="0077455E" w:rsidP="7C190DF7">
      <w:pPr>
        <w:rPr>
          <w:rFonts w:ascii="Times New Roman" w:hAnsi="Times New Roman" w:cs="Times New Roman"/>
          <w:sz w:val="22"/>
          <w:szCs w:val="22"/>
        </w:rPr>
      </w:pPr>
    </w:p>
    <w:p w14:paraId="168C06A6" w14:textId="54B692C5" w:rsidR="0077455E" w:rsidRPr="0077455E" w:rsidRDefault="0077455E" w:rsidP="0077455E">
      <w:pPr>
        <w:autoSpaceDE w:val="0"/>
        <w:autoSpaceDN w:val="0"/>
        <w:adjustRightInd w:val="0"/>
        <w:rPr>
          <w:rFonts w:ascii="Times New Roman" w:eastAsia="Times New Roman" w:hAnsi="Times New Roman" w:cs="Times New Roman"/>
          <w:i/>
          <w:iCs/>
          <w:sz w:val="22"/>
          <w:szCs w:val="22"/>
          <w:lang w:val="sv-FI" w:eastAsia="sv-FI"/>
        </w:rPr>
      </w:pPr>
      <w:r w:rsidRPr="0077455E">
        <w:rPr>
          <w:rFonts w:ascii="Times New Roman" w:hAnsi="Times New Roman" w:cs="Times New Roman"/>
          <w:i/>
          <w:iCs/>
          <w:sz w:val="22"/>
          <w:szCs w:val="22"/>
        </w:rPr>
        <w:t xml:space="preserve">Totalt omfattar reform- och investeringsprojekt </w:t>
      </w:r>
      <w:r>
        <w:rPr>
          <w:rFonts w:ascii="Times New Roman" w:hAnsi="Times New Roman" w:cs="Times New Roman"/>
          <w:i/>
          <w:iCs/>
          <w:sz w:val="22"/>
          <w:szCs w:val="22"/>
        </w:rPr>
        <w:t>A</w:t>
      </w:r>
      <w:r w:rsidRPr="0077455E">
        <w:rPr>
          <w:rFonts w:ascii="Times New Roman" w:hAnsi="Times New Roman" w:cs="Times New Roman"/>
          <w:i/>
          <w:iCs/>
          <w:sz w:val="22"/>
          <w:szCs w:val="22"/>
        </w:rPr>
        <w:t xml:space="preserve"> ca 3,</w:t>
      </w:r>
      <w:r>
        <w:rPr>
          <w:rFonts w:ascii="Times New Roman" w:hAnsi="Times New Roman" w:cs="Times New Roman"/>
          <w:i/>
          <w:iCs/>
          <w:sz w:val="22"/>
          <w:szCs w:val="22"/>
        </w:rPr>
        <w:t>75</w:t>
      </w:r>
      <w:r w:rsidRPr="0077455E">
        <w:rPr>
          <w:rFonts w:ascii="Times New Roman" w:hAnsi="Times New Roman" w:cs="Times New Roman"/>
          <w:i/>
          <w:iCs/>
          <w:sz w:val="22"/>
          <w:szCs w:val="22"/>
        </w:rPr>
        <w:t xml:space="preserve"> miljoner euro.</w:t>
      </w:r>
    </w:p>
    <w:p w14:paraId="0311695D" w14:textId="7EA3AD9D" w:rsidR="005F31F7" w:rsidRDefault="00FE3C9E" w:rsidP="7C190DF7">
      <w:pPr>
        <w:rPr>
          <w:rFonts w:ascii="Times New Roman" w:hAnsi="Times New Roman" w:cs="Times New Roman"/>
          <w:b/>
          <w:bCs/>
          <w:sz w:val="22"/>
          <w:szCs w:val="22"/>
        </w:rPr>
      </w:pPr>
      <w:r w:rsidRPr="7C190DF7">
        <w:rPr>
          <w:rFonts w:ascii="Times New Roman" w:hAnsi="Times New Roman" w:cs="Times New Roman"/>
          <w:sz w:val="22"/>
          <w:szCs w:val="22"/>
        </w:rPr>
        <w:t xml:space="preserve">  </w:t>
      </w:r>
    </w:p>
    <w:p w14:paraId="1600C735" w14:textId="77777777" w:rsidR="0055007A" w:rsidRDefault="0055007A" w:rsidP="7C190DF7">
      <w:pPr>
        <w:rPr>
          <w:rFonts w:ascii="Times New Roman" w:hAnsi="Times New Roman" w:cs="Times New Roman"/>
          <w:b/>
          <w:bCs/>
          <w:sz w:val="22"/>
          <w:szCs w:val="22"/>
        </w:rPr>
      </w:pPr>
    </w:p>
    <w:p w14:paraId="207720C8" w14:textId="52E4EDC3" w:rsidR="005F31F7" w:rsidRDefault="005F31F7" w:rsidP="005F31F7">
      <w:pPr>
        <w:pStyle w:val="RubrikB"/>
      </w:pPr>
      <w:r>
        <w:t xml:space="preserve">B. </w:t>
      </w:r>
      <w:r w:rsidR="004576A6" w:rsidRPr="003B6F50">
        <w:t>Förstärkning av h</w:t>
      </w:r>
      <w:r w:rsidRPr="003B6F50">
        <w:t>ögskolan</w:t>
      </w:r>
      <w:r w:rsidR="004576A6" w:rsidRPr="003B6F50">
        <w:t xml:space="preserve">s attraktionskraft </w:t>
      </w:r>
      <w:r w:rsidRPr="003B6F50">
        <w:t xml:space="preserve">genom </w:t>
      </w:r>
      <w:r w:rsidR="004576A6" w:rsidRPr="003B6F50">
        <w:t xml:space="preserve">förädlat utbildningserbjudande och </w:t>
      </w:r>
      <w:r w:rsidRPr="003B6F50">
        <w:t>modern</w:t>
      </w:r>
      <w:r w:rsidR="004576A6" w:rsidRPr="003B6F50">
        <w:t>iserad</w:t>
      </w:r>
      <w:r w:rsidRPr="003B6F50">
        <w:t xml:space="preserve"> digital pedagogik </w:t>
      </w:r>
    </w:p>
    <w:p w14:paraId="02A21E75" w14:textId="1F9B728F" w:rsidR="005F31F7" w:rsidRDefault="005F31F7" w:rsidP="00BD6319">
      <w:pPr>
        <w:rPr>
          <w:rFonts w:ascii="Times New Roman" w:hAnsi="Times New Roman" w:cs="Times New Roman"/>
          <w:b/>
          <w:bCs/>
          <w:sz w:val="22"/>
          <w:szCs w:val="22"/>
        </w:rPr>
      </w:pPr>
    </w:p>
    <w:p w14:paraId="40EBA381" w14:textId="62CCED40" w:rsidR="0042254F" w:rsidRPr="0042254F" w:rsidRDefault="0042254F" w:rsidP="7C190DF7">
      <w:pPr>
        <w:rPr>
          <w:rFonts w:ascii="Times New Roman" w:hAnsi="Times New Roman" w:cs="Times New Roman"/>
          <w:sz w:val="22"/>
          <w:szCs w:val="22"/>
          <w:lang w:val="sv-FI" w:eastAsia="en-US"/>
        </w:rPr>
      </w:pPr>
      <w:r w:rsidRPr="7C190DF7">
        <w:rPr>
          <w:rFonts w:ascii="Times New Roman" w:hAnsi="Times New Roman" w:cs="Times New Roman"/>
          <w:sz w:val="22"/>
          <w:szCs w:val="22"/>
        </w:rPr>
        <w:t>Åland är ett kunskapssamhälle. Mycket tack vare en lyckad kombination av praktiskt och teoretiskt kunnande har det åländska samhället haft en på många sätt positiv utveckling de senaste decennierna.</w:t>
      </w:r>
    </w:p>
    <w:p w14:paraId="310E74AB" w14:textId="3BC3B5C2" w:rsidR="0042254F" w:rsidRPr="0042254F" w:rsidRDefault="0956C69B" w:rsidP="7C190DF7">
      <w:pPr>
        <w:rPr>
          <w:rFonts w:ascii="Times New Roman" w:hAnsi="Times New Roman" w:cs="Times New Roman"/>
          <w:sz w:val="22"/>
          <w:szCs w:val="22"/>
          <w:lang w:val="sv-FI" w:eastAsia="en-US"/>
        </w:rPr>
      </w:pPr>
      <w:r w:rsidRPr="7C190DF7">
        <w:rPr>
          <w:rFonts w:ascii="Times New Roman" w:hAnsi="Times New Roman" w:cs="Times New Roman"/>
          <w:sz w:val="22"/>
          <w:szCs w:val="22"/>
        </w:rPr>
        <w:t xml:space="preserve">   </w:t>
      </w:r>
      <w:r w:rsidR="0042254F" w:rsidRPr="7C190DF7">
        <w:rPr>
          <w:rFonts w:ascii="Times New Roman" w:hAnsi="Times New Roman" w:cs="Times New Roman"/>
          <w:sz w:val="22"/>
          <w:szCs w:val="22"/>
        </w:rPr>
        <w:t>Megatrenderna globalisering, digitalisering och hållbarhet förstärker att ett samhälles samlade kompetens är en avgörande framgångsfaktor och därmed av strategisk betydelse för en gynnsam samhällsutveckling.</w:t>
      </w:r>
    </w:p>
    <w:p w14:paraId="795373A3" w14:textId="622FE082" w:rsidR="0042254F" w:rsidRDefault="11F690D8" w:rsidP="7C190DF7">
      <w:pPr>
        <w:rPr>
          <w:rFonts w:ascii="Times New Roman" w:hAnsi="Times New Roman" w:cs="Times New Roman"/>
          <w:sz w:val="22"/>
          <w:szCs w:val="22"/>
        </w:rPr>
      </w:pPr>
      <w:r w:rsidRPr="7C190DF7">
        <w:rPr>
          <w:rFonts w:ascii="Times New Roman" w:hAnsi="Times New Roman" w:cs="Times New Roman"/>
          <w:sz w:val="22"/>
          <w:szCs w:val="22"/>
        </w:rPr>
        <w:t xml:space="preserve">   </w:t>
      </w:r>
      <w:r w:rsidR="0042254F" w:rsidRPr="7C190DF7">
        <w:rPr>
          <w:rFonts w:ascii="Times New Roman" w:hAnsi="Times New Roman" w:cs="Times New Roman"/>
          <w:sz w:val="22"/>
          <w:szCs w:val="22"/>
        </w:rPr>
        <w:t>Högskolan på Åland har en cen</w:t>
      </w:r>
      <w:r w:rsidR="0042254F" w:rsidRPr="00AC156D">
        <w:rPr>
          <w:rFonts w:ascii="Times New Roman" w:hAnsi="Times New Roman" w:cs="Times New Roman"/>
          <w:sz w:val="22"/>
          <w:szCs w:val="22"/>
        </w:rPr>
        <w:t>tral funktion som katalysator för förstärkt kompetens i det åländska samhället</w:t>
      </w:r>
      <w:r w:rsidR="0025756B" w:rsidRPr="00AC156D">
        <w:rPr>
          <w:rFonts w:ascii="Times New Roman" w:hAnsi="Times New Roman" w:cs="Times New Roman"/>
          <w:sz w:val="22"/>
          <w:szCs w:val="22"/>
        </w:rPr>
        <w:t xml:space="preserve"> respektive samhällets attraktionskraft för inflyttning</w:t>
      </w:r>
      <w:r w:rsidR="0042254F" w:rsidRPr="00AC156D">
        <w:rPr>
          <w:rFonts w:ascii="Times New Roman" w:hAnsi="Times New Roman" w:cs="Times New Roman"/>
          <w:sz w:val="22"/>
          <w:szCs w:val="22"/>
        </w:rPr>
        <w:t>.</w:t>
      </w:r>
      <w:r w:rsidR="004306FC" w:rsidRPr="00AC156D">
        <w:rPr>
          <w:rFonts w:ascii="Times New Roman" w:hAnsi="Times New Roman" w:cs="Times New Roman"/>
          <w:sz w:val="22"/>
          <w:szCs w:val="22"/>
        </w:rPr>
        <w:t xml:space="preserve"> Samtidigt </w:t>
      </w:r>
      <w:r w:rsidR="004306FC">
        <w:rPr>
          <w:rFonts w:ascii="Times New Roman" w:hAnsi="Times New Roman" w:cs="Times New Roman"/>
          <w:sz w:val="22"/>
          <w:szCs w:val="22"/>
        </w:rPr>
        <w:t>ligger högskolan efter jämförbara utbildningsinstitutioner gällande digitalisering av verksamheten.</w:t>
      </w:r>
    </w:p>
    <w:p w14:paraId="6556601C" w14:textId="1EB80680" w:rsidR="004576A6" w:rsidRDefault="004576A6" w:rsidP="7C190DF7">
      <w:pPr>
        <w:rPr>
          <w:rFonts w:ascii="Times New Roman" w:hAnsi="Times New Roman" w:cs="Times New Roman"/>
          <w:sz w:val="22"/>
          <w:szCs w:val="22"/>
        </w:rPr>
      </w:pPr>
    </w:p>
    <w:p w14:paraId="174D896E" w14:textId="407B9C55" w:rsidR="00CB1D84" w:rsidRPr="0025756B" w:rsidRDefault="00CB1D84" w:rsidP="7C190DF7">
      <w:pPr>
        <w:rPr>
          <w:rFonts w:ascii="Times New Roman" w:hAnsi="Times New Roman" w:cs="Times New Roman"/>
          <w:i/>
          <w:iCs/>
          <w:sz w:val="22"/>
          <w:szCs w:val="22"/>
        </w:rPr>
      </w:pPr>
      <w:r w:rsidRPr="0025756B">
        <w:rPr>
          <w:rFonts w:ascii="Times New Roman" w:hAnsi="Times New Roman" w:cs="Times New Roman"/>
          <w:i/>
          <w:iCs/>
          <w:sz w:val="22"/>
          <w:szCs w:val="22"/>
        </w:rPr>
        <w:t>Effektmål</w:t>
      </w:r>
    </w:p>
    <w:p w14:paraId="19C95FF2" w14:textId="0BE3CCD2" w:rsidR="004576A6" w:rsidRPr="0025756B" w:rsidRDefault="004576A6" w:rsidP="7C190DF7">
      <w:pPr>
        <w:rPr>
          <w:rFonts w:ascii="Times New Roman" w:hAnsi="Times New Roman" w:cs="Times New Roman"/>
          <w:sz w:val="22"/>
          <w:szCs w:val="22"/>
        </w:rPr>
      </w:pPr>
      <w:r w:rsidRPr="0025756B">
        <w:rPr>
          <w:rFonts w:ascii="Times New Roman" w:hAnsi="Times New Roman" w:cs="Times New Roman"/>
          <w:sz w:val="22"/>
          <w:szCs w:val="22"/>
        </w:rPr>
        <w:t xml:space="preserve">Mot ovanstående bakgrund är avsikten att högskolan under perioden </w:t>
      </w:r>
      <w:proofErr w:type="gramStart"/>
      <w:r w:rsidRPr="0025756B">
        <w:rPr>
          <w:rFonts w:ascii="Times New Roman" w:hAnsi="Times New Roman" w:cs="Times New Roman"/>
          <w:sz w:val="22"/>
          <w:szCs w:val="22"/>
        </w:rPr>
        <w:t>2021-2024</w:t>
      </w:r>
      <w:proofErr w:type="gramEnd"/>
      <w:r w:rsidRPr="0025756B">
        <w:rPr>
          <w:rFonts w:ascii="Times New Roman" w:hAnsi="Times New Roman" w:cs="Times New Roman"/>
          <w:sz w:val="22"/>
          <w:szCs w:val="22"/>
        </w:rPr>
        <w:t xml:space="preserve"> genomför ett </w:t>
      </w:r>
      <w:r w:rsidR="00CB1D84" w:rsidRPr="0025756B">
        <w:rPr>
          <w:rFonts w:ascii="Times New Roman" w:hAnsi="Times New Roman" w:cs="Times New Roman"/>
          <w:sz w:val="22"/>
          <w:szCs w:val="22"/>
        </w:rPr>
        <w:t xml:space="preserve">reform- och </w:t>
      </w:r>
      <w:r w:rsidRPr="0025756B">
        <w:rPr>
          <w:rFonts w:ascii="Times New Roman" w:hAnsi="Times New Roman" w:cs="Times New Roman"/>
          <w:sz w:val="22"/>
          <w:szCs w:val="22"/>
        </w:rPr>
        <w:t>investeringsprojekt med följande effektmål</w:t>
      </w:r>
      <w:r w:rsidR="008A14F0" w:rsidRPr="0025756B">
        <w:rPr>
          <w:rFonts w:ascii="Times New Roman" w:hAnsi="Times New Roman" w:cs="Times New Roman"/>
          <w:sz w:val="22"/>
          <w:szCs w:val="22"/>
        </w:rPr>
        <w:t xml:space="preserve"> (som är avsedda att uppnås </w:t>
      </w:r>
      <w:r w:rsidR="00CB1D84" w:rsidRPr="0025756B">
        <w:rPr>
          <w:rFonts w:ascii="Times New Roman" w:hAnsi="Times New Roman" w:cs="Times New Roman"/>
          <w:sz w:val="22"/>
          <w:szCs w:val="22"/>
        </w:rPr>
        <w:t xml:space="preserve">senast </w:t>
      </w:r>
      <w:r w:rsidR="008A14F0" w:rsidRPr="0025756B">
        <w:rPr>
          <w:rFonts w:ascii="Times New Roman" w:hAnsi="Times New Roman" w:cs="Times New Roman"/>
          <w:sz w:val="22"/>
          <w:szCs w:val="22"/>
        </w:rPr>
        <w:t>i slutet av projektperioden)</w:t>
      </w:r>
      <w:r w:rsidRPr="0025756B">
        <w:rPr>
          <w:rFonts w:ascii="Times New Roman" w:hAnsi="Times New Roman" w:cs="Times New Roman"/>
          <w:sz w:val="22"/>
          <w:szCs w:val="22"/>
        </w:rPr>
        <w:t>:</w:t>
      </w:r>
    </w:p>
    <w:p w14:paraId="1C341817" w14:textId="158CFAD5" w:rsidR="004576A6" w:rsidRPr="0025756B" w:rsidRDefault="004576A6" w:rsidP="7C190DF7">
      <w:pPr>
        <w:rPr>
          <w:rFonts w:ascii="Times New Roman" w:hAnsi="Times New Roman" w:cs="Times New Roman"/>
          <w:sz w:val="22"/>
          <w:szCs w:val="22"/>
        </w:rPr>
      </w:pPr>
    </w:p>
    <w:p w14:paraId="5C7B6B1D" w14:textId="16EE0627" w:rsidR="004576A6" w:rsidRPr="0025756B" w:rsidRDefault="004576A6" w:rsidP="004576A6">
      <w:pPr>
        <w:pStyle w:val="Liststycke"/>
        <w:numPr>
          <w:ilvl w:val="0"/>
          <w:numId w:val="37"/>
        </w:numPr>
        <w:rPr>
          <w:rFonts w:ascii="Times New Roman" w:hAnsi="Times New Roman"/>
        </w:rPr>
      </w:pPr>
      <w:r w:rsidRPr="0025756B">
        <w:rPr>
          <w:rFonts w:ascii="Times New Roman" w:hAnsi="Times New Roman"/>
        </w:rPr>
        <w:t>Markant ökad efterfrågan på högskolans utbildningsprogram i sin helhet (ökad efterfrågan både på och utanför Åland)</w:t>
      </w:r>
      <w:r w:rsidR="008A14F0" w:rsidRPr="0025756B">
        <w:rPr>
          <w:rFonts w:ascii="Times New Roman" w:hAnsi="Times New Roman"/>
        </w:rPr>
        <w:t>.</w:t>
      </w:r>
    </w:p>
    <w:p w14:paraId="46EBCF7D" w14:textId="1AA11723" w:rsidR="004576A6" w:rsidRPr="0025756B" w:rsidRDefault="004306FC" w:rsidP="004576A6">
      <w:pPr>
        <w:pStyle w:val="Liststycke"/>
        <w:numPr>
          <w:ilvl w:val="0"/>
          <w:numId w:val="37"/>
        </w:numPr>
        <w:rPr>
          <w:rFonts w:ascii="Times New Roman" w:hAnsi="Times New Roman"/>
        </w:rPr>
      </w:pPr>
      <w:r w:rsidRPr="0025756B">
        <w:rPr>
          <w:rFonts w:ascii="Times New Roman" w:hAnsi="Times New Roman"/>
        </w:rPr>
        <w:t>N</w:t>
      </w:r>
      <w:r w:rsidR="004576A6" w:rsidRPr="0025756B">
        <w:rPr>
          <w:rFonts w:ascii="Times New Roman" w:hAnsi="Times New Roman"/>
        </w:rPr>
        <w:t xml:space="preserve">uvarande utbildningar </w:t>
      </w:r>
      <w:r w:rsidRPr="0025756B">
        <w:rPr>
          <w:rFonts w:ascii="Times New Roman" w:hAnsi="Times New Roman"/>
        </w:rPr>
        <w:t xml:space="preserve">har förädlats </w:t>
      </w:r>
      <w:r w:rsidR="0051706E" w:rsidRPr="0025756B">
        <w:rPr>
          <w:rFonts w:ascii="Times New Roman" w:hAnsi="Times New Roman"/>
        </w:rPr>
        <w:t xml:space="preserve">att bli </w:t>
      </w:r>
      <w:r w:rsidR="008A14F0" w:rsidRPr="0025756B">
        <w:rPr>
          <w:rFonts w:ascii="Times New Roman" w:hAnsi="Times New Roman"/>
        </w:rPr>
        <w:t xml:space="preserve">en katalysator för företagande på Åland </w:t>
      </w:r>
      <w:r w:rsidR="0051706E" w:rsidRPr="0025756B">
        <w:rPr>
          <w:rFonts w:ascii="Times New Roman" w:hAnsi="Times New Roman"/>
        </w:rPr>
        <w:t xml:space="preserve">där </w:t>
      </w:r>
      <w:r w:rsidR="008A14F0" w:rsidRPr="0025756B">
        <w:rPr>
          <w:rFonts w:ascii="Times New Roman" w:hAnsi="Times New Roman"/>
        </w:rPr>
        <w:t>digitaliserings-, automations-</w:t>
      </w:r>
      <w:r w:rsidR="00927AD8" w:rsidRPr="0025756B">
        <w:rPr>
          <w:rFonts w:ascii="Times New Roman" w:hAnsi="Times New Roman"/>
        </w:rPr>
        <w:t xml:space="preserve">, </w:t>
      </w:r>
      <w:r w:rsidR="008A14F0" w:rsidRPr="0025756B">
        <w:rPr>
          <w:rFonts w:ascii="Times New Roman" w:hAnsi="Times New Roman"/>
        </w:rPr>
        <w:t xml:space="preserve">AI-tjänster </w:t>
      </w:r>
      <w:r w:rsidR="00927AD8" w:rsidRPr="0025756B">
        <w:rPr>
          <w:rFonts w:ascii="Times New Roman" w:hAnsi="Times New Roman"/>
        </w:rPr>
        <w:t xml:space="preserve">samt tjänster inom förnyelsebar energi </w:t>
      </w:r>
      <w:r w:rsidR="008A14F0" w:rsidRPr="0025756B">
        <w:rPr>
          <w:rFonts w:ascii="Times New Roman" w:hAnsi="Times New Roman"/>
        </w:rPr>
        <w:t>på export</w:t>
      </w:r>
      <w:r w:rsidR="0051706E" w:rsidRPr="0025756B">
        <w:rPr>
          <w:rFonts w:ascii="Times New Roman" w:hAnsi="Times New Roman"/>
        </w:rPr>
        <w:t xml:space="preserve"> erbjuds</w:t>
      </w:r>
      <w:r w:rsidR="008A14F0" w:rsidRPr="0025756B">
        <w:rPr>
          <w:rFonts w:ascii="Times New Roman" w:hAnsi="Times New Roman"/>
        </w:rPr>
        <w:t>.</w:t>
      </w:r>
    </w:p>
    <w:p w14:paraId="7F44FC51" w14:textId="79218B68" w:rsidR="004576A6" w:rsidRPr="0025756B" w:rsidRDefault="008A14F0" w:rsidP="004576A6">
      <w:pPr>
        <w:pStyle w:val="Liststycke"/>
        <w:numPr>
          <w:ilvl w:val="0"/>
          <w:numId w:val="37"/>
        </w:numPr>
        <w:rPr>
          <w:rFonts w:ascii="Times New Roman" w:hAnsi="Times New Roman"/>
        </w:rPr>
      </w:pPr>
      <w:r w:rsidRPr="0025756B">
        <w:rPr>
          <w:rFonts w:ascii="Times New Roman" w:hAnsi="Times New Roman"/>
        </w:rPr>
        <w:t>Modern digitalpedagogik och d</w:t>
      </w:r>
      <w:r w:rsidR="004576A6" w:rsidRPr="0025756B">
        <w:rPr>
          <w:rFonts w:ascii="Times New Roman" w:hAnsi="Times New Roman"/>
        </w:rPr>
        <w:t>istansundervisning</w:t>
      </w:r>
      <w:r w:rsidR="004306FC" w:rsidRPr="0025756B">
        <w:rPr>
          <w:rFonts w:ascii="Times New Roman" w:hAnsi="Times New Roman"/>
        </w:rPr>
        <w:t xml:space="preserve"> </w:t>
      </w:r>
      <w:r w:rsidRPr="0025756B">
        <w:rPr>
          <w:rFonts w:ascii="Times New Roman" w:hAnsi="Times New Roman"/>
        </w:rPr>
        <w:t>har integrerats i all utbildningsverksamhet i högskolan.</w:t>
      </w:r>
    </w:p>
    <w:p w14:paraId="25D59E78" w14:textId="27DBC887" w:rsidR="004306FC" w:rsidRPr="0025756B" w:rsidRDefault="004306FC" w:rsidP="004576A6">
      <w:pPr>
        <w:pStyle w:val="Liststycke"/>
        <w:numPr>
          <w:ilvl w:val="0"/>
          <w:numId w:val="37"/>
        </w:numPr>
        <w:rPr>
          <w:rFonts w:ascii="Times New Roman" w:hAnsi="Times New Roman"/>
        </w:rPr>
      </w:pPr>
      <w:r w:rsidRPr="0025756B">
        <w:rPr>
          <w:rFonts w:ascii="Times New Roman" w:hAnsi="Times New Roman"/>
        </w:rPr>
        <w:t>Verksamhetens digitaliseringsnivå i sin helhet har kommit ikapp jämförbara utbildningsinstitutioner.</w:t>
      </w:r>
    </w:p>
    <w:p w14:paraId="5CAE70A9" w14:textId="00535C0C" w:rsidR="005F31F7" w:rsidRPr="005F31F7" w:rsidRDefault="005F31F7" w:rsidP="005F31F7">
      <w:pPr>
        <w:pStyle w:val="RubrikD"/>
        <w:rPr>
          <w:lang w:val="sv-FI" w:eastAsia="sv-FI"/>
        </w:rPr>
      </w:pPr>
      <w:r w:rsidRPr="005F31F7">
        <w:rPr>
          <w:lang w:val="sv-FI" w:eastAsia="sv-FI"/>
        </w:rPr>
        <w:lastRenderedPageBreak/>
        <w:t xml:space="preserve">Utveckling av utbildningsalternativ och </w:t>
      </w:r>
      <w:r w:rsidR="004576A6" w:rsidRPr="003B6F50">
        <w:rPr>
          <w:lang w:val="sv-FI" w:eastAsia="sv-FI"/>
        </w:rPr>
        <w:t>forskning, utveckling och innovation (</w:t>
      </w:r>
      <w:r w:rsidRPr="003B6F50">
        <w:rPr>
          <w:lang w:val="sv-FI" w:eastAsia="sv-FI"/>
        </w:rPr>
        <w:t>FUI</w:t>
      </w:r>
      <w:r w:rsidR="004576A6" w:rsidRPr="003B6F50">
        <w:rPr>
          <w:lang w:val="sv-FI" w:eastAsia="sv-FI"/>
        </w:rPr>
        <w:t>)</w:t>
      </w:r>
      <w:r w:rsidRPr="003B6F50">
        <w:rPr>
          <w:lang w:val="sv-FI" w:eastAsia="sv-FI"/>
        </w:rPr>
        <w:t xml:space="preserve"> </w:t>
      </w:r>
      <w:r w:rsidR="004576A6" w:rsidRPr="003B6F50">
        <w:rPr>
          <w:lang w:val="sv-FI" w:eastAsia="sv-FI"/>
        </w:rPr>
        <w:t>inom</w:t>
      </w:r>
      <w:r w:rsidRPr="003B6F50">
        <w:rPr>
          <w:lang w:val="sv-FI" w:eastAsia="sv-FI"/>
        </w:rPr>
        <w:t xml:space="preserve"> digitalisering, automation</w:t>
      </w:r>
      <w:r w:rsidR="004576A6" w:rsidRPr="003B6F50">
        <w:rPr>
          <w:lang w:val="sv-FI" w:eastAsia="sv-FI"/>
        </w:rPr>
        <w:t>, AI</w:t>
      </w:r>
      <w:r w:rsidRPr="003B6F50">
        <w:rPr>
          <w:lang w:val="sv-FI" w:eastAsia="sv-FI"/>
        </w:rPr>
        <w:t xml:space="preserve"> och </w:t>
      </w:r>
      <w:r w:rsidRPr="005F31F7">
        <w:rPr>
          <w:lang w:val="sv-FI" w:eastAsia="sv-FI"/>
        </w:rPr>
        <w:t>hållbara energiformer</w:t>
      </w:r>
    </w:p>
    <w:p w14:paraId="0807339D" w14:textId="0CC322A5" w:rsidR="00927AD8" w:rsidRDefault="008473AE" w:rsidP="005F31F7">
      <w:pPr>
        <w:autoSpaceDE w:val="0"/>
        <w:autoSpaceDN w:val="0"/>
        <w:adjustRightInd w:val="0"/>
        <w:rPr>
          <w:rFonts w:ascii="Times New Roman" w:eastAsia="Times New Roman" w:hAnsi="Times New Roman" w:cs="Times New Roman"/>
          <w:color w:val="000000"/>
          <w:sz w:val="22"/>
          <w:szCs w:val="22"/>
          <w:lang w:val="sv-FI" w:eastAsia="sv-FI"/>
        </w:rPr>
      </w:pPr>
      <w:r>
        <w:rPr>
          <w:rFonts w:ascii="Times New Roman" w:eastAsia="Times New Roman" w:hAnsi="Times New Roman" w:cs="Times New Roman"/>
          <w:color w:val="000000" w:themeColor="text1"/>
          <w:sz w:val="22"/>
          <w:szCs w:val="22"/>
          <w:lang w:val="sv-FI" w:eastAsia="sv-FI"/>
        </w:rPr>
        <w:t xml:space="preserve">Genomförandet av </w:t>
      </w:r>
      <w:r w:rsidR="00B17C3D">
        <w:rPr>
          <w:rFonts w:ascii="Times New Roman" w:eastAsia="Times New Roman" w:hAnsi="Times New Roman" w:cs="Times New Roman"/>
          <w:color w:val="000000" w:themeColor="text1"/>
          <w:sz w:val="22"/>
          <w:szCs w:val="22"/>
          <w:lang w:val="sv-FI" w:eastAsia="sv-FI"/>
        </w:rPr>
        <w:t>reform- och investerings</w:t>
      </w:r>
      <w:r>
        <w:rPr>
          <w:rFonts w:ascii="Times New Roman" w:eastAsia="Times New Roman" w:hAnsi="Times New Roman" w:cs="Times New Roman"/>
          <w:color w:val="000000" w:themeColor="text1"/>
          <w:sz w:val="22"/>
          <w:szCs w:val="22"/>
          <w:lang w:val="sv-FI" w:eastAsia="sv-FI"/>
        </w:rPr>
        <w:t xml:space="preserve">projektet </w:t>
      </w:r>
      <w:r w:rsidR="00927AD8" w:rsidRPr="7C190DF7">
        <w:rPr>
          <w:rFonts w:ascii="Times New Roman" w:eastAsia="Times New Roman" w:hAnsi="Times New Roman" w:cs="Times New Roman"/>
          <w:color w:val="000000" w:themeColor="text1"/>
          <w:sz w:val="22"/>
          <w:szCs w:val="22"/>
          <w:lang w:val="sv-FI" w:eastAsia="sv-FI"/>
        </w:rPr>
        <w:t>skulle lyfta högskolans tekniska program till framkant av utbildningar inom digitalisering, automation och hållbara energiformer. Detta skulle högst sannolikt locka studerande även från andra länder och bidra till ett utbyte och rörlighet i hela Europa.</w:t>
      </w:r>
    </w:p>
    <w:p w14:paraId="5D2268F1" w14:textId="4C3C94E7" w:rsidR="005F31F7" w:rsidRPr="005F31F7" w:rsidRDefault="00927AD8" w:rsidP="005F31F7">
      <w:pPr>
        <w:autoSpaceDE w:val="0"/>
        <w:autoSpaceDN w:val="0"/>
        <w:adjustRightInd w:val="0"/>
        <w:rPr>
          <w:rFonts w:ascii="Times New Roman" w:eastAsia="Times New Roman" w:hAnsi="Times New Roman" w:cs="Times New Roman"/>
          <w:color w:val="000000"/>
          <w:sz w:val="22"/>
          <w:szCs w:val="22"/>
          <w:lang w:val="sv-FI" w:eastAsia="sv-FI"/>
        </w:rPr>
      </w:pPr>
      <w:r>
        <w:rPr>
          <w:rFonts w:ascii="Times New Roman" w:eastAsia="Times New Roman" w:hAnsi="Times New Roman" w:cs="Times New Roman"/>
          <w:color w:val="000000"/>
          <w:sz w:val="22"/>
          <w:szCs w:val="22"/>
          <w:lang w:val="sv-FI" w:eastAsia="sv-FI"/>
        </w:rPr>
        <w:t xml:space="preserve">   </w:t>
      </w:r>
      <w:r w:rsidR="005F31F7" w:rsidRPr="005F31F7">
        <w:rPr>
          <w:rFonts w:ascii="Times New Roman" w:eastAsia="Times New Roman" w:hAnsi="Times New Roman" w:cs="Times New Roman"/>
          <w:color w:val="000000"/>
          <w:sz w:val="22"/>
          <w:szCs w:val="22"/>
          <w:lang w:val="sv-FI" w:eastAsia="sv-FI"/>
        </w:rPr>
        <w:t>Högskolan har redan planerat och genomfört initiala förberedelser för uppbyggnad av nya</w:t>
      </w:r>
      <w:r w:rsidR="005F31F7">
        <w:rPr>
          <w:rFonts w:ascii="Times New Roman" w:eastAsia="Times New Roman" w:hAnsi="Times New Roman" w:cs="Times New Roman"/>
          <w:color w:val="000000"/>
          <w:sz w:val="22"/>
          <w:szCs w:val="22"/>
          <w:lang w:val="sv-FI" w:eastAsia="sv-FI"/>
        </w:rPr>
        <w:t xml:space="preserve"> </w:t>
      </w:r>
      <w:r w:rsidR="005F31F7" w:rsidRPr="005F31F7">
        <w:rPr>
          <w:rFonts w:ascii="Times New Roman" w:eastAsia="Times New Roman" w:hAnsi="Times New Roman" w:cs="Times New Roman"/>
          <w:color w:val="000000"/>
          <w:sz w:val="22"/>
          <w:szCs w:val="22"/>
          <w:lang w:val="sv-FI" w:eastAsia="sv-FI"/>
        </w:rPr>
        <w:t>studieinriktningar i automation och förnybar energi som utgör ett inriktningsalternativ i existerande</w:t>
      </w:r>
      <w:r w:rsidR="005F31F7">
        <w:rPr>
          <w:rFonts w:ascii="Times New Roman" w:eastAsia="Times New Roman" w:hAnsi="Times New Roman" w:cs="Times New Roman"/>
          <w:color w:val="000000"/>
          <w:sz w:val="22"/>
          <w:szCs w:val="22"/>
          <w:lang w:val="sv-FI" w:eastAsia="sv-FI"/>
        </w:rPr>
        <w:t xml:space="preserve"> </w:t>
      </w:r>
      <w:r w:rsidR="005F31F7" w:rsidRPr="005F31F7">
        <w:rPr>
          <w:rFonts w:ascii="Times New Roman" w:eastAsia="Times New Roman" w:hAnsi="Times New Roman" w:cs="Times New Roman"/>
          <w:color w:val="000000"/>
          <w:sz w:val="22"/>
          <w:szCs w:val="22"/>
          <w:lang w:val="sv-FI" w:eastAsia="sv-FI"/>
        </w:rPr>
        <w:t>ingenjörsutbildning med koppling till alla högskolans teknikbranscher. Utbildningarna bygger på</w:t>
      </w:r>
      <w:r w:rsidR="005F31F7">
        <w:rPr>
          <w:rFonts w:ascii="Times New Roman" w:eastAsia="Times New Roman" w:hAnsi="Times New Roman" w:cs="Times New Roman"/>
          <w:color w:val="000000"/>
          <w:sz w:val="22"/>
          <w:szCs w:val="22"/>
          <w:lang w:val="sv-FI" w:eastAsia="sv-FI"/>
        </w:rPr>
        <w:t xml:space="preserve"> d</w:t>
      </w:r>
      <w:r w:rsidR="005F31F7" w:rsidRPr="005F31F7">
        <w:rPr>
          <w:rFonts w:ascii="Times New Roman" w:eastAsia="Times New Roman" w:hAnsi="Times New Roman" w:cs="Times New Roman"/>
          <w:color w:val="000000"/>
          <w:sz w:val="22"/>
          <w:szCs w:val="22"/>
          <w:lang w:val="sv-FI" w:eastAsia="sv-FI"/>
        </w:rPr>
        <w:t xml:space="preserve">igitalisering, AI och olika andra IT-lösningar </w:t>
      </w:r>
      <w:r w:rsidR="0051706E">
        <w:rPr>
          <w:rFonts w:ascii="Times New Roman" w:eastAsia="Times New Roman" w:hAnsi="Times New Roman" w:cs="Times New Roman"/>
          <w:color w:val="000000"/>
          <w:sz w:val="22"/>
          <w:szCs w:val="22"/>
          <w:lang w:val="sv-FI" w:eastAsia="sv-FI"/>
        </w:rPr>
        <w:t>samt</w:t>
      </w:r>
      <w:r w:rsidR="005F31F7" w:rsidRPr="005F31F7">
        <w:rPr>
          <w:rFonts w:ascii="Times New Roman" w:eastAsia="Times New Roman" w:hAnsi="Times New Roman" w:cs="Times New Roman"/>
          <w:color w:val="000000"/>
          <w:sz w:val="22"/>
          <w:szCs w:val="22"/>
          <w:lang w:val="sv-FI" w:eastAsia="sv-FI"/>
        </w:rPr>
        <w:t xml:space="preserve"> görs i nära samarbete med högskolans IT-program.</w:t>
      </w:r>
    </w:p>
    <w:p w14:paraId="40898DF8" w14:textId="4B2936F6" w:rsidR="005F31F7" w:rsidRPr="005F31F7" w:rsidRDefault="005F31F7"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De planerade studieinriktningarna ger även en god bas för ett nytt studieprogram på master</w:t>
      </w:r>
      <w:r w:rsidR="00927AD8">
        <w:rPr>
          <w:rFonts w:ascii="Times New Roman" w:eastAsia="Times New Roman" w:hAnsi="Times New Roman" w:cs="Times New Roman"/>
          <w:color w:val="000000" w:themeColor="text1"/>
          <w:sz w:val="22"/>
          <w:szCs w:val="22"/>
          <w:lang w:val="sv-FI" w:eastAsia="sv-FI"/>
        </w:rPr>
        <w:t>s</w:t>
      </w:r>
      <w:r w:rsidRPr="7C190DF7">
        <w:rPr>
          <w:rFonts w:ascii="Times New Roman" w:eastAsia="Times New Roman" w:hAnsi="Times New Roman" w:cs="Times New Roman"/>
          <w:color w:val="000000" w:themeColor="text1"/>
          <w:sz w:val="22"/>
          <w:szCs w:val="22"/>
          <w:lang w:val="sv-FI" w:eastAsia="sv-FI"/>
        </w:rPr>
        <w:t xml:space="preserve">nivå som kunde inledas år 2024 eller 2025. </w:t>
      </w:r>
      <w:r w:rsidR="008473AE">
        <w:rPr>
          <w:rFonts w:ascii="Times New Roman" w:eastAsia="Times New Roman" w:hAnsi="Times New Roman" w:cs="Times New Roman"/>
          <w:color w:val="000000" w:themeColor="text1"/>
          <w:sz w:val="22"/>
          <w:szCs w:val="22"/>
          <w:lang w:val="sv-FI" w:eastAsia="sv-FI"/>
        </w:rPr>
        <w:t>Projektets genomförande innebär att implementeringen kan ske ännu snabbare.</w:t>
      </w:r>
      <w:r w:rsidRPr="7C190DF7">
        <w:rPr>
          <w:rFonts w:ascii="Times New Roman" w:eastAsia="Times New Roman" w:hAnsi="Times New Roman" w:cs="Times New Roman"/>
          <w:color w:val="000000" w:themeColor="text1"/>
          <w:sz w:val="22"/>
          <w:szCs w:val="22"/>
          <w:lang w:val="sv-FI" w:eastAsia="sv-FI"/>
        </w:rPr>
        <w:t xml:space="preserve"> Detta skulle möjliggöra att högskolan kunde utbilda och utexaminera ingenjörer inom en snabbt utvecklande bransch</w:t>
      </w:r>
      <w:r w:rsidR="5C3A2355" w:rsidRPr="7C190DF7">
        <w:rPr>
          <w:rFonts w:ascii="Times New Roman" w:eastAsia="Times New Roman" w:hAnsi="Times New Roman" w:cs="Times New Roman"/>
          <w:color w:val="000000" w:themeColor="text1"/>
          <w:sz w:val="22"/>
          <w:szCs w:val="22"/>
          <w:lang w:val="sv-FI" w:eastAsia="sv-FI"/>
        </w:rPr>
        <w:t xml:space="preserve"> </w:t>
      </w:r>
      <w:r w:rsidRPr="7C190DF7">
        <w:rPr>
          <w:rFonts w:ascii="Times New Roman" w:eastAsia="Times New Roman" w:hAnsi="Times New Roman" w:cs="Times New Roman"/>
          <w:color w:val="000000" w:themeColor="text1"/>
          <w:sz w:val="22"/>
          <w:szCs w:val="22"/>
          <w:lang w:val="sv-FI" w:eastAsia="sv-FI"/>
        </w:rPr>
        <w:t>där</w:t>
      </w:r>
      <w:r w:rsidR="0A3085E0" w:rsidRPr="7C190DF7">
        <w:rPr>
          <w:rFonts w:ascii="Times New Roman" w:eastAsia="Times New Roman" w:hAnsi="Times New Roman" w:cs="Times New Roman"/>
          <w:color w:val="000000" w:themeColor="text1"/>
          <w:sz w:val="22"/>
          <w:szCs w:val="22"/>
          <w:lang w:val="sv-FI" w:eastAsia="sv-FI"/>
        </w:rPr>
        <w:t xml:space="preserve"> </w:t>
      </w:r>
      <w:r w:rsidRPr="7C190DF7">
        <w:rPr>
          <w:rFonts w:ascii="Times New Roman" w:eastAsia="Times New Roman" w:hAnsi="Times New Roman" w:cs="Times New Roman"/>
          <w:color w:val="000000" w:themeColor="text1"/>
          <w:sz w:val="22"/>
          <w:szCs w:val="22"/>
          <w:lang w:val="sv-FI" w:eastAsia="sv-FI"/>
        </w:rPr>
        <w:t>utbildningsmöjligheterna än så länge är begränsade.</w:t>
      </w:r>
    </w:p>
    <w:p w14:paraId="4FFFFC11" w14:textId="0009418F" w:rsidR="005F31F7" w:rsidRDefault="005F31F7" w:rsidP="005F31F7">
      <w:pPr>
        <w:autoSpaceDE w:val="0"/>
        <w:autoSpaceDN w:val="0"/>
        <w:adjustRightInd w:val="0"/>
        <w:rPr>
          <w:rFonts w:ascii="Times New Roman" w:eastAsia="Times New Roman" w:hAnsi="Times New Roman" w:cs="Times New Roman"/>
          <w:color w:val="000000"/>
          <w:sz w:val="22"/>
          <w:szCs w:val="22"/>
          <w:lang w:val="sv-FI" w:eastAsia="sv-FI"/>
        </w:rPr>
      </w:pPr>
      <w:r>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För framgångsrik utveckling av utbildningsalternativen samt utveckling av forsknings-, utvecklings</w:t>
      </w:r>
      <w:r>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och</w:t>
      </w:r>
      <w:r>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innovationsverksamhet (FUI), i anslutning till högskolans andra utbildningar, krävs ny</w:t>
      </w:r>
      <w:r>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 xml:space="preserve">infrastruktur (tex. simulation, VR/AR, AI, testsystem för solenergi, vindenergi och bergvärme). </w:t>
      </w:r>
      <w:r>
        <w:rPr>
          <w:rFonts w:ascii="Times New Roman" w:eastAsia="Times New Roman" w:hAnsi="Times New Roman" w:cs="Times New Roman"/>
          <w:color w:val="000000"/>
          <w:sz w:val="22"/>
          <w:szCs w:val="22"/>
          <w:lang w:val="sv-FI" w:eastAsia="sv-FI"/>
        </w:rPr>
        <w:t xml:space="preserve">     </w:t>
      </w:r>
    </w:p>
    <w:p w14:paraId="54AF0A72" w14:textId="5B3DB835" w:rsidR="005F31F7" w:rsidRPr="005F31F7" w:rsidRDefault="005F31F7"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p>
    <w:p w14:paraId="7E336758" w14:textId="17DDE9BB" w:rsidR="005F31F7" w:rsidRPr="005F31F7" w:rsidRDefault="005F31F7" w:rsidP="005F31F7">
      <w:pPr>
        <w:autoSpaceDE w:val="0"/>
        <w:autoSpaceDN w:val="0"/>
        <w:adjustRightInd w:val="0"/>
        <w:rPr>
          <w:rFonts w:ascii="Times New Roman" w:eastAsia="Times New Roman" w:hAnsi="Times New Roman" w:cs="Times New Roman"/>
          <w:color w:val="000000"/>
          <w:sz w:val="22"/>
          <w:szCs w:val="22"/>
          <w:lang w:val="sv-FI" w:eastAsia="sv-FI"/>
        </w:rPr>
      </w:pPr>
      <w:r w:rsidRPr="005F31F7">
        <w:rPr>
          <w:rFonts w:ascii="Times New Roman" w:eastAsia="Times New Roman" w:hAnsi="Times New Roman" w:cs="Times New Roman"/>
          <w:color w:val="000000"/>
          <w:sz w:val="22"/>
          <w:szCs w:val="22"/>
          <w:lang w:val="sv-FI" w:eastAsia="sv-FI"/>
        </w:rPr>
        <w:t>Det finns även goda möjligheter att utveckla de nya utbildningarna och relaterad FUI-verksamhet i</w:t>
      </w:r>
      <w:r w:rsidR="00D00ADE">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samarbete med vårdutbildningen, vilket skulle möjliggöra utveckling och testande av nya digitala och</w:t>
      </w:r>
      <w:r w:rsidR="00D00ADE">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tekniska lösningar och hjälpmedel för sjuk- och socialvård på Åland. Satsningarna ger goda</w:t>
      </w:r>
    </w:p>
    <w:p w14:paraId="3A23D891" w14:textId="6CDD76FB" w:rsidR="005F31F7" w:rsidRPr="005F31F7" w:rsidRDefault="005F31F7"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möjligheter till utökad FUI-verksamhet vid högskolan i samarbete med företag på Åland </w:t>
      </w:r>
      <w:r w:rsidR="0051706E">
        <w:rPr>
          <w:rFonts w:ascii="Times New Roman" w:eastAsia="Times New Roman" w:hAnsi="Times New Roman" w:cs="Times New Roman"/>
          <w:color w:val="000000" w:themeColor="text1"/>
          <w:sz w:val="22"/>
          <w:szCs w:val="22"/>
          <w:lang w:val="sv-FI" w:eastAsia="sv-FI"/>
        </w:rPr>
        <w:t>samt</w:t>
      </w:r>
      <w:r w:rsidRPr="7C190DF7">
        <w:rPr>
          <w:rFonts w:ascii="Times New Roman" w:eastAsia="Times New Roman" w:hAnsi="Times New Roman" w:cs="Times New Roman"/>
          <w:color w:val="000000" w:themeColor="text1"/>
          <w:sz w:val="22"/>
          <w:szCs w:val="22"/>
          <w:lang w:val="sv-FI" w:eastAsia="sv-FI"/>
        </w:rPr>
        <w:t xml:space="preserve"> företag</w:t>
      </w:r>
      <w:r w:rsidR="00D00ADE" w:rsidRPr="7C190DF7">
        <w:rPr>
          <w:rFonts w:ascii="Times New Roman" w:eastAsia="Times New Roman" w:hAnsi="Times New Roman" w:cs="Times New Roman"/>
          <w:color w:val="000000" w:themeColor="text1"/>
          <w:sz w:val="22"/>
          <w:szCs w:val="22"/>
          <w:lang w:val="sv-FI" w:eastAsia="sv-FI"/>
        </w:rPr>
        <w:t xml:space="preserve"> </w:t>
      </w:r>
      <w:r w:rsidRPr="7C190DF7">
        <w:rPr>
          <w:rFonts w:ascii="Times New Roman" w:eastAsia="Times New Roman" w:hAnsi="Times New Roman" w:cs="Times New Roman"/>
          <w:color w:val="000000" w:themeColor="text1"/>
          <w:sz w:val="22"/>
          <w:szCs w:val="22"/>
          <w:lang w:val="sv-FI" w:eastAsia="sv-FI"/>
        </w:rPr>
        <w:t>och högskolor i andra regioner, vilket även stöder och kan lyfta det planerade utvecklingscentret vid</w:t>
      </w:r>
      <w:r w:rsidR="00D00ADE" w:rsidRPr="7C190DF7">
        <w:rPr>
          <w:rFonts w:ascii="Times New Roman" w:eastAsia="Times New Roman" w:hAnsi="Times New Roman" w:cs="Times New Roman"/>
          <w:color w:val="000000" w:themeColor="text1"/>
          <w:sz w:val="22"/>
          <w:szCs w:val="22"/>
          <w:lang w:val="sv-FI" w:eastAsia="sv-FI"/>
        </w:rPr>
        <w:t xml:space="preserve"> </w:t>
      </w:r>
      <w:r w:rsidRPr="7C190DF7">
        <w:rPr>
          <w:rFonts w:ascii="Times New Roman" w:eastAsia="Times New Roman" w:hAnsi="Times New Roman" w:cs="Times New Roman"/>
          <w:color w:val="000000" w:themeColor="text1"/>
          <w:sz w:val="22"/>
          <w:szCs w:val="22"/>
          <w:lang w:val="sv-FI" w:eastAsia="sv-FI"/>
        </w:rPr>
        <w:t>högskolan.</w:t>
      </w:r>
    </w:p>
    <w:p w14:paraId="4353A3C8" w14:textId="72472C75" w:rsidR="005F31F7" w:rsidRPr="005F31F7"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r w:rsidR="008473AE">
        <w:rPr>
          <w:rFonts w:ascii="Times New Roman" w:eastAsia="Times New Roman" w:hAnsi="Times New Roman" w:cs="Times New Roman"/>
          <w:color w:val="000000" w:themeColor="text1"/>
          <w:sz w:val="22"/>
          <w:szCs w:val="22"/>
          <w:lang w:val="sv-FI" w:eastAsia="sv-FI"/>
        </w:rPr>
        <w:t xml:space="preserve">Projektet innebär att </w:t>
      </w:r>
      <w:r w:rsidR="005F31F7" w:rsidRPr="7C190DF7">
        <w:rPr>
          <w:rFonts w:ascii="Times New Roman" w:eastAsia="Times New Roman" w:hAnsi="Times New Roman" w:cs="Times New Roman"/>
          <w:color w:val="000000" w:themeColor="text1"/>
          <w:sz w:val="22"/>
          <w:szCs w:val="22"/>
          <w:lang w:val="sv-FI" w:eastAsia="sv-FI"/>
        </w:rPr>
        <w:t xml:space="preserve">utbildningsalternativen på </w:t>
      </w:r>
      <w:proofErr w:type="spellStart"/>
      <w:r w:rsidR="005F31F7" w:rsidRPr="7C190DF7">
        <w:rPr>
          <w:rFonts w:ascii="Times New Roman" w:eastAsia="Times New Roman" w:hAnsi="Times New Roman" w:cs="Times New Roman"/>
          <w:color w:val="000000" w:themeColor="text1"/>
          <w:sz w:val="22"/>
          <w:szCs w:val="22"/>
          <w:lang w:val="sv-FI" w:eastAsia="sv-FI"/>
        </w:rPr>
        <w:t>bachelornivå</w:t>
      </w:r>
      <w:proofErr w:type="spellEnd"/>
      <w:r w:rsidR="005F31F7" w:rsidRPr="7C190DF7">
        <w:rPr>
          <w:rFonts w:ascii="Times New Roman" w:eastAsia="Times New Roman" w:hAnsi="Times New Roman" w:cs="Times New Roman"/>
          <w:color w:val="000000" w:themeColor="text1"/>
          <w:sz w:val="22"/>
          <w:szCs w:val="22"/>
          <w:lang w:val="sv-FI" w:eastAsia="sv-FI"/>
        </w:rPr>
        <w:t xml:space="preserve"> </w:t>
      </w:r>
      <w:r w:rsidR="008473AE">
        <w:rPr>
          <w:rFonts w:ascii="Times New Roman" w:eastAsia="Times New Roman" w:hAnsi="Times New Roman" w:cs="Times New Roman"/>
          <w:color w:val="000000" w:themeColor="text1"/>
          <w:sz w:val="22"/>
          <w:szCs w:val="22"/>
          <w:lang w:val="sv-FI" w:eastAsia="sv-FI"/>
        </w:rPr>
        <w:t>kan</w:t>
      </w:r>
      <w:r w:rsidR="005F31F7" w:rsidRPr="7C190DF7">
        <w:rPr>
          <w:rFonts w:ascii="Times New Roman" w:eastAsia="Times New Roman" w:hAnsi="Times New Roman" w:cs="Times New Roman"/>
          <w:color w:val="000000" w:themeColor="text1"/>
          <w:sz w:val="22"/>
          <w:szCs w:val="22"/>
          <w:lang w:val="sv-FI" w:eastAsia="sv-FI"/>
        </w:rPr>
        <w:t xml:space="preserve"> vara färdiga under </w:t>
      </w:r>
      <w:r w:rsidR="008473AE">
        <w:rPr>
          <w:rFonts w:ascii="Times New Roman" w:eastAsia="Times New Roman" w:hAnsi="Times New Roman" w:cs="Times New Roman"/>
          <w:color w:val="000000" w:themeColor="text1"/>
          <w:sz w:val="22"/>
          <w:szCs w:val="22"/>
          <w:lang w:val="sv-FI" w:eastAsia="sv-FI"/>
        </w:rPr>
        <w:t>det inledande året av projektet</w:t>
      </w:r>
      <w:r w:rsidR="005F31F7" w:rsidRPr="7C190DF7">
        <w:rPr>
          <w:rFonts w:ascii="Times New Roman" w:eastAsia="Times New Roman" w:hAnsi="Times New Roman" w:cs="Times New Roman"/>
          <w:color w:val="000000" w:themeColor="text1"/>
          <w:sz w:val="22"/>
          <w:szCs w:val="22"/>
          <w:lang w:val="sv-FI" w:eastAsia="sv-FI"/>
        </w:rPr>
        <w:t>. Planeringen av magisternivå</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kan vara färdigt under </w:t>
      </w:r>
      <w:r w:rsidR="5B4E58E7" w:rsidRPr="7C190DF7">
        <w:rPr>
          <w:rFonts w:ascii="Times New Roman" w:eastAsia="Times New Roman" w:hAnsi="Times New Roman" w:cs="Times New Roman"/>
          <w:color w:val="000000" w:themeColor="text1"/>
          <w:sz w:val="22"/>
          <w:szCs w:val="22"/>
          <w:lang w:val="sv-FI" w:eastAsia="sv-FI"/>
        </w:rPr>
        <w:t xml:space="preserve">år </w:t>
      </w:r>
      <w:r w:rsidR="005F31F7" w:rsidRPr="7C190DF7">
        <w:rPr>
          <w:rFonts w:ascii="Times New Roman" w:eastAsia="Times New Roman" w:hAnsi="Times New Roman" w:cs="Times New Roman"/>
          <w:color w:val="000000" w:themeColor="text1"/>
          <w:sz w:val="22"/>
          <w:szCs w:val="22"/>
          <w:lang w:val="sv-FI" w:eastAsia="sv-FI"/>
        </w:rPr>
        <w:t>2022. En investeringsplan för</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uppgradering av existerande labbutrustning och nya anskaffningar görs</w:t>
      </w:r>
      <w:r w:rsidR="008473AE">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genast i början av projektet</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och de flesta anskaffningarna görs under 2021</w:t>
      </w:r>
      <w:r w:rsidR="1FD5A25B"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w:t>
      </w:r>
      <w:r w:rsidR="5F08D3D2"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2023.</w:t>
      </w:r>
    </w:p>
    <w:p w14:paraId="671FF55C" w14:textId="17795DBE" w:rsidR="00D00ADE" w:rsidRPr="005F31F7"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p>
    <w:p w14:paraId="0EBC1D57" w14:textId="47B9D8CA" w:rsidR="005F31F7" w:rsidRPr="005F31F7" w:rsidRDefault="005F31F7" w:rsidP="00D00ADE">
      <w:pPr>
        <w:pStyle w:val="RubrikD"/>
        <w:rPr>
          <w:lang w:val="sv-FI" w:eastAsia="sv-FI"/>
        </w:rPr>
      </w:pPr>
      <w:r w:rsidRPr="005F31F7">
        <w:rPr>
          <w:lang w:val="sv-FI" w:eastAsia="sv-FI"/>
        </w:rPr>
        <w:t>Utveckling av digitalpedagogik med inriktning på studerandecentrerad flerformsundervisning för alla</w:t>
      </w:r>
      <w:r w:rsidR="00D00ADE">
        <w:rPr>
          <w:lang w:val="sv-FI" w:eastAsia="sv-FI"/>
        </w:rPr>
        <w:t xml:space="preserve"> </w:t>
      </w:r>
      <w:r w:rsidRPr="005F31F7">
        <w:rPr>
          <w:lang w:val="sv-FI" w:eastAsia="sv-FI"/>
        </w:rPr>
        <w:t>kursformer</w:t>
      </w:r>
    </w:p>
    <w:p w14:paraId="252CD96D" w14:textId="25FC6AC4" w:rsidR="005F31F7" w:rsidRPr="005F31F7" w:rsidRDefault="00B17C3D" w:rsidP="005F31F7">
      <w:pPr>
        <w:autoSpaceDE w:val="0"/>
        <w:autoSpaceDN w:val="0"/>
        <w:adjustRightInd w:val="0"/>
        <w:rPr>
          <w:rFonts w:ascii="Times New Roman" w:eastAsia="Times New Roman" w:hAnsi="Times New Roman" w:cs="Times New Roman"/>
          <w:color w:val="000000"/>
          <w:sz w:val="22"/>
          <w:szCs w:val="22"/>
          <w:lang w:val="sv-FI" w:eastAsia="sv-FI"/>
        </w:rPr>
      </w:pPr>
      <w:r>
        <w:rPr>
          <w:rFonts w:ascii="Times New Roman" w:eastAsia="Times New Roman" w:hAnsi="Times New Roman" w:cs="Times New Roman"/>
          <w:color w:val="000000" w:themeColor="text1"/>
          <w:sz w:val="22"/>
          <w:szCs w:val="22"/>
          <w:lang w:val="sv-FI" w:eastAsia="sv-FI"/>
        </w:rPr>
        <w:t>Reform- och investeringsprojektets genomförande innebär att h</w:t>
      </w:r>
      <w:r w:rsidR="005F31F7" w:rsidRPr="7C190DF7">
        <w:rPr>
          <w:rFonts w:ascii="Times New Roman" w:eastAsia="Times New Roman" w:hAnsi="Times New Roman" w:cs="Times New Roman"/>
          <w:color w:val="000000" w:themeColor="text1"/>
          <w:sz w:val="22"/>
          <w:szCs w:val="22"/>
          <w:lang w:val="sv-FI" w:eastAsia="sv-FI"/>
        </w:rPr>
        <w:t>ögskolans undervisning utvecklas så att omfattande inslag av modern digitalpedagogik ingår i</w:t>
      </w:r>
      <w:r w:rsidR="00D00ADE"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alla utbildningsprogram, kompletteringsutbildningar och kurser via öppna högskolan. Denna</w:t>
      </w:r>
      <w:r w:rsidR="00D00ADE"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utveckling kommer att möjliggöra flexibla studievägar (heltids-/deltidsstudier) för enskilda</w:t>
      </w:r>
      <w:r w:rsidR="02566273"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studerande och även externa studerande (</w:t>
      </w:r>
      <w:proofErr w:type="gramStart"/>
      <w:r w:rsidR="005F31F7" w:rsidRPr="7C190DF7">
        <w:rPr>
          <w:rFonts w:ascii="Times New Roman" w:eastAsia="Times New Roman" w:hAnsi="Times New Roman" w:cs="Times New Roman"/>
          <w:color w:val="000000" w:themeColor="text1"/>
          <w:sz w:val="22"/>
          <w:szCs w:val="22"/>
          <w:lang w:val="sv-FI" w:eastAsia="sv-FI"/>
        </w:rPr>
        <w:t>t</w:t>
      </w:r>
      <w:r w:rsidR="24D192FB" w:rsidRPr="7C190DF7">
        <w:rPr>
          <w:rFonts w:ascii="Times New Roman" w:eastAsia="Times New Roman" w:hAnsi="Times New Roman" w:cs="Times New Roman"/>
          <w:color w:val="000000" w:themeColor="text1"/>
          <w:sz w:val="22"/>
          <w:szCs w:val="22"/>
          <w:lang w:val="sv-FI" w:eastAsia="sv-FI"/>
        </w:rPr>
        <w:t>.</w:t>
      </w:r>
      <w:r w:rsidR="005F31F7" w:rsidRPr="7C190DF7">
        <w:rPr>
          <w:rFonts w:ascii="Times New Roman" w:eastAsia="Times New Roman" w:hAnsi="Times New Roman" w:cs="Times New Roman"/>
          <w:color w:val="000000" w:themeColor="text1"/>
          <w:sz w:val="22"/>
          <w:szCs w:val="22"/>
          <w:lang w:val="sv-FI" w:eastAsia="sv-FI"/>
        </w:rPr>
        <w:t>ex.</w:t>
      </w:r>
      <w:proofErr w:type="gramEnd"/>
      <w:r w:rsidR="005F31F7" w:rsidRPr="7C190DF7">
        <w:rPr>
          <w:rFonts w:ascii="Times New Roman" w:eastAsia="Times New Roman" w:hAnsi="Times New Roman" w:cs="Times New Roman"/>
          <w:color w:val="000000" w:themeColor="text1"/>
          <w:sz w:val="22"/>
          <w:szCs w:val="22"/>
          <w:lang w:val="sv-FI" w:eastAsia="sv-FI"/>
        </w:rPr>
        <w:t xml:space="preserve"> smidigt utbyte av kurser med andra högskolor och</w:t>
      </w:r>
      <w:r w:rsidR="00D00ADE"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kompletteringskurser för personer i arbetslivet). Olika typer av kompletteringsutbildningar kan</w:t>
      </w:r>
      <w:r w:rsidR="00D00ADE"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erbjudas till mera omfattande kundgrupper, oberoende av deltagarnas fysiska </w:t>
      </w:r>
      <w:proofErr w:type="spellStart"/>
      <w:r w:rsidR="005F31F7" w:rsidRPr="7C190DF7">
        <w:rPr>
          <w:rFonts w:ascii="Times New Roman" w:eastAsia="Times New Roman" w:hAnsi="Times New Roman" w:cs="Times New Roman"/>
          <w:color w:val="000000" w:themeColor="text1"/>
          <w:sz w:val="22"/>
          <w:szCs w:val="22"/>
          <w:lang w:val="sv-FI" w:eastAsia="sv-FI"/>
        </w:rPr>
        <w:t>verksamhetsort</w:t>
      </w:r>
      <w:proofErr w:type="spellEnd"/>
      <w:r w:rsidR="005F31F7" w:rsidRPr="7C190DF7">
        <w:rPr>
          <w:rFonts w:ascii="Times New Roman" w:eastAsia="Times New Roman" w:hAnsi="Times New Roman" w:cs="Times New Roman"/>
          <w:color w:val="000000" w:themeColor="text1"/>
          <w:sz w:val="22"/>
          <w:szCs w:val="22"/>
          <w:lang w:val="sv-FI" w:eastAsia="sv-FI"/>
        </w:rPr>
        <w:t>.</w:t>
      </w:r>
    </w:p>
    <w:p w14:paraId="441EAEDB" w14:textId="44ECA28D" w:rsidR="005F31F7" w:rsidRPr="005F31F7"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Utökad användning av modern digitalpedagogik kommer även att underlätta </w:t>
      </w:r>
      <w:proofErr w:type="gramStart"/>
      <w:r w:rsidR="005F31F7" w:rsidRPr="7C190DF7">
        <w:rPr>
          <w:rFonts w:ascii="Times New Roman" w:eastAsia="Times New Roman" w:hAnsi="Times New Roman" w:cs="Times New Roman"/>
          <w:color w:val="000000" w:themeColor="text1"/>
          <w:sz w:val="22"/>
          <w:szCs w:val="22"/>
          <w:lang w:val="sv-FI" w:eastAsia="sv-FI"/>
        </w:rPr>
        <w:t>t</w:t>
      </w:r>
      <w:r w:rsidR="40E5DE2C" w:rsidRPr="7C190DF7">
        <w:rPr>
          <w:rFonts w:ascii="Times New Roman" w:eastAsia="Times New Roman" w:hAnsi="Times New Roman" w:cs="Times New Roman"/>
          <w:color w:val="000000" w:themeColor="text1"/>
          <w:sz w:val="22"/>
          <w:szCs w:val="22"/>
          <w:lang w:val="sv-FI" w:eastAsia="sv-FI"/>
        </w:rPr>
        <w:t>.</w:t>
      </w:r>
      <w:r w:rsidR="005F31F7" w:rsidRPr="7C190DF7">
        <w:rPr>
          <w:rFonts w:ascii="Times New Roman" w:eastAsia="Times New Roman" w:hAnsi="Times New Roman" w:cs="Times New Roman"/>
          <w:color w:val="000000" w:themeColor="text1"/>
          <w:sz w:val="22"/>
          <w:szCs w:val="22"/>
          <w:lang w:val="sv-FI" w:eastAsia="sv-FI"/>
        </w:rPr>
        <w:t>ex.</w:t>
      </w:r>
      <w:proofErr w:type="gramEnd"/>
      <w:r w:rsidR="005F31F7" w:rsidRPr="7C190DF7">
        <w:rPr>
          <w:rFonts w:ascii="Times New Roman" w:eastAsia="Times New Roman" w:hAnsi="Times New Roman" w:cs="Times New Roman"/>
          <w:color w:val="000000" w:themeColor="text1"/>
          <w:sz w:val="22"/>
          <w:szCs w:val="22"/>
          <w:lang w:val="sv-FI" w:eastAsia="sv-FI"/>
        </w:rPr>
        <w:t xml:space="preserve"> </w:t>
      </w:r>
      <w:r w:rsidR="76001A1D" w:rsidRPr="7C190DF7">
        <w:rPr>
          <w:rFonts w:ascii="Times New Roman" w:eastAsia="Times New Roman" w:hAnsi="Times New Roman" w:cs="Times New Roman"/>
          <w:color w:val="000000" w:themeColor="text1"/>
          <w:sz w:val="22"/>
          <w:szCs w:val="22"/>
          <w:lang w:val="sv-FI" w:eastAsia="sv-FI"/>
        </w:rPr>
        <w:t>s</w:t>
      </w:r>
      <w:r w:rsidR="005F31F7" w:rsidRPr="7C190DF7">
        <w:rPr>
          <w:rFonts w:ascii="Times New Roman" w:eastAsia="Times New Roman" w:hAnsi="Times New Roman" w:cs="Times New Roman"/>
          <w:color w:val="000000" w:themeColor="text1"/>
          <w:sz w:val="22"/>
          <w:szCs w:val="22"/>
          <w:lang w:val="sv-FI" w:eastAsia="sv-FI"/>
        </w:rPr>
        <w:t>kärgårdsbornas</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deltagande i öppna högskolans kursprogram.</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Den planerade utvecklingen kräver omfattande</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satsningar för att utveckla och anpassa högskolans nuvarande pedagogiska metoder som i huvudsak</w:t>
      </w:r>
      <w:r w:rsidR="1931F63F"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bygger på olika former av närundervisning till flerformsundervisning som utnyttjar digital pedagogik.</w:t>
      </w:r>
    </w:p>
    <w:p w14:paraId="3C3430BF" w14:textId="4D09C80E" w:rsidR="005F31F7" w:rsidRPr="005F31F7"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Satsningarna inkluderar fortbildning av lärare, stöd i digital pedagogik och tekniskt IKT-stöd som bör</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fortgå intensivt under några års tid. Även</w:t>
      </w:r>
      <w:r w:rsidR="231A1158" w:rsidRPr="7C190DF7">
        <w:rPr>
          <w:rFonts w:ascii="Times New Roman" w:eastAsia="Times New Roman" w:hAnsi="Times New Roman" w:cs="Times New Roman"/>
          <w:color w:val="000000" w:themeColor="text1"/>
          <w:sz w:val="22"/>
          <w:szCs w:val="22"/>
          <w:lang w:val="sv-FI" w:eastAsia="sv-FI"/>
        </w:rPr>
        <w:t xml:space="preserve"> en</w:t>
      </w:r>
      <w:r w:rsidR="005F31F7"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lastRenderedPageBreak/>
        <w:t>ordentlig uppgradering och utökning av högskolans digitala</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utrustning och programvara behövs i klassrum och andra utrymmen på högskolan</w:t>
      </w:r>
      <w:r w:rsidR="10EEB270" w:rsidRPr="7C190DF7">
        <w:rPr>
          <w:rFonts w:ascii="Times New Roman" w:eastAsia="Times New Roman" w:hAnsi="Times New Roman" w:cs="Times New Roman"/>
          <w:color w:val="000000" w:themeColor="text1"/>
          <w:sz w:val="22"/>
          <w:szCs w:val="22"/>
          <w:lang w:val="sv-FI" w:eastAsia="sv-FI"/>
        </w:rPr>
        <w:t>. Utöver detta behövs</w:t>
      </w:r>
      <w:r w:rsidR="005F31F7" w:rsidRPr="7C190DF7">
        <w:rPr>
          <w:rFonts w:ascii="Times New Roman" w:eastAsia="Times New Roman" w:hAnsi="Times New Roman" w:cs="Times New Roman"/>
          <w:color w:val="000000" w:themeColor="text1"/>
          <w:sz w:val="22"/>
          <w:szCs w:val="22"/>
          <w:lang w:val="sv-FI" w:eastAsia="sv-FI"/>
        </w:rPr>
        <w:t xml:space="preserve"> även</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utrustning av minst en dedikerad högklassig </w:t>
      </w:r>
      <w:proofErr w:type="spellStart"/>
      <w:r w:rsidR="005F31F7" w:rsidRPr="7C190DF7">
        <w:rPr>
          <w:rFonts w:ascii="Times New Roman" w:eastAsia="Times New Roman" w:hAnsi="Times New Roman" w:cs="Times New Roman"/>
          <w:color w:val="000000" w:themeColor="text1"/>
          <w:sz w:val="22"/>
          <w:szCs w:val="22"/>
          <w:lang w:val="sv-FI" w:eastAsia="sv-FI"/>
        </w:rPr>
        <w:t>AV-studio</w:t>
      </w:r>
      <w:proofErr w:type="spellEnd"/>
      <w:r w:rsidR="005F31F7" w:rsidRPr="7C190DF7">
        <w:rPr>
          <w:rFonts w:ascii="Times New Roman" w:eastAsia="Times New Roman" w:hAnsi="Times New Roman" w:cs="Times New Roman"/>
          <w:color w:val="000000" w:themeColor="text1"/>
          <w:sz w:val="22"/>
          <w:szCs w:val="22"/>
          <w:lang w:val="sv-FI" w:eastAsia="sv-FI"/>
        </w:rPr>
        <w:t xml:space="preserve"> för produktion av digitalt</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undervisningsmaterial och för studerande</w:t>
      </w:r>
      <w:r w:rsidR="1C49C3CE" w:rsidRPr="7C190DF7">
        <w:rPr>
          <w:rFonts w:ascii="Times New Roman" w:eastAsia="Times New Roman" w:hAnsi="Times New Roman" w:cs="Times New Roman"/>
          <w:color w:val="000000" w:themeColor="text1"/>
          <w:sz w:val="22"/>
          <w:szCs w:val="22"/>
          <w:lang w:val="sv-FI" w:eastAsia="sv-FI"/>
        </w:rPr>
        <w:t>s</w:t>
      </w:r>
      <w:r w:rsidR="005F31F7" w:rsidRPr="7C190DF7">
        <w:rPr>
          <w:rFonts w:ascii="Times New Roman" w:eastAsia="Times New Roman" w:hAnsi="Times New Roman" w:cs="Times New Roman"/>
          <w:color w:val="000000" w:themeColor="text1"/>
          <w:sz w:val="22"/>
          <w:szCs w:val="22"/>
          <w:lang w:val="sv-FI" w:eastAsia="sv-FI"/>
        </w:rPr>
        <w:t xml:space="preserve"> genomförande av övningsuppgifter och egna</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produktioner.</w:t>
      </w:r>
      <w:r w:rsidR="00B17C3D">
        <w:rPr>
          <w:rFonts w:ascii="Times New Roman" w:eastAsia="Times New Roman" w:hAnsi="Times New Roman" w:cs="Times New Roman"/>
          <w:color w:val="000000"/>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En ny plattform för digitala kurser behöver tas i bruk</w:t>
      </w:r>
      <w:r w:rsidR="00B17C3D">
        <w:rPr>
          <w:rFonts w:ascii="Times New Roman" w:eastAsia="Times New Roman" w:hAnsi="Times New Roman" w:cs="Times New Roman"/>
          <w:color w:val="000000" w:themeColor="text1"/>
          <w:sz w:val="22"/>
          <w:szCs w:val="22"/>
          <w:lang w:val="sv-FI" w:eastAsia="sv-FI"/>
        </w:rPr>
        <w:t>.</w:t>
      </w:r>
    </w:p>
    <w:p w14:paraId="374438BD" w14:textId="0B4CADBC" w:rsidR="00D00ADE"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p>
    <w:p w14:paraId="6FFDB06F" w14:textId="635E7C1A" w:rsidR="005F31F7" w:rsidRPr="005F31F7" w:rsidRDefault="005F31F7" w:rsidP="00D00ADE">
      <w:pPr>
        <w:pStyle w:val="RubrikD"/>
        <w:rPr>
          <w:lang w:val="sv-FI" w:eastAsia="sv-FI"/>
        </w:rPr>
      </w:pPr>
      <w:r w:rsidRPr="005F31F7">
        <w:rPr>
          <w:lang w:val="sv-FI" w:eastAsia="sv-FI"/>
        </w:rPr>
        <w:t xml:space="preserve">Utveckling av digital ledning och digitala styrsystem vid </w:t>
      </w:r>
      <w:r w:rsidR="00D00ADE">
        <w:rPr>
          <w:lang w:val="sv-FI" w:eastAsia="sv-FI"/>
        </w:rPr>
        <w:t>högskolan</w:t>
      </w:r>
    </w:p>
    <w:p w14:paraId="4BA0462A" w14:textId="16C31AD2" w:rsidR="008473AE" w:rsidRDefault="008473AE" w:rsidP="005F31F7">
      <w:pPr>
        <w:autoSpaceDE w:val="0"/>
        <w:autoSpaceDN w:val="0"/>
        <w:adjustRightInd w:val="0"/>
        <w:rPr>
          <w:rFonts w:ascii="Times New Roman" w:eastAsia="Times New Roman" w:hAnsi="Times New Roman" w:cs="Times New Roman"/>
          <w:color w:val="000000" w:themeColor="text1"/>
          <w:sz w:val="22"/>
          <w:szCs w:val="22"/>
          <w:lang w:val="sv-FI" w:eastAsia="sv-FI"/>
        </w:rPr>
      </w:pPr>
      <w:r>
        <w:rPr>
          <w:rFonts w:ascii="Times New Roman" w:eastAsia="Times New Roman" w:hAnsi="Times New Roman" w:cs="Times New Roman"/>
          <w:color w:val="000000"/>
          <w:sz w:val="22"/>
          <w:szCs w:val="22"/>
          <w:lang w:val="sv-FI" w:eastAsia="sv-FI"/>
        </w:rPr>
        <w:t>Reform- och investerings</w:t>
      </w:r>
      <w:r w:rsidRPr="005F31F7">
        <w:rPr>
          <w:rFonts w:ascii="Times New Roman" w:eastAsia="Times New Roman" w:hAnsi="Times New Roman" w:cs="Times New Roman"/>
          <w:color w:val="000000"/>
          <w:sz w:val="22"/>
          <w:szCs w:val="22"/>
          <w:lang w:val="sv-FI" w:eastAsia="sv-FI"/>
        </w:rPr>
        <w:t>projekt</w:t>
      </w:r>
      <w:r>
        <w:rPr>
          <w:rFonts w:ascii="Times New Roman" w:eastAsia="Times New Roman" w:hAnsi="Times New Roman" w:cs="Times New Roman"/>
          <w:color w:val="000000"/>
          <w:sz w:val="22"/>
          <w:szCs w:val="22"/>
          <w:lang w:val="sv-FI" w:eastAsia="sv-FI"/>
        </w:rPr>
        <w:t>et innebär</w:t>
      </w:r>
      <w:r w:rsidRPr="005F31F7">
        <w:rPr>
          <w:rFonts w:ascii="Times New Roman" w:eastAsia="Times New Roman" w:hAnsi="Times New Roman" w:cs="Times New Roman"/>
          <w:color w:val="000000"/>
          <w:sz w:val="22"/>
          <w:szCs w:val="22"/>
          <w:lang w:val="sv-FI" w:eastAsia="sv-FI"/>
        </w:rPr>
        <w:t xml:space="preserve"> genomförande</w:t>
      </w:r>
      <w:r>
        <w:rPr>
          <w:rFonts w:ascii="Times New Roman" w:eastAsia="Times New Roman" w:hAnsi="Times New Roman" w:cs="Times New Roman"/>
          <w:color w:val="000000"/>
          <w:sz w:val="22"/>
          <w:szCs w:val="22"/>
          <w:lang w:val="sv-FI" w:eastAsia="sv-FI"/>
        </w:rPr>
        <w:t>t</w:t>
      </w:r>
      <w:r w:rsidRPr="005F31F7">
        <w:rPr>
          <w:rFonts w:ascii="Times New Roman" w:eastAsia="Times New Roman" w:hAnsi="Times New Roman" w:cs="Times New Roman"/>
          <w:color w:val="000000"/>
          <w:sz w:val="22"/>
          <w:szCs w:val="22"/>
          <w:lang w:val="sv-FI" w:eastAsia="sv-FI"/>
        </w:rPr>
        <w:t xml:space="preserve"> av de nödvändiga digitala</w:t>
      </w:r>
      <w:r>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utvecklingsåtgärder som högskolan behöver för att uppnå den nivå av digitalisering som andra</w:t>
      </w:r>
      <w:r>
        <w:rPr>
          <w:rFonts w:ascii="Times New Roman" w:eastAsia="Times New Roman" w:hAnsi="Times New Roman" w:cs="Times New Roman"/>
          <w:color w:val="000000"/>
          <w:sz w:val="22"/>
          <w:szCs w:val="22"/>
          <w:lang w:val="sv-FI" w:eastAsia="sv-FI"/>
        </w:rPr>
        <w:t xml:space="preserve"> </w:t>
      </w:r>
      <w:r w:rsidRPr="005F31F7">
        <w:rPr>
          <w:rFonts w:ascii="Times New Roman" w:eastAsia="Times New Roman" w:hAnsi="Times New Roman" w:cs="Times New Roman"/>
          <w:color w:val="000000"/>
          <w:sz w:val="22"/>
          <w:szCs w:val="22"/>
          <w:lang w:val="sv-FI" w:eastAsia="sv-FI"/>
        </w:rPr>
        <w:t>högskolorna redan har</w:t>
      </w:r>
      <w:r>
        <w:rPr>
          <w:rFonts w:ascii="Times New Roman" w:eastAsia="Times New Roman" w:hAnsi="Times New Roman" w:cs="Times New Roman"/>
          <w:color w:val="000000"/>
          <w:sz w:val="22"/>
          <w:szCs w:val="22"/>
          <w:lang w:val="sv-FI" w:eastAsia="sv-FI"/>
        </w:rPr>
        <w:t>.</w:t>
      </w:r>
    </w:p>
    <w:p w14:paraId="0B29B179" w14:textId="15FB9278" w:rsidR="005F31F7" w:rsidRPr="005F31F7" w:rsidRDefault="008473AE" w:rsidP="7C190DF7">
      <w:pPr>
        <w:autoSpaceDE w:val="0"/>
        <w:autoSpaceDN w:val="0"/>
        <w:adjustRightInd w:val="0"/>
        <w:rPr>
          <w:rFonts w:ascii="Times New Roman" w:eastAsia="Times New Roman" w:hAnsi="Times New Roman" w:cs="Times New Roman"/>
          <w:color w:val="000000"/>
          <w:sz w:val="22"/>
          <w:szCs w:val="22"/>
          <w:lang w:val="sv-FI" w:eastAsia="sv-FI"/>
        </w:rPr>
      </w:pPr>
      <w:r>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Högskolan på Åland är med i alla fin</w:t>
      </w:r>
      <w:r w:rsidR="015C5EEB" w:rsidRPr="7C190DF7">
        <w:rPr>
          <w:rFonts w:ascii="Times New Roman" w:eastAsia="Times New Roman" w:hAnsi="Times New Roman" w:cs="Times New Roman"/>
          <w:color w:val="000000" w:themeColor="text1"/>
          <w:sz w:val="22"/>
          <w:szCs w:val="22"/>
          <w:lang w:val="sv-FI" w:eastAsia="sv-FI"/>
        </w:rPr>
        <w:t>länd</w:t>
      </w:r>
      <w:r w:rsidR="005F31F7" w:rsidRPr="7C190DF7">
        <w:rPr>
          <w:rFonts w:ascii="Times New Roman" w:eastAsia="Times New Roman" w:hAnsi="Times New Roman" w:cs="Times New Roman"/>
          <w:color w:val="000000" w:themeColor="text1"/>
          <w:sz w:val="22"/>
          <w:szCs w:val="22"/>
          <w:lang w:val="sv-FI" w:eastAsia="sv-FI"/>
        </w:rPr>
        <w:t xml:space="preserve">ska yrkeshögskolors och </w:t>
      </w:r>
      <w:proofErr w:type="gramStart"/>
      <w:r w:rsidR="005F31F7" w:rsidRPr="7C190DF7">
        <w:rPr>
          <w:rFonts w:ascii="Times New Roman" w:eastAsia="Times New Roman" w:hAnsi="Times New Roman" w:cs="Times New Roman"/>
          <w:color w:val="000000" w:themeColor="text1"/>
          <w:sz w:val="22"/>
          <w:szCs w:val="22"/>
          <w:lang w:val="sv-FI" w:eastAsia="sv-FI"/>
        </w:rPr>
        <w:t>universitets gemensamma</w:t>
      </w:r>
      <w:proofErr w:type="gramEnd"/>
      <w:r w:rsidR="00D00ADE"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utvecklingsprojekt</w:t>
      </w:r>
      <w:r w:rsidR="0025756B">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Utöver de</w:t>
      </w:r>
      <w:r w:rsidR="0025756B">
        <w:rPr>
          <w:rFonts w:ascii="Times New Roman" w:eastAsia="Times New Roman" w:hAnsi="Times New Roman" w:cs="Times New Roman"/>
          <w:color w:val="000000" w:themeColor="text1"/>
          <w:sz w:val="22"/>
          <w:szCs w:val="22"/>
          <w:lang w:val="sv-FI" w:eastAsia="sv-FI"/>
        </w:rPr>
        <w:t xml:space="preserve">t </w:t>
      </w:r>
      <w:r w:rsidR="005F31F7" w:rsidRPr="7C190DF7">
        <w:rPr>
          <w:rFonts w:ascii="Times New Roman" w:eastAsia="Times New Roman" w:hAnsi="Times New Roman" w:cs="Times New Roman"/>
          <w:color w:val="000000" w:themeColor="text1"/>
          <w:sz w:val="22"/>
          <w:szCs w:val="22"/>
          <w:lang w:val="sv-FI" w:eastAsia="sv-FI"/>
        </w:rPr>
        <w:t>behövs omfattande utveckling av digitala</w:t>
      </w:r>
      <w:r w:rsidR="00D00ADE"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administrativa system och digital pedagogik skilt vid varje högskola</w:t>
      </w:r>
      <w:r w:rsidR="1CC6ED34" w:rsidRPr="7C190DF7">
        <w:rPr>
          <w:rFonts w:ascii="Times New Roman" w:eastAsia="Times New Roman" w:hAnsi="Times New Roman" w:cs="Times New Roman"/>
          <w:color w:val="000000" w:themeColor="text1"/>
          <w:sz w:val="22"/>
          <w:szCs w:val="22"/>
          <w:lang w:val="sv-FI" w:eastAsia="sv-FI"/>
        </w:rPr>
        <w:t xml:space="preserve"> (</w:t>
      </w:r>
      <w:proofErr w:type="gramStart"/>
      <w:r w:rsidR="1CC6ED34" w:rsidRPr="7C190DF7">
        <w:rPr>
          <w:rFonts w:ascii="Times New Roman" w:eastAsia="Times New Roman" w:hAnsi="Times New Roman" w:cs="Times New Roman"/>
          <w:color w:val="000000" w:themeColor="text1"/>
          <w:sz w:val="22"/>
          <w:szCs w:val="22"/>
          <w:lang w:val="sv-FI" w:eastAsia="sv-FI"/>
        </w:rPr>
        <w:t>t.ex.</w:t>
      </w:r>
      <w:proofErr w:type="gramEnd"/>
      <w:r w:rsidR="1CC6ED34" w:rsidRPr="7C190DF7">
        <w:rPr>
          <w:rFonts w:ascii="Times New Roman" w:eastAsia="Times New Roman" w:hAnsi="Times New Roman" w:cs="Times New Roman"/>
          <w:color w:val="000000" w:themeColor="text1"/>
          <w:sz w:val="22"/>
          <w:szCs w:val="22"/>
          <w:lang w:val="sv-FI" w:eastAsia="sv-FI"/>
        </w:rPr>
        <w:t xml:space="preserve"> studieregister, överföring av information till gemensamma nationella register, andra styrsystem vid högskolan osv.)</w:t>
      </w:r>
      <w:r w:rsidR="005F31F7" w:rsidRPr="7C190DF7">
        <w:rPr>
          <w:rFonts w:ascii="Times New Roman" w:eastAsia="Times New Roman" w:hAnsi="Times New Roman" w:cs="Times New Roman"/>
          <w:color w:val="000000" w:themeColor="text1"/>
          <w:sz w:val="22"/>
          <w:szCs w:val="22"/>
          <w:lang w:val="sv-FI" w:eastAsia="sv-FI"/>
        </w:rPr>
        <w:t>.</w:t>
      </w:r>
    </w:p>
    <w:p w14:paraId="26AE0C9B" w14:textId="39B52AE2" w:rsidR="00D00ADE"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Högskolan på Åland har stora utvecklingsbehov för att kunna erbjuda samma tjänster </w:t>
      </w:r>
      <w:r w:rsidR="4EBEEB73" w:rsidRPr="7C190DF7">
        <w:rPr>
          <w:rFonts w:ascii="Times New Roman" w:eastAsia="Times New Roman" w:hAnsi="Times New Roman" w:cs="Times New Roman"/>
          <w:color w:val="000000" w:themeColor="text1"/>
          <w:sz w:val="22"/>
          <w:szCs w:val="22"/>
          <w:lang w:val="sv-FI" w:eastAsia="sv-FI"/>
        </w:rPr>
        <w:t>till</w:t>
      </w:r>
      <w:r w:rsidR="005F31F7" w:rsidRPr="7C190DF7">
        <w:rPr>
          <w:rFonts w:ascii="Times New Roman" w:eastAsia="Times New Roman" w:hAnsi="Times New Roman" w:cs="Times New Roman"/>
          <w:color w:val="000000" w:themeColor="text1"/>
          <w:sz w:val="22"/>
          <w:szCs w:val="22"/>
          <w:lang w:val="sv-FI" w:eastAsia="sv-FI"/>
        </w:rPr>
        <w:t xml:space="preserve"> sina</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studerande som de andra högskolorna i Finland</w:t>
      </w:r>
      <w:r w:rsidR="77AE2878" w:rsidRPr="7C190DF7">
        <w:rPr>
          <w:rFonts w:ascii="Times New Roman" w:eastAsia="Times New Roman" w:hAnsi="Times New Roman" w:cs="Times New Roman"/>
          <w:color w:val="000000" w:themeColor="text1"/>
          <w:sz w:val="22"/>
          <w:szCs w:val="22"/>
          <w:lang w:val="sv-FI" w:eastAsia="sv-FI"/>
        </w:rPr>
        <w:t>. Detta</w:t>
      </w:r>
      <w:r w:rsidR="005F31F7" w:rsidRPr="7C190DF7">
        <w:rPr>
          <w:rFonts w:ascii="Times New Roman" w:eastAsia="Times New Roman" w:hAnsi="Times New Roman" w:cs="Times New Roman"/>
          <w:color w:val="000000" w:themeColor="text1"/>
          <w:sz w:val="22"/>
          <w:szCs w:val="22"/>
          <w:lang w:val="sv-FI" w:eastAsia="sv-FI"/>
        </w:rPr>
        <w:t xml:space="preserve"> eftersom högskolan än så länge saknar smidiga</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system för identifiering av studerande</w:t>
      </w:r>
      <w:r w:rsidR="0025756B">
        <w:rPr>
          <w:rFonts w:ascii="Times New Roman" w:eastAsia="Times New Roman" w:hAnsi="Times New Roman" w:cs="Times New Roman"/>
          <w:color w:val="000000" w:themeColor="text1"/>
          <w:sz w:val="22"/>
          <w:szCs w:val="22"/>
          <w:lang w:val="sv-FI" w:eastAsia="sv-FI"/>
        </w:rPr>
        <w:t>.</w:t>
      </w:r>
      <w:r w:rsidR="005F31F7" w:rsidRPr="7C190DF7">
        <w:rPr>
          <w:rFonts w:ascii="Times New Roman" w:eastAsia="Times New Roman" w:hAnsi="Times New Roman" w:cs="Times New Roman"/>
          <w:color w:val="000000" w:themeColor="text1"/>
          <w:sz w:val="22"/>
          <w:szCs w:val="22"/>
          <w:lang w:val="sv-FI" w:eastAsia="sv-FI"/>
        </w:rPr>
        <w:t xml:space="preserve"> </w:t>
      </w:r>
      <w:r w:rsidRPr="7C190DF7">
        <w:rPr>
          <w:rFonts w:ascii="Times New Roman" w:eastAsia="Times New Roman" w:hAnsi="Times New Roman" w:cs="Times New Roman"/>
          <w:color w:val="000000" w:themeColor="text1"/>
          <w:sz w:val="22"/>
          <w:szCs w:val="22"/>
          <w:lang w:val="sv-FI" w:eastAsia="sv-FI"/>
        </w:rPr>
        <w:t xml:space="preserve">   </w:t>
      </w:r>
    </w:p>
    <w:p w14:paraId="14BBD8C9" w14:textId="2327675D" w:rsidR="0095492D"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r w:rsidR="0095492D">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Resurser behövs därmed för lokalt utvecklande </w:t>
      </w:r>
      <w:r w:rsidR="1EBB22EC" w:rsidRPr="7C190DF7">
        <w:rPr>
          <w:rFonts w:ascii="Times New Roman" w:eastAsia="Times New Roman" w:hAnsi="Times New Roman" w:cs="Times New Roman"/>
          <w:color w:val="000000" w:themeColor="text1"/>
          <w:sz w:val="22"/>
          <w:szCs w:val="22"/>
          <w:lang w:val="sv-FI" w:eastAsia="sv-FI"/>
        </w:rPr>
        <w:t>av</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dessa tjänster </w:t>
      </w:r>
      <w:r w:rsidR="68236645" w:rsidRPr="7C190DF7">
        <w:rPr>
          <w:rFonts w:ascii="Times New Roman" w:eastAsia="Times New Roman" w:hAnsi="Times New Roman" w:cs="Times New Roman"/>
          <w:color w:val="000000" w:themeColor="text1"/>
          <w:sz w:val="22"/>
          <w:szCs w:val="22"/>
          <w:lang w:val="sv-FI" w:eastAsia="sv-FI"/>
        </w:rPr>
        <w:t xml:space="preserve">för att göra dessa </w:t>
      </w:r>
      <w:r w:rsidR="005F31F7" w:rsidRPr="7C190DF7">
        <w:rPr>
          <w:rFonts w:ascii="Times New Roman" w:eastAsia="Times New Roman" w:hAnsi="Times New Roman" w:cs="Times New Roman"/>
          <w:color w:val="000000" w:themeColor="text1"/>
          <w:sz w:val="22"/>
          <w:szCs w:val="22"/>
          <w:lang w:val="sv-FI" w:eastAsia="sv-FI"/>
        </w:rPr>
        <w:t>tillgängliga för högskolans studerande och administration</w:t>
      </w:r>
      <w:r w:rsidR="382124D9" w:rsidRPr="7C190DF7">
        <w:rPr>
          <w:rFonts w:ascii="Times New Roman" w:eastAsia="Times New Roman" w:hAnsi="Times New Roman" w:cs="Times New Roman"/>
          <w:color w:val="000000" w:themeColor="text1"/>
          <w:sz w:val="22"/>
          <w:szCs w:val="22"/>
          <w:lang w:val="sv-FI" w:eastAsia="sv-FI"/>
        </w:rPr>
        <w:t xml:space="preserve"> samt</w:t>
      </w:r>
      <w:r w:rsidR="005F31F7" w:rsidRPr="7C190DF7">
        <w:rPr>
          <w:rFonts w:ascii="Times New Roman" w:eastAsia="Times New Roman" w:hAnsi="Times New Roman" w:cs="Times New Roman"/>
          <w:color w:val="000000" w:themeColor="text1"/>
          <w:sz w:val="22"/>
          <w:szCs w:val="22"/>
          <w:lang w:val="sv-FI" w:eastAsia="sv-FI"/>
        </w:rPr>
        <w:t xml:space="preserve"> för det åländska</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näringslivet. Högskolan kommer</w:t>
      </w:r>
      <w:r w:rsidR="0051706E">
        <w:rPr>
          <w:rFonts w:ascii="Times New Roman" w:eastAsia="Times New Roman" w:hAnsi="Times New Roman" w:cs="Times New Roman"/>
          <w:color w:val="000000" w:themeColor="text1"/>
          <w:sz w:val="22"/>
          <w:szCs w:val="22"/>
          <w:lang w:val="sv-FI" w:eastAsia="sv-FI"/>
        </w:rPr>
        <w:t xml:space="preserve"> utan extra resurser</w:t>
      </w:r>
      <w:r w:rsidR="005F31F7" w:rsidRPr="7C190DF7">
        <w:rPr>
          <w:rFonts w:ascii="Times New Roman" w:eastAsia="Times New Roman" w:hAnsi="Times New Roman" w:cs="Times New Roman"/>
          <w:color w:val="000000" w:themeColor="text1"/>
          <w:sz w:val="22"/>
          <w:szCs w:val="22"/>
          <w:lang w:val="sv-FI" w:eastAsia="sv-FI"/>
        </w:rPr>
        <w:t xml:space="preserve"> att ha mycket svårt, om inte omöjligt, att kunna utföra det digitala</w:t>
      </w:r>
      <w:r w:rsidRPr="7C190DF7">
        <w:rPr>
          <w:rFonts w:ascii="Times New Roman" w:eastAsia="Times New Roman" w:hAnsi="Times New Roman" w:cs="Times New Roman"/>
          <w:color w:val="000000" w:themeColor="text1"/>
          <w:sz w:val="22"/>
          <w:szCs w:val="22"/>
          <w:lang w:val="sv-FI" w:eastAsia="sv-FI"/>
        </w:rPr>
        <w:t xml:space="preserve"> </w:t>
      </w:r>
      <w:r w:rsidR="005F31F7" w:rsidRPr="7C190DF7">
        <w:rPr>
          <w:rFonts w:ascii="Times New Roman" w:eastAsia="Times New Roman" w:hAnsi="Times New Roman" w:cs="Times New Roman"/>
          <w:color w:val="000000" w:themeColor="text1"/>
          <w:sz w:val="22"/>
          <w:szCs w:val="22"/>
          <w:lang w:val="sv-FI" w:eastAsia="sv-FI"/>
        </w:rPr>
        <w:t xml:space="preserve">hopp, </w:t>
      </w:r>
      <w:r w:rsidR="0025756B">
        <w:rPr>
          <w:rFonts w:ascii="Times New Roman" w:eastAsia="Times New Roman" w:hAnsi="Times New Roman" w:cs="Times New Roman"/>
          <w:color w:val="000000" w:themeColor="text1"/>
          <w:sz w:val="22"/>
          <w:szCs w:val="22"/>
          <w:lang w:val="sv-FI" w:eastAsia="sv-FI"/>
        </w:rPr>
        <w:t>det vill säga</w:t>
      </w:r>
      <w:r w:rsidR="005F31F7" w:rsidRPr="7C190DF7">
        <w:rPr>
          <w:rFonts w:ascii="Times New Roman" w:eastAsia="Times New Roman" w:hAnsi="Times New Roman" w:cs="Times New Roman"/>
          <w:color w:val="000000" w:themeColor="text1"/>
          <w:sz w:val="22"/>
          <w:szCs w:val="22"/>
          <w:lang w:val="sv-FI" w:eastAsia="sv-FI"/>
        </w:rPr>
        <w:t xml:space="preserve"> utveckla sina egna administrativa system, som är absolut nödvändigt för att kunna delta i</w:t>
      </w:r>
      <w:r w:rsidR="0051706E">
        <w:rPr>
          <w:rFonts w:ascii="Times New Roman" w:eastAsia="Times New Roman" w:hAnsi="Times New Roman" w:cs="Times New Roman"/>
          <w:color w:val="000000"/>
          <w:sz w:val="22"/>
          <w:szCs w:val="22"/>
          <w:lang w:val="sv-FI" w:eastAsia="sv-FI"/>
        </w:rPr>
        <w:t xml:space="preserve"> </w:t>
      </w:r>
      <w:r w:rsidR="005F31F7" w:rsidRPr="005F31F7">
        <w:rPr>
          <w:rFonts w:ascii="Times New Roman" w:eastAsia="Times New Roman" w:hAnsi="Times New Roman" w:cs="Times New Roman"/>
          <w:color w:val="000000"/>
          <w:sz w:val="22"/>
          <w:szCs w:val="22"/>
          <w:lang w:val="sv-FI" w:eastAsia="sv-FI"/>
        </w:rPr>
        <w:t>och genomföra utvecklingsprojektet</w:t>
      </w:r>
      <w:r w:rsidR="0051706E">
        <w:rPr>
          <w:rFonts w:ascii="Times New Roman" w:eastAsia="Times New Roman" w:hAnsi="Times New Roman" w:cs="Times New Roman"/>
          <w:color w:val="000000"/>
          <w:sz w:val="22"/>
          <w:szCs w:val="22"/>
          <w:lang w:val="sv-FI" w:eastAsia="sv-FI"/>
        </w:rPr>
        <w:t>.</w:t>
      </w:r>
    </w:p>
    <w:p w14:paraId="74C2E54E" w14:textId="77777777" w:rsidR="0095492D" w:rsidRDefault="0095492D" w:rsidP="005F31F7">
      <w:pPr>
        <w:autoSpaceDE w:val="0"/>
        <w:autoSpaceDN w:val="0"/>
        <w:adjustRightInd w:val="0"/>
        <w:rPr>
          <w:rFonts w:ascii="Times New Roman" w:eastAsia="Times New Roman" w:hAnsi="Times New Roman" w:cs="Times New Roman"/>
          <w:color w:val="000000"/>
          <w:sz w:val="22"/>
          <w:szCs w:val="22"/>
          <w:lang w:val="sv-FI" w:eastAsia="sv-FI"/>
        </w:rPr>
      </w:pPr>
    </w:p>
    <w:p w14:paraId="7989EC04" w14:textId="535C8937" w:rsidR="005F31F7" w:rsidRPr="005F31F7" w:rsidRDefault="005F31F7" w:rsidP="005F31F7">
      <w:pPr>
        <w:autoSpaceDE w:val="0"/>
        <w:autoSpaceDN w:val="0"/>
        <w:adjustRightInd w:val="0"/>
        <w:rPr>
          <w:rFonts w:ascii="Times New Roman" w:eastAsia="Times New Roman" w:hAnsi="Times New Roman" w:cs="Times New Roman"/>
          <w:color w:val="000000"/>
          <w:sz w:val="22"/>
          <w:szCs w:val="22"/>
          <w:lang w:val="sv-FI" w:eastAsia="sv-FI"/>
        </w:rPr>
      </w:pPr>
      <w:r w:rsidRPr="005F31F7">
        <w:rPr>
          <w:rFonts w:ascii="Times New Roman" w:eastAsia="Times New Roman" w:hAnsi="Times New Roman" w:cs="Times New Roman"/>
          <w:color w:val="000000"/>
          <w:sz w:val="22"/>
          <w:szCs w:val="22"/>
          <w:lang w:val="sv-FI" w:eastAsia="sv-FI"/>
        </w:rPr>
        <w:t xml:space="preserve"> </w:t>
      </w:r>
      <w:r w:rsidR="0095492D">
        <w:rPr>
          <w:rFonts w:ascii="Times New Roman" w:eastAsia="Times New Roman" w:hAnsi="Times New Roman" w:cs="Times New Roman"/>
          <w:color w:val="000000"/>
          <w:sz w:val="22"/>
          <w:szCs w:val="22"/>
          <w:lang w:val="sv-FI" w:eastAsia="sv-FI"/>
        </w:rPr>
        <w:t xml:space="preserve">  </w:t>
      </w:r>
      <w:r w:rsidR="0095492D" w:rsidRPr="0095492D">
        <w:rPr>
          <w:rFonts w:ascii="Times New Roman" w:eastAsia="Times New Roman" w:hAnsi="Times New Roman" w:cs="Times New Roman"/>
          <w:color w:val="000000"/>
          <w:sz w:val="22"/>
          <w:szCs w:val="22"/>
          <w:lang w:val="sv-FI" w:eastAsia="sv-FI"/>
        </w:rPr>
        <w:t xml:space="preserve">Projektet </w:t>
      </w:r>
      <w:r w:rsidR="0095492D">
        <w:rPr>
          <w:rFonts w:ascii="Times New Roman" w:eastAsia="Times New Roman" w:hAnsi="Times New Roman" w:cs="Times New Roman"/>
          <w:color w:val="000000"/>
          <w:sz w:val="22"/>
          <w:szCs w:val="22"/>
          <w:lang w:val="sv-FI" w:eastAsia="sv-FI"/>
        </w:rPr>
        <w:t xml:space="preserve">som helhet </w:t>
      </w:r>
      <w:r w:rsidR="0095492D" w:rsidRPr="0095492D">
        <w:rPr>
          <w:rFonts w:ascii="Times New Roman" w:eastAsia="Times New Roman" w:hAnsi="Times New Roman" w:cs="Times New Roman"/>
          <w:color w:val="000000"/>
          <w:sz w:val="22"/>
          <w:szCs w:val="22"/>
          <w:lang w:val="sv-FI" w:eastAsia="sv-FI"/>
        </w:rPr>
        <w:t>uppfyller väl kriterierna för EU:s återhämtningsfonds flaggskeppsområde</w:t>
      </w:r>
      <w:r w:rsidR="0051706E">
        <w:rPr>
          <w:rFonts w:ascii="Times New Roman" w:eastAsia="Times New Roman" w:hAnsi="Times New Roman" w:cs="Times New Roman"/>
          <w:color w:val="000000"/>
          <w:sz w:val="22"/>
          <w:szCs w:val="22"/>
          <w:lang w:val="sv-FI" w:eastAsia="sv-FI"/>
        </w:rPr>
        <w:t xml:space="preserve"> 5 och</w:t>
      </w:r>
      <w:r w:rsidR="0095492D" w:rsidRPr="0095492D">
        <w:rPr>
          <w:rFonts w:ascii="Times New Roman" w:eastAsia="Times New Roman" w:hAnsi="Times New Roman" w:cs="Times New Roman"/>
          <w:color w:val="000000"/>
          <w:sz w:val="22"/>
          <w:szCs w:val="22"/>
          <w:lang w:val="sv-FI" w:eastAsia="sv-FI"/>
        </w:rPr>
        <w:t xml:space="preserve"> </w:t>
      </w:r>
      <w:r w:rsidR="0095492D">
        <w:rPr>
          <w:rFonts w:ascii="Times New Roman" w:eastAsia="Times New Roman" w:hAnsi="Times New Roman" w:cs="Times New Roman"/>
          <w:color w:val="000000"/>
          <w:sz w:val="22"/>
          <w:szCs w:val="22"/>
          <w:lang w:val="sv-FI" w:eastAsia="sv-FI"/>
        </w:rPr>
        <w:t>7</w:t>
      </w:r>
      <w:r w:rsidR="0095492D" w:rsidRPr="0051706E">
        <w:rPr>
          <w:rFonts w:ascii="Times New Roman" w:eastAsia="Times New Roman" w:hAnsi="Times New Roman" w:cs="Times New Roman"/>
          <w:i/>
          <w:iCs/>
          <w:color w:val="000000"/>
          <w:sz w:val="22"/>
          <w:szCs w:val="22"/>
          <w:lang w:val="sv-FI" w:eastAsia="sv-FI"/>
        </w:rPr>
        <w:t xml:space="preserve">: </w:t>
      </w:r>
      <w:r w:rsidR="0051706E" w:rsidRPr="0051706E">
        <w:rPr>
          <w:rFonts w:ascii="Times New Roman" w:eastAsia="Times New Roman" w:hAnsi="Times New Roman" w:cs="Times New Roman"/>
          <w:i/>
          <w:iCs/>
          <w:color w:val="000000"/>
          <w:sz w:val="22"/>
          <w:szCs w:val="22"/>
          <w:lang w:val="sv-FI" w:eastAsia="sv-FI"/>
        </w:rPr>
        <w:t>Modernisering - Digitalisering av offentlig förvaltning och offentliga tjänster, inbegripet rättsväsende och hälso- och sjukvårdssystem</w:t>
      </w:r>
      <w:r w:rsidR="0051706E">
        <w:rPr>
          <w:rFonts w:ascii="Times New Roman" w:eastAsia="Times New Roman" w:hAnsi="Times New Roman" w:cs="Times New Roman"/>
          <w:i/>
          <w:iCs/>
          <w:color w:val="000000"/>
          <w:sz w:val="22"/>
          <w:szCs w:val="22"/>
          <w:lang w:val="sv-FI" w:eastAsia="sv-FI"/>
        </w:rPr>
        <w:t xml:space="preserve"> samt </w:t>
      </w:r>
      <w:r w:rsidR="0095492D" w:rsidRPr="0095492D">
        <w:rPr>
          <w:rFonts w:ascii="Times New Roman" w:eastAsia="Times New Roman" w:hAnsi="Times New Roman" w:cs="Times New Roman"/>
          <w:i/>
          <w:iCs/>
          <w:color w:val="000000"/>
          <w:sz w:val="22"/>
          <w:szCs w:val="22"/>
          <w:lang w:val="sv-FI" w:eastAsia="sv-FI"/>
        </w:rPr>
        <w:t xml:space="preserve">Omskolning och kompetensutveckling </w:t>
      </w:r>
      <w:r w:rsidR="0095492D">
        <w:rPr>
          <w:rFonts w:ascii="Times New Roman" w:eastAsia="Times New Roman" w:hAnsi="Times New Roman" w:cs="Times New Roman"/>
          <w:i/>
          <w:iCs/>
          <w:color w:val="000000"/>
          <w:sz w:val="22"/>
          <w:szCs w:val="22"/>
          <w:lang w:val="sv-FI" w:eastAsia="sv-FI"/>
        </w:rPr>
        <w:t>-</w:t>
      </w:r>
      <w:r w:rsidR="0095492D" w:rsidRPr="0095492D">
        <w:rPr>
          <w:rFonts w:ascii="Times New Roman" w:eastAsia="Times New Roman" w:hAnsi="Times New Roman" w:cs="Times New Roman"/>
          <w:i/>
          <w:iCs/>
          <w:color w:val="000000"/>
          <w:sz w:val="22"/>
          <w:szCs w:val="22"/>
          <w:lang w:val="sv-FI" w:eastAsia="sv-FI"/>
        </w:rPr>
        <w:t xml:space="preserve"> Anpassning av utbildningssystemen till stöd för digitala färdigheter, utbildning och yrkesutbildning för alla åldrar.</w:t>
      </w:r>
    </w:p>
    <w:p w14:paraId="4B2F5C47" w14:textId="66DDB409" w:rsidR="008473AE" w:rsidRPr="7C190DF7" w:rsidRDefault="00D00ADE" w:rsidP="008473AE">
      <w:pPr>
        <w:autoSpaceDE w:val="0"/>
        <w:autoSpaceDN w:val="0"/>
        <w:adjustRightInd w:val="0"/>
        <w:rPr>
          <w:rFonts w:ascii="Times New Roman" w:eastAsia="Times New Roman" w:hAnsi="Times New Roman" w:cs="Times New Roman"/>
          <w:b/>
          <w:bCs/>
          <w:sz w:val="22"/>
          <w:szCs w:val="22"/>
          <w:lang w:val="sv-FI" w:eastAsia="sv-FI"/>
        </w:rPr>
      </w:pPr>
      <w:r w:rsidRPr="7C190DF7">
        <w:rPr>
          <w:rFonts w:ascii="Times New Roman" w:eastAsia="Times New Roman" w:hAnsi="Times New Roman" w:cs="Times New Roman"/>
          <w:color w:val="000000" w:themeColor="text1"/>
          <w:sz w:val="22"/>
          <w:szCs w:val="22"/>
          <w:lang w:val="sv-FI" w:eastAsia="sv-FI"/>
        </w:rPr>
        <w:t xml:space="preserve">   </w:t>
      </w:r>
    </w:p>
    <w:p w14:paraId="200F8D6D" w14:textId="1755452F" w:rsidR="0077455E" w:rsidRPr="0077455E" w:rsidRDefault="0077455E" w:rsidP="7C190DF7">
      <w:pPr>
        <w:autoSpaceDE w:val="0"/>
        <w:autoSpaceDN w:val="0"/>
        <w:adjustRightInd w:val="0"/>
        <w:rPr>
          <w:rFonts w:ascii="Times New Roman" w:eastAsia="Times New Roman" w:hAnsi="Times New Roman" w:cs="Times New Roman"/>
          <w:i/>
          <w:iCs/>
          <w:sz w:val="22"/>
          <w:szCs w:val="22"/>
          <w:lang w:val="sv-FI" w:eastAsia="sv-FI"/>
        </w:rPr>
      </w:pPr>
      <w:r w:rsidRPr="0077455E">
        <w:rPr>
          <w:rFonts w:ascii="Times New Roman" w:hAnsi="Times New Roman" w:cs="Times New Roman"/>
          <w:i/>
          <w:iCs/>
          <w:sz w:val="22"/>
          <w:szCs w:val="22"/>
        </w:rPr>
        <w:t>Totalt omfattar reform- och investeringsprojekt B ca 3,6 miljoner euro.</w:t>
      </w:r>
    </w:p>
    <w:p w14:paraId="104BE301" w14:textId="3DBF1D61" w:rsidR="00D00ADE" w:rsidRDefault="00D00ADE" w:rsidP="005F31F7">
      <w:pPr>
        <w:autoSpaceDE w:val="0"/>
        <w:autoSpaceDN w:val="0"/>
        <w:adjustRightInd w:val="0"/>
        <w:rPr>
          <w:rFonts w:ascii="Times New Roman" w:eastAsia="Times New Roman" w:hAnsi="Times New Roman" w:cs="Times New Roman"/>
          <w:color w:val="000000"/>
          <w:sz w:val="22"/>
          <w:szCs w:val="22"/>
          <w:lang w:val="sv-FI" w:eastAsia="sv-FI"/>
        </w:rPr>
      </w:pPr>
    </w:p>
    <w:p w14:paraId="67D6EE8C" w14:textId="77777777" w:rsidR="0055007A" w:rsidRDefault="0055007A" w:rsidP="005F31F7">
      <w:pPr>
        <w:autoSpaceDE w:val="0"/>
        <w:autoSpaceDN w:val="0"/>
        <w:adjustRightInd w:val="0"/>
        <w:rPr>
          <w:rFonts w:ascii="Times New Roman" w:eastAsia="Times New Roman" w:hAnsi="Times New Roman" w:cs="Times New Roman"/>
          <w:color w:val="000000"/>
          <w:sz w:val="22"/>
          <w:szCs w:val="22"/>
          <w:lang w:val="sv-FI" w:eastAsia="sv-FI"/>
        </w:rPr>
      </w:pPr>
    </w:p>
    <w:p w14:paraId="34B20FC1" w14:textId="12061771" w:rsidR="00D00ADE" w:rsidRDefault="00D00ADE" w:rsidP="00D00ADE">
      <w:pPr>
        <w:pStyle w:val="RubrikB"/>
      </w:pPr>
      <w:r>
        <w:t>C. Byte av vårdinformationssystem inom Å</w:t>
      </w:r>
      <w:r w:rsidR="42BFECFE">
        <w:t>lands hälso- och sjukvård (ÅHS)</w:t>
      </w:r>
    </w:p>
    <w:p w14:paraId="453EAD8B" w14:textId="10949221" w:rsidR="00D00ADE" w:rsidRDefault="00D00ADE" w:rsidP="00D00ADE">
      <w:pPr>
        <w:pStyle w:val="Rubrikmellanrum"/>
      </w:pPr>
    </w:p>
    <w:p w14:paraId="479C91AE" w14:textId="2008D69A" w:rsidR="00FD2E00" w:rsidRPr="00FD2E00" w:rsidRDefault="00FD2E00" w:rsidP="7C190DF7">
      <w:pPr>
        <w:pStyle w:val="Brdtext"/>
        <w:spacing w:line="240" w:lineRule="auto"/>
        <w:rPr>
          <w:b/>
          <w:bCs/>
          <w:sz w:val="22"/>
          <w:szCs w:val="22"/>
          <w:lang w:val="sv-FI"/>
        </w:rPr>
      </w:pPr>
      <w:r w:rsidRPr="7C190DF7">
        <w:rPr>
          <w:sz w:val="22"/>
          <w:szCs w:val="22"/>
          <w:lang w:val="sv-FI"/>
        </w:rPr>
        <w:t xml:space="preserve">Ett av </w:t>
      </w:r>
      <w:r w:rsidR="0DB77225" w:rsidRPr="7C190DF7">
        <w:rPr>
          <w:sz w:val="22"/>
          <w:szCs w:val="22"/>
          <w:lang w:val="sv-FI"/>
        </w:rPr>
        <w:t xml:space="preserve">de </w:t>
      </w:r>
      <w:r w:rsidRPr="7C190DF7">
        <w:rPr>
          <w:sz w:val="22"/>
          <w:szCs w:val="22"/>
          <w:lang w:val="sv-FI"/>
        </w:rPr>
        <w:t>övergripande mål</w:t>
      </w:r>
      <w:r w:rsidR="3545AFFD" w:rsidRPr="7C190DF7">
        <w:rPr>
          <w:sz w:val="22"/>
          <w:szCs w:val="22"/>
          <w:lang w:val="sv-FI"/>
        </w:rPr>
        <w:t>en vid ÅHS</w:t>
      </w:r>
      <w:r w:rsidRPr="7C190DF7">
        <w:rPr>
          <w:sz w:val="22"/>
          <w:szCs w:val="22"/>
          <w:lang w:val="sv-FI"/>
        </w:rPr>
        <w:t xml:space="preserve"> är att garantera en god tillgänglighet till hälso- och sjukvård samt främja det förebyggande arbetet och stärka folkhälsan. Fokus bör vara på patienten samt på ett jämställt och gott bemötande. Den digitala utvecklingen på vårdområdet är betydande, varför ett prioriterat område är förnyelsen av ÅHS vårdinformationssystem (VIS).</w:t>
      </w:r>
    </w:p>
    <w:p w14:paraId="3F617623" w14:textId="254479C5" w:rsidR="00FD2E00" w:rsidRPr="00FD2E00" w:rsidRDefault="00FD2E00" w:rsidP="00FD2E00">
      <w:pPr>
        <w:pStyle w:val="Brdtext"/>
        <w:spacing w:line="240" w:lineRule="auto"/>
        <w:rPr>
          <w:sz w:val="22"/>
          <w:szCs w:val="22"/>
        </w:rPr>
      </w:pPr>
      <w:r w:rsidRPr="7C190DF7">
        <w:rPr>
          <w:sz w:val="22"/>
          <w:szCs w:val="22"/>
          <w:lang w:val="sv-FI"/>
        </w:rPr>
        <w:t xml:space="preserve">   </w:t>
      </w:r>
      <w:r w:rsidRPr="7C190DF7">
        <w:rPr>
          <w:sz w:val="22"/>
          <w:szCs w:val="22"/>
        </w:rPr>
        <w:t>ÅHS nuvarande system erbjuder inte allt som ett nytt</w:t>
      </w:r>
      <w:r w:rsidR="18FDD4F9" w:rsidRPr="7C190DF7">
        <w:rPr>
          <w:sz w:val="22"/>
          <w:szCs w:val="22"/>
        </w:rPr>
        <w:t xml:space="preserve"> och</w:t>
      </w:r>
      <w:r w:rsidRPr="7C190DF7">
        <w:rPr>
          <w:sz w:val="22"/>
          <w:szCs w:val="22"/>
        </w:rPr>
        <w:t xml:space="preserve"> modernt V</w:t>
      </w:r>
      <w:r w:rsidR="0DCE8B60" w:rsidRPr="7C190DF7">
        <w:rPr>
          <w:sz w:val="22"/>
          <w:szCs w:val="22"/>
        </w:rPr>
        <w:t>IS</w:t>
      </w:r>
      <w:r w:rsidRPr="7C190DF7">
        <w:rPr>
          <w:sz w:val="22"/>
          <w:szCs w:val="22"/>
        </w:rPr>
        <w:t xml:space="preserve"> kan erbjuda i forma av säkerhet och integrationer. </w:t>
      </w:r>
      <w:r w:rsidRPr="7C190DF7">
        <w:rPr>
          <w:sz w:val="22"/>
          <w:szCs w:val="22"/>
          <w:lang w:val="sv-FI"/>
        </w:rPr>
        <w:t xml:space="preserve">Potentialen med ett nytt VIS för ÅHS är stor, både i form av minskad administration inom vård och förvaltning samt en effektivisering och kvalitetshöjning i patientservicen. En ekonomisk effekt väntas också då patienten kan göra mer arbete själv, </w:t>
      </w:r>
      <w:proofErr w:type="gramStart"/>
      <w:r w:rsidRPr="7C190DF7">
        <w:rPr>
          <w:sz w:val="22"/>
          <w:szCs w:val="22"/>
          <w:lang w:val="sv-FI"/>
        </w:rPr>
        <w:t>t.ex.</w:t>
      </w:r>
      <w:proofErr w:type="gramEnd"/>
      <w:r w:rsidRPr="7C190DF7">
        <w:rPr>
          <w:sz w:val="22"/>
          <w:szCs w:val="22"/>
          <w:lang w:val="sv-FI"/>
        </w:rPr>
        <w:t xml:space="preserve"> kontrollera journal på internet</w:t>
      </w:r>
      <w:r w:rsidR="4B6B9B6F" w:rsidRPr="7C190DF7">
        <w:rPr>
          <w:sz w:val="22"/>
          <w:szCs w:val="22"/>
          <w:lang w:val="sv-FI"/>
        </w:rPr>
        <w:t xml:space="preserve"> och</w:t>
      </w:r>
      <w:r w:rsidRPr="7C190DF7">
        <w:rPr>
          <w:sz w:val="22"/>
          <w:szCs w:val="22"/>
          <w:lang w:val="sv-FI"/>
        </w:rPr>
        <w:t xml:space="preserve"> boka tider själv. </w:t>
      </w:r>
      <w:r w:rsidRPr="7C190DF7">
        <w:rPr>
          <w:sz w:val="22"/>
          <w:szCs w:val="22"/>
        </w:rPr>
        <w:t>ÅHS förstudie, som färdigställdes i januari 2019, visar att VIS är ett omfattande förändringsprogram med flera angränsande förändringsprocesser som kommer att pågå under flera år framåt.</w:t>
      </w:r>
    </w:p>
    <w:p w14:paraId="609B0642" w14:textId="6BBA082A" w:rsidR="00FD2E00" w:rsidRPr="00FD2E00" w:rsidRDefault="00FD2E00" w:rsidP="00FD2E00">
      <w:pPr>
        <w:pStyle w:val="Brdtext"/>
        <w:spacing w:line="240" w:lineRule="auto"/>
        <w:rPr>
          <w:sz w:val="22"/>
          <w:szCs w:val="22"/>
          <w:lang w:val="sv-FI"/>
        </w:rPr>
      </w:pPr>
      <w:r>
        <w:rPr>
          <w:sz w:val="22"/>
          <w:szCs w:val="22"/>
        </w:rPr>
        <w:t xml:space="preserve">   </w:t>
      </w:r>
      <w:r w:rsidRPr="00FD2E00">
        <w:rPr>
          <w:sz w:val="22"/>
          <w:szCs w:val="22"/>
        </w:rPr>
        <w:t xml:space="preserve">Upphandling </w:t>
      </w:r>
      <w:r w:rsidR="000D2CBD">
        <w:rPr>
          <w:sz w:val="22"/>
          <w:szCs w:val="22"/>
        </w:rPr>
        <w:t xml:space="preserve">av </w:t>
      </w:r>
      <w:r w:rsidRPr="00FD2E00">
        <w:rPr>
          <w:sz w:val="22"/>
          <w:szCs w:val="22"/>
        </w:rPr>
        <w:t xml:space="preserve">VIS projektet bidrar till att ÅHS upphandlar ett modernt, driftsäkert, högkvalitativt, framtids- och datasäkert VIS som möjliggör verksamhetsutveckling, en mera effektiv hantering av journalen </w:t>
      </w:r>
      <w:r w:rsidR="0051706E">
        <w:rPr>
          <w:sz w:val="22"/>
          <w:szCs w:val="22"/>
        </w:rPr>
        <w:t>samt</w:t>
      </w:r>
      <w:r w:rsidRPr="00FD2E00">
        <w:rPr>
          <w:sz w:val="22"/>
          <w:szCs w:val="22"/>
        </w:rPr>
        <w:t xml:space="preserve"> en tryggare </w:t>
      </w:r>
      <w:r w:rsidRPr="00FD2E00">
        <w:rPr>
          <w:sz w:val="22"/>
          <w:szCs w:val="22"/>
        </w:rPr>
        <w:lastRenderedPageBreak/>
        <w:t xml:space="preserve">informationsöverföring. </w:t>
      </w:r>
      <w:r w:rsidRPr="00FD2E00">
        <w:rPr>
          <w:sz w:val="22"/>
          <w:szCs w:val="22"/>
          <w:lang w:val="sv-FI"/>
        </w:rPr>
        <w:t xml:space="preserve">Det finns inget VIS som täcker hela ÅHS funktionella behov och därför krävs integrationer till kringliggande system för exempelvis bild- och laboratoriemedicin. Dock bör ett nytt system omfatta så mycket som möjligt av grundfunktionaliteten i verksamheten. Dessutom krävs en hög grad av </w:t>
      </w:r>
      <w:proofErr w:type="spellStart"/>
      <w:r w:rsidRPr="00FD2E00">
        <w:rPr>
          <w:sz w:val="22"/>
          <w:szCs w:val="22"/>
          <w:lang w:val="sv-FI"/>
        </w:rPr>
        <w:t>interoperabilitet</w:t>
      </w:r>
      <w:proofErr w:type="spellEnd"/>
      <w:r w:rsidRPr="00FD2E00">
        <w:rPr>
          <w:sz w:val="22"/>
          <w:szCs w:val="22"/>
          <w:lang w:val="sv-FI"/>
        </w:rPr>
        <w:t xml:space="preserve"> med omvärlden och de verksamhetsfunktioner som inte täcks av ett VIS. </w:t>
      </w:r>
    </w:p>
    <w:p w14:paraId="1C37A4DB" w14:textId="368631B6" w:rsidR="00FD2E00" w:rsidRPr="00FD2E00" w:rsidRDefault="000D2CBD" w:rsidP="00FD2E00">
      <w:pPr>
        <w:pStyle w:val="Brdtext"/>
        <w:spacing w:line="240" w:lineRule="auto"/>
        <w:rPr>
          <w:sz w:val="22"/>
          <w:szCs w:val="22"/>
        </w:rPr>
      </w:pPr>
      <w:r w:rsidRPr="7C190DF7">
        <w:rPr>
          <w:sz w:val="22"/>
          <w:szCs w:val="22"/>
          <w:lang w:val="sv-FI"/>
        </w:rPr>
        <w:t xml:space="preserve">   </w:t>
      </w:r>
      <w:r w:rsidR="00FD2E00" w:rsidRPr="7C190DF7">
        <w:rPr>
          <w:sz w:val="22"/>
          <w:szCs w:val="22"/>
        </w:rPr>
        <w:t>Upphandlingen görs som en gemensam upphandling av ÅHS och Åda Ab, där ÅHS upphandlar ett licensavtal och Åda</w:t>
      </w:r>
      <w:r w:rsidR="45F5C0F2" w:rsidRPr="7C190DF7">
        <w:rPr>
          <w:sz w:val="22"/>
          <w:szCs w:val="22"/>
        </w:rPr>
        <w:t xml:space="preserve"> Ab</w:t>
      </w:r>
      <w:r w:rsidR="00FD2E00" w:rsidRPr="7C190DF7">
        <w:rPr>
          <w:sz w:val="22"/>
          <w:szCs w:val="22"/>
        </w:rPr>
        <w:t xml:space="preserve"> erhåller en option för att avropa licenser för sina delägare. ÅHS ser ett värde i att kunna erbjuda licensen och tjänsten till privata vårdgivare för att på så sätt kunna säkerställa enhetliga system </w:t>
      </w:r>
      <w:r w:rsidR="7BFADBE6" w:rsidRPr="7C190DF7">
        <w:rPr>
          <w:sz w:val="22"/>
          <w:szCs w:val="22"/>
        </w:rPr>
        <w:t>på Åland</w:t>
      </w:r>
      <w:r w:rsidR="00FD2E00" w:rsidRPr="7C190DF7">
        <w:rPr>
          <w:sz w:val="22"/>
          <w:szCs w:val="22"/>
        </w:rPr>
        <w:t xml:space="preserve">. </w:t>
      </w:r>
    </w:p>
    <w:p w14:paraId="55B72D51" w14:textId="2E5E5FB0" w:rsidR="00FD2E00" w:rsidRPr="00FD2E00" w:rsidRDefault="000D2CBD" w:rsidP="00FD2E00">
      <w:pPr>
        <w:pStyle w:val="Brdtext"/>
        <w:spacing w:line="240" w:lineRule="auto"/>
        <w:rPr>
          <w:sz w:val="22"/>
          <w:szCs w:val="22"/>
        </w:rPr>
      </w:pPr>
      <w:r>
        <w:rPr>
          <w:sz w:val="22"/>
          <w:szCs w:val="22"/>
        </w:rPr>
        <w:t xml:space="preserve">   </w:t>
      </w:r>
      <w:r w:rsidR="00FD2E00" w:rsidRPr="00FD2E00">
        <w:rPr>
          <w:sz w:val="22"/>
          <w:szCs w:val="22"/>
        </w:rPr>
        <w:t>Till projektet hör, förutom upphandlingen, ett parallellt arbete med att kartlägga och utveckla termer och begrepp samt att kartlägga och utveckla vårdprocesser och standardiserade vårdplaner.</w:t>
      </w:r>
      <w:r w:rsidR="0051706E">
        <w:rPr>
          <w:sz w:val="22"/>
          <w:szCs w:val="22"/>
        </w:rPr>
        <w:t xml:space="preserve"> </w:t>
      </w:r>
      <w:r w:rsidR="00FD2E00" w:rsidRPr="00FD2E00">
        <w:rPr>
          <w:sz w:val="22"/>
          <w:szCs w:val="22"/>
        </w:rPr>
        <w:t xml:space="preserve">Dessa arbeten är beroende av varandra både tidsmässigt och gällande personella resurser. </w:t>
      </w:r>
    </w:p>
    <w:p w14:paraId="47C0DDF9" w14:textId="19D5680C" w:rsidR="00FD2E00" w:rsidRPr="00FD2E00" w:rsidRDefault="000D2CBD" w:rsidP="00FD2E00">
      <w:pPr>
        <w:pStyle w:val="Brdtext"/>
        <w:spacing w:line="240" w:lineRule="auto"/>
        <w:rPr>
          <w:sz w:val="22"/>
          <w:szCs w:val="22"/>
        </w:rPr>
      </w:pPr>
      <w:r w:rsidRPr="7C190DF7">
        <w:rPr>
          <w:sz w:val="22"/>
          <w:szCs w:val="22"/>
        </w:rPr>
        <w:t xml:space="preserve">   </w:t>
      </w:r>
      <w:r w:rsidR="00FD2E00" w:rsidRPr="7C190DF7">
        <w:rPr>
          <w:sz w:val="22"/>
          <w:szCs w:val="22"/>
        </w:rPr>
        <w:t xml:space="preserve">En viktig del av verksamhetsutvecklingen </w:t>
      </w:r>
      <w:r w:rsidR="2DE7FDC8" w:rsidRPr="7C190DF7">
        <w:rPr>
          <w:sz w:val="22"/>
          <w:szCs w:val="22"/>
        </w:rPr>
        <w:t>vid</w:t>
      </w:r>
      <w:r w:rsidR="00FD2E00" w:rsidRPr="7C190DF7">
        <w:rPr>
          <w:sz w:val="22"/>
          <w:szCs w:val="22"/>
        </w:rPr>
        <w:t xml:space="preserve"> ÅHS är att kommunicera med externa samarbetspartners så</w:t>
      </w:r>
      <w:r w:rsidR="648687C4" w:rsidRPr="7C190DF7">
        <w:rPr>
          <w:sz w:val="22"/>
          <w:szCs w:val="22"/>
        </w:rPr>
        <w:t xml:space="preserve"> </w:t>
      </w:r>
      <w:r w:rsidR="00FD2E00" w:rsidRPr="7C190DF7">
        <w:rPr>
          <w:sz w:val="22"/>
          <w:szCs w:val="22"/>
        </w:rPr>
        <w:t>som sociala sektorn, kommunerna</w:t>
      </w:r>
      <w:r w:rsidR="0A731618" w:rsidRPr="7C190DF7">
        <w:rPr>
          <w:sz w:val="22"/>
          <w:szCs w:val="22"/>
        </w:rPr>
        <w:t xml:space="preserve"> på Åland</w:t>
      </w:r>
      <w:r w:rsidR="00FD2E00" w:rsidRPr="7C190DF7">
        <w:rPr>
          <w:sz w:val="22"/>
          <w:szCs w:val="22"/>
        </w:rPr>
        <w:t xml:space="preserve"> och privata sektorn. Ett VIS som är sammankopplat och samverkar både internt och externt med alla vårdleverantörer runt patienten möjliggör verktyg som stöder koordineringen, planeringen och förverkligande av vården. Samverkan mellan dessa aktörer på Åland för att åstadkomma kontinuitet för patienten behöver ske på ett strukturerat, överenskommet och informationssäkert sätt.</w:t>
      </w:r>
    </w:p>
    <w:p w14:paraId="4D10832E" w14:textId="77777777" w:rsidR="00FD2E00" w:rsidRPr="00FD2E00" w:rsidRDefault="00FD2E00" w:rsidP="00FD2E00">
      <w:pPr>
        <w:pStyle w:val="Brdtext"/>
        <w:spacing w:line="240" w:lineRule="auto"/>
        <w:rPr>
          <w:sz w:val="22"/>
          <w:szCs w:val="22"/>
        </w:rPr>
      </w:pPr>
    </w:p>
    <w:p w14:paraId="50E1E05E" w14:textId="77777777" w:rsidR="00FD2E00" w:rsidRPr="00FD2E00" w:rsidRDefault="00FD2E00" w:rsidP="000D2CBD">
      <w:pPr>
        <w:pStyle w:val="RubrikD"/>
      </w:pPr>
      <w:r w:rsidRPr="00FD2E00">
        <w:t>Projektidé</w:t>
      </w:r>
    </w:p>
    <w:p w14:paraId="04694713" w14:textId="7589B79B" w:rsidR="00FD2E00" w:rsidRPr="00FD2E00" w:rsidRDefault="000D2CBD" w:rsidP="00FD2E00">
      <w:pPr>
        <w:jc w:val="both"/>
        <w:rPr>
          <w:rFonts w:ascii="Times New Roman" w:eastAsia="Times New Roman" w:hAnsi="Times New Roman" w:cs="Times New Roman"/>
          <w:sz w:val="22"/>
          <w:szCs w:val="22"/>
        </w:rPr>
      </w:pPr>
      <w:r w:rsidRPr="7C190DF7">
        <w:rPr>
          <w:rFonts w:ascii="Times New Roman" w:eastAsia="Times New Roman" w:hAnsi="Times New Roman" w:cs="Times New Roman"/>
          <w:sz w:val="22"/>
          <w:szCs w:val="22"/>
        </w:rPr>
        <w:t xml:space="preserve">   </w:t>
      </w:r>
      <w:r w:rsidR="00FD2E00" w:rsidRPr="7C190DF7">
        <w:rPr>
          <w:rFonts w:ascii="Times New Roman" w:eastAsia="Times New Roman" w:hAnsi="Times New Roman" w:cs="Times New Roman"/>
          <w:sz w:val="22"/>
          <w:szCs w:val="22"/>
        </w:rPr>
        <w:t>Projektet bidrar till att ÅHS får ett modernt, driftsäkert, högkvalitativt, framtids- och datasäkert VIS som möjliggör en mera effektiv hantering av journale</w:t>
      </w:r>
      <w:r w:rsidR="7EB841E1" w:rsidRPr="7C190DF7">
        <w:rPr>
          <w:rFonts w:ascii="Times New Roman" w:eastAsia="Times New Roman" w:hAnsi="Times New Roman" w:cs="Times New Roman"/>
          <w:sz w:val="22"/>
          <w:szCs w:val="22"/>
        </w:rPr>
        <w:t>r</w:t>
      </w:r>
      <w:r w:rsidR="00FD2E00" w:rsidRPr="7C190DF7">
        <w:rPr>
          <w:rFonts w:ascii="Times New Roman" w:eastAsia="Times New Roman" w:hAnsi="Times New Roman" w:cs="Times New Roman"/>
          <w:sz w:val="22"/>
          <w:szCs w:val="22"/>
        </w:rPr>
        <w:t xml:space="preserve"> och en tryggare informationsöverföring. Potentialen med ett nytt VIS är stor, både i form av minskad administration inom vård och förvaltning samt en effektivering och kvalitetshöjning inom patientvården. </w:t>
      </w:r>
    </w:p>
    <w:p w14:paraId="55D85DF9" w14:textId="23ABF9F7" w:rsidR="00FD2E00" w:rsidRPr="00FD2E00" w:rsidRDefault="000D2CBD" w:rsidP="00FD2E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FD2E00" w:rsidRPr="00FD2E00">
        <w:rPr>
          <w:rFonts w:ascii="Times New Roman" w:eastAsia="Times New Roman" w:hAnsi="Times New Roman" w:cs="Times New Roman"/>
          <w:sz w:val="22"/>
          <w:szCs w:val="22"/>
        </w:rPr>
        <w:t>Projektet bidrar också till förnyade</w:t>
      </w:r>
      <w:r w:rsidR="0051706E">
        <w:rPr>
          <w:rFonts w:ascii="Times New Roman" w:eastAsia="Times New Roman" w:hAnsi="Times New Roman" w:cs="Times New Roman"/>
          <w:sz w:val="22"/>
          <w:szCs w:val="22"/>
        </w:rPr>
        <w:t xml:space="preserve"> och</w:t>
      </w:r>
      <w:r w:rsidR="00FD2E00" w:rsidRPr="00FD2E00">
        <w:rPr>
          <w:rFonts w:ascii="Times New Roman" w:eastAsia="Times New Roman" w:hAnsi="Times New Roman" w:cs="Times New Roman"/>
          <w:sz w:val="22"/>
          <w:szCs w:val="22"/>
        </w:rPr>
        <w:t xml:space="preserve"> patientfokuserade arbetssätt </w:t>
      </w:r>
      <w:r w:rsidR="0051706E">
        <w:rPr>
          <w:rFonts w:ascii="Times New Roman" w:eastAsia="Times New Roman" w:hAnsi="Times New Roman" w:cs="Times New Roman"/>
          <w:sz w:val="22"/>
          <w:szCs w:val="22"/>
        </w:rPr>
        <w:t>samt</w:t>
      </w:r>
      <w:r w:rsidR="00FD2E00" w:rsidRPr="00FD2E00">
        <w:rPr>
          <w:rFonts w:ascii="Times New Roman" w:eastAsia="Times New Roman" w:hAnsi="Times New Roman" w:cs="Times New Roman"/>
          <w:sz w:val="22"/>
          <w:szCs w:val="22"/>
        </w:rPr>
        <w:t xml:space="preserve"> standardiserade vårdplaner som höjer patientsäkerheten, kvalitetssäkrar och bidrar till verksamhetsutveckling. Patientsäkerheten höjs också av att ÅHS får gemensamma termer och begrepp.</w:t>
      </w:r>
    </w:p>
    <w:p w14:paraId="6899EA87" w14:textId="77777777" w:rsidR="00FD2E00" w:rsidRPr="00FD2E00" w:rsidRDefault="00FD2E00" w:rsidP="00FD2E00">
      <w:pPr>
        <w:pStyle w:val="Brdtext"/>
        <w:spacing w:line="240" w:lineRule="auto"/>
        <w:rPr>
          <w:sz w:val="22"/>
          <w:szCs w:val="22"/>
        </w:rPr>
      </w:pPr>
    </w:p>
    <w:p w14:paraId="73C72B69" w14:textId="77777777" w:rsidR="00FD2E00" w:rsidRPr="00FD2E00" w:rsidRDefault="00FD2E00" w:rsidP="000D2CBD">
      <w:pPr>
        <w:pStyle w:val="RubrikD"/>
      </w:pPr>
      <w:r w:rsidRPr="00FD2E00">
        <w:t>Projektmål</w:t>
      </w:r>
    </w:p>
    <w:p w14:paraId="2E89B899" w14:textId="3B156B06" w:rsidR="00FD2E00" w:rsidRPr="00FD2E00" w:rsidRDefault="000D2CBD" w:rsidP="00FD2E00">
      <w:pPr>
        <w:pStyle w:val="Brdtext"/>
        <w:spacing w:line="240" w:lineRule="auto"/>
        <w:rPr>
          <w:sz w:val="22"/>
          <w:szCs w:val="22"/>
        </w:rPr>
      </w:pPr>
      <w:r w:rsidRPr="7C190DF7">
        <w:rPr>
          <w:sz w:val="22"/>
          <w:szCs w:val="22"/>
        </w:rPr>
        <w:t xml:space="preserve">   </w:t>
      </w:r>
      <w:r w:rsidR="00FD2E00" w:rsidRPr="7C190DF7">
        <w:rPr>
          <w:sz w:val="22"/>
          <w:szCs w:val="22"/>
        </w:rPr>
        <w:t xml:space="preserve">Projektets mål bidrar till att ÅHS inom år 2021 har upphandlat ett nytt VIS som fungerar på svenska, men är kopplat till Finland, till finländska register och till åländska och finska lagar genom ett upphandlingssätt </w:t>
      </w:r>
      <w:r w:rsidR="0051706E">
        <w:rPr>
          <w:sz w:val="22"/>
          <w:szCs w:val="22"/>
        </w:rPr>
        <w:t>kallat</w:t>
      </w:r>
      <w:r w:rsidR="00FD2E00" w:rsidRPr="7C190DF7">
        <w:rPr>
          <w:sz w:val="22"/>
          <w:szCs w:val="22"/>
        </w:rPr>
        <w:t xml:space="preserve"> konkurrenspräglad dialog.</w:t>
      </w:r>
      <w:r w:rsidR="00FD2E00" w:rsidRPr="7C190DF7">
        <w:rPr>
          <w:sz w:val="22"/>
          <w:szCs w:val="22"/>
          <w:lang w:val="sv-FI"/>
        </w:rPr>
        <w:t xml:space="preserve"> </w:t>
      </w:r>
      <w:r w:rsidR="00FD2E00" w:rsidRPr="7C190DF7">
        <w:rPr>
          <w:sz w:val="22"/>
          <w:szCs w:val="22"/>
        </w:rPr>
        <w:t xml:space="preserve">Arbetet med vårdprocesser inom projektet bidrar till verksamhetsutveckling, kvalitetssäkring och en ökad patientsäkerhet genom att ÅHS får en gemensam journalterminologi samt gemensamma vårdprocesser och </w:t>
      </w:r>
      <w:r w:rsidR="00D800BC">
        <w:rPr>
          <w:sz w:val="22"/>
          <w:szCs w:val="22"/>
        </w:rPr>
        <w:t>vård</w:t>
      </w:r>
      <w:r w:rsidR="00FD2E00" w:rsidRPr="7C190DF7">
        <w:rPr>
          <w:sz w:val="22"/>
          <w:szCs w:val="22"/>
        </w:rPr>
        <w:t>mallar.</w:t>
      </w:r>
      <w:r w:rsidR="55DE90F1" w:rsidRPr="7C190DF7">
        <w:rPr>
          <w:sz w:val="22"/>
          <w:szCs w:val="22"/>
        </w:rPr>
        <w:t xml:space="preserve"> </w:t>
      </w:r>
      <w:r w:rsidR="00D800BC">
        <w:rPr>
          <w:sz w:val="22"/>
          <w:szCs w:val="22"/>
        </w:rPr>
        <w:t>Projektet medför även en ö</w:t>
      </w:r>
      <w:r w:rsidR="00FD2E00" w:rsidRPr="7C190DF7">
        <w:rPr>
          <w:sz w:val="22"/>
          <w:szCs w:val="22"/>
        </w:rPr>
        <w:t>kad nivå av säkerhet, så som bättre tillgänglighet och ökad spårbarhet</w:t>
      </w:r>
      <w:r w:rsidR="3E54F2B6" w:rsidRPr="7C190DF7">
        <w:rPr>
          <w:sz w:val="22"/>
          <w:szCs w:val="22"/>
        </w:rPr>
        <w:t>.</w:t>
      </w:r>
    </w:p>
    <w:p w14:paraId="747B8EA2" w14:textId="77777777" w:rsidR="00FD2E00" w:rsidRPr="00FD2E00" w:rsidRDefault="00FD2E00" w:rsidP="00FD2E00">
      <w:pPr>
        <w:pStyle w:val="Brdtext"/>
        <w:spacing w:line="240" w:lineRule="auto"/>
        <w:rPr>
          <w:sz w:val="22"/>
          <w:szCs w:val="22"/>
          <w:lang w:val="sv-FI"/>
        </w:rPr>
      </w:pPr>
    </w:p>
    <w:p w14:paraId="431BE0E0" w14:textId="77777777" w:rsidR="00FD2E00" w:rsidRPr="00FD2E00" w:rsidRDefault="00FD2E00" w:rsidP="000D2CBD">
      <w:pPr>
        <w:pStyle w:val="RubrikD"/>
        <w:rPr>
          <w:lang w:val="sv-FI"/>
        </w:rPr>
      </w:pPr>
      <w:r w:rsidRPr="00FD2E00">
        <w:rPr>
          <w:lang w:val="sv-FI"/>
        </w:rPr>
        <w:t>Upphandling och införande</w:t>
      </w:r>
    </w:p>
    <w:p w14:paraId="44674B08" w14:textId="2B50F7FF" w:rsidR="00FD2E00" w:rsidRDefault="000D2CBD" w:rsidP="00FD2E00">
      <w:pPr>
        <w:rPr>
          <w:rFonts w:ascii="Times New Roman" w:hAnsi="Times New Roman" w:cs="Times New Roman"/>
          <w:sz w:val="22"/>
          <w:szCs w:val="22"/>
        </w:rPr>
      </w:pPr>
      <w:r w:rsidRPr="7C190DF7">
        <w:rPr>
          <w:rFonts w:ascii="Times New Roman" w:hAnsi="Times New Roman" w:cs="Times New Roman"/>
          <w:sz w:val="22"/>
          <w:szCs w:val="22"/>
        </w:rPr>
        <w:t xml:space="preserve">   </w:t>
      </w:r>
      <w:r w:rsidR="00FD2E00" w:rsidRPr="7C190DF7">
        <w:rPr>
          <w:rFonts w:ascii="Times New Roman" w:hAnsi="Times New Roman" w:cs="Times New Roman"/>
          <w:sz w:val="22"/>
          <w:szCs w:val="22"/>
        </w:rPr>
        <w:t xml:space="preserve">Upphandlingen kommer att skötas genom konkurrenspräglad dialog vilket ger en större trygghet gällande förhållandet mellan kvalitet och kostnader. Upphandlingen kan bättre styras genom detta förfaringssätt. Upphandlingsannonsen publiceras i slutet av </w:t>
      </w:r>
      <w:r w:rsidR="3531038A" w:rsidRPr="7C190DF7">
        <w:rPr>
          <w:rFonts w:ascii="Times New Roman" w:hAnsi="Times New Roman" w:cs="Times New Roman"/>
          <w:sz w:val="22"/>
          <w:szCs w:val="22"/>
        </w:rPr>
        <w:t xml:space="preserve">år </w:t>
      </w:r>
      <w:r w:rsidR="00FD2E00" w:rsidRPr="7C190DF7">
        <w:rPr>
          <w:rFonts w:ascii="Times New Roman" w:hAnsi="Times New Roman" w:cs="Times New Roman"/>
          <w:sz w:val="22"/>
          <w:szCs w:val="22"/>
        </w:rPr>
        <w:t xml:space="preserve">2020 och upphandlingen slutförs under 2021 så att avtal med tilltänkt leverantör kan tecknas i början av 2022. Under </w:t>
      </w:r>
      <w:r w:rsidR="00D7D3AE" w:rsidRPr="7C190DF7">
        <w:rPr>
          <w:rFonts w:ascii="Times New Roman" w:hAnsi="Times New Roman" w:cs="Times New Roman"/>
          <w:sz w:val="22"/>
          <w:szCs w:val="22"/>
        </w:rPr>
        <w:t xml:space="preserve">år </w:t>
      </w:r>
      <w:r w:rsidR="00FD2E00" w:rsidRPr="7C190DF7">
        <w:rPr>
          <w:rFonts w:ascii="Times New Roman" w:hAnsi="Times New Roman" w:cs="Times New Roman"/>
          <w:sz w:val="22"/>
          <w:szCs w:val="22"/>
        </w:rPr>
        <w:t>2022 och vidare sker den gradvisa implementeringen av ett nytt system och nya processer.</w:t>
      </w:r>
    </w:p>
    <w:p w14:paraId="5C46AEB4" w14:textId="1EA90AA8" w:rsidR="0095492D" w:rsidRDefault="0095492D" w:rsidP="00FD2E00">
      <w:pPr>
        <w:rPr>
          <w:rFonts w:ascii="Times New Roman" w:hAnsi="Times New Roman" w:cs="Times New Roman"/>
          <w:sz w:val="22"/>
          <w:szCs w:val="22"/>
        </w:rPr>
      </w:pPr>
    </w:p>
    <w:p w14:paraId="2563C6C7" w14:textId="77777777" w:rsidR="00AC156D" w:rsidRDefault="00AC156D" w:rsidP="00FD2E00">
      <w:pPr>
        <w:rPr>
          <w:rFonts w:ascii="Times New Roman" w:hAnsi="Times New Roman" w:cs="Times New Roman"/>
          <w:sz w:val="22"/>
          <w:szCs w:val="22"/>
        </w:rPr>
      </w:pPr>
    </w:p>
    <w:p w14:paraId="08469996" w14:textId="77777777" w:rsidR="00AC156D" w:rsidRDefault="00AC156D" w:rsidP="00FD2E00">
      <w:pPr>
        <w:rPr>
          <w:rFonts w:ascii="Times New Roman" w:hAnsi="Times New Roman" w:cs="Times New Roman"/>
          <w:sz w:val="22"/>
          <w:szCs w:val="22"/>
        </w:rPr>
      </w:pPr>
    </w:p>
    <w:p w14:paraId="560A8BA6" w14:textId="7FCD7676" w:rsidR="0095492D" w:rsidRPr="0095492D" w:rsidRDefault="0095492D" w:rsidP="00FD2E00">
      <w:pPr>
        <w:rPr>
          <w:rFonts w:ascii="Times New Roman" w:hAnsi="Times New Roman" w:cs="Times New Roman"/>
          <w:i/>
          <w:iCs/>
          <w:sz w:val="22"/>
          <w:szCs w:val="22"/>
        </w:rPr>
      </w:pPr>
      <w:r w:rsidRPr="0095492D">
        <w:rPr>
          <w:rFonts w:ascii="Times New Roman" w:hAnsi="Times New Roman" w:cs="Times New Roman"/>
          <w:sz w:val="22"/>
          <w:szCs w:val="22"/>
        </w:rPr>
        <w:lastRenderedPageBreak/>
        <w:t xml:space="preserve">Projektet uppfyller väl kriterierna för EU:s återhämtningsfonds flagg-skeppsområde </w:t>
      </w:r>
      <w:r>
        <w:rPr>
          <w:rFonts w:ascii="Times New Roman" w:hAnsi="Times New Roman" w:cs="Times New Roman"/>
          <w:sz w:val="22"/>
          <w:szCs w:val="22"/>
        </w:rPr>
        <w:t>5</w:t>
      </w:r>
      <w:r w:rsidRPr="0095492D">
        <w:rPr>
          <w:rFonts w:ascii="Times New Roman" w:hAnsi="Times New Roman" w:cs="Times New Roman"/>
          <w:i/>
          <w:iCs/>
          <w:sz w:val="22"/>
          <w:szCs w:val="22"/>
        </w:rPr>
        <w:t>:</w:t>
      </w:r>
      <w:r w:rsidRPr="0095492D">
        <w:rPr>
          <w:i/>
          <w:iCs/>
        </w:rPr>
        <w:t xml:space="preserve"> </w:t>
      </w:r>
      <w:r w:rsidRPr="0095492D">
        <w:rPr>
          <w:rFonts w:ascii="Times New Roman" w:hAnsi="Times New Roman" w:cs="Times New Roman"/>
          <w:i/>
          <w:iCs/>
          <w:sz w:val="22"/>
          <w:szCs w:val="22"/>
        </w:rPr>
        <w:t xml:space="preserve">Modernisering - Digitalisering av offentlig förvaltning och offentliga tjänster, inbegripet rättsväsende och hälso- och </w:t>
      </w:r>
      <w:proofErr w:type="spellStart"/>
      <w:r w:rsidRPr="0095492D">
        <w:rPr>
          <w:rFonts w:ascii="Times New Roman" w:hAnsi="Times New Roman" w:cs="Times New Roman"/>
          <w:i/>
          <w:iCs/>
          <w:sz w:val="22"/>
          <w:szCs w:val="22"/>
        </w:rPr>
        <w:t>sjukvårdsstem</w:t>
      </w:r>
      <w:proofErr w:type="spellEnd"/>
      <w:r w:rsidRPr="0095492D">
        <w:rPr>
          <w:rFonts w:ascii="Times New Roman" w:hAnsi="Times New Roman" w:cs="Times New Roman"/>
          <w:i/>
          <w:iCs/>
          <w:sz w:val="22"/>
          <w:szCs w:val="22"/>
        </w:rPr>
        <w:t>.</w:t>
      </w:r>
    </w:p>
    <w:p w14:paraId="28CEC942" w14:textId="200BB03C" w:rsidR="0077455E" w:rsidRDefault="0077455E" w:rsidP="00FD2E00">
      <w:pPr>
        <w:rPr>
          <w:rFonts w:ascii="Times New Roman" w:hAnsi="Times New Roman" w:cs="Times New Roman"/>
          <w:sz w:val="22"/>
          <w:szCs w:val="22"/>
        </w:rPr>
      </w:pPr>
    </w:p>
    <w:p w14:paraId="7B74BDAB" w14:textId="19B93089" w:rsidR="0077455E" w:rsidRPr="00FD2E00" w:rsidRDefault="0077455E" w:rsidP="00FD2E00">
      <w:pPr>
        <w:rPr>
          <w:rFonts w:ascii="Times New Roman" w:hAnsi="Times New Roman" w:cs="Times New Roman"/>
          <w:sz w:val="22"/>
          <w:szCs w:val="22"/>
        </w:rPr>
      </w:pPr>
      <w:r w:rsidRPr="0077455E">
        <w:rPr>
          <w:rFonts w:ascii="Times New Roman" w:hAnsi="Times New Roman" w:cs="Times New Roman"/>
          <w:i/>
          <w:iCs/>
          <w:sz w:val="22"/>
          <w:szCs w:val="22"/>
        </w:rPr>
        <w:t xml:space="preserve">Totalt omfattar reform- och investeringsprojekt </w:t>
      </w:r>
      <w:r>
        <w:rPr>
          <w:rFonts w:ascii="Times New Roman" w:hAnsi="Times New Roman" w:cs="Times New Roman"/>
          <w:i/>
          <w:iCs/>
          <w:sz w:val="22"/>
          <w:szCs w:val="22"/>
        </w:rPr>
        <w:t>C</w:t>
      </w:r>
      <w:r w:rsidRPr="0077455E">
        <w:rPr>
          <w:rFonts w:ascii="Times New Roman" w:hAnsi="Times New Roman" w:cs="Times New Roman"/>
          <w:i/>
          <w:iCs/>
          <w:sz w:val="22"/>
          <w:szCs w:val="22"/>
        </w:rPr>
        <w:t xml:space="preserve"> ca </w:t>
      </w:r>
      <w:r>
        <w:rPr>
          <w:rFonts w:ascii="Times New Roman" w:hAnsi="Times New Roman" w:cs="Times New Roman"/>
          <w:i/>
          <w:iCs/>
          <w:sz w:val="22"/>
          <w:szCs w:val="22"/>
        </w:rPr>
        <w:t>4,8</w:t>
      </w:r>
      <w:r w:rsidRPr="0077455E">
        <w:rPr>
          <w:rFonts w:ascii="Times New Roman" w:hAnsi="Times New Roman" w:cs="Times New Roman"/>
          <w:i/>
          <w:iCs/>
          <w:sz w:val="22"/>
          <w:szCs w:val="22"/>
        </w:rPr>
        <w:t xml:space="preserve"> miljoner euro.</w:t>
      </w:r>
    </w:p>
    <w:p w14:paraId="258EE2DA" w14:textId="77777777" w:rsidR="0077455E" w:rsidRDefault="0077455E" w:rsidP="000D2CBD">
      <w:pPr>
        <w:rPr>
          <w:rFonts w:ascii="Times New Roman" w:hAnsi="Times New Roman" w:cs="Times New Roman"/>
          <w:sz w:val="22"/>
          <w:szCs w:val="22"/>
        </w:rPr>
      </w:pPr>
    </w:p>
    <w:p w14:paraId="08C97C4B" w14:textId="3D4545AD" w:rsidR="00D00ADE" w:rsidRPr="0077455E" w:rsidRDefault="00FD2E00" w:rsidP="000D2CBD">
      <w:pPr>
        <w:rPr>
          <w:rFonts w:ascii="Times New Roman" w:hAnsi="Times New Roman" w:cs="Times New Roman"/>
          <w:i/>
          <w:iCs/>
          <w:sz w:val="22"/>
          <w:szCs w:val="22"/>
        </w:rPr>
      </w:pPr>
      <w:r w:rsidRPr="0077455E">
        <w:rPr>
          <w:rFonts w:ascii="Times New Roman" w:hAnsi="Times New Roman" w:cs="Times New Roman"/>
          <w:i/>
          <w:iCs/>
          <w:sz w:val="22"/>
          <w:szCs w:val="22"/>
        </w:rPr>
        <w:t>Investeringen leder till en ökad driftskostnad där en årlig kostnad för drift uppskattas till 1,0 miljon euro (exklusive avskrivningar).</w:t>
      </w:r>
    </w:p>
    <w:p w14:paraId="5E218FED" w14:textId="489B62FF" w:rsidR="0077455E" w:rsidRDefault="0077455E" w:rsidP="000D2CBD">
      <w:pPr>
        <w:rPr>
          <w:rFonts w:ascii="Times New Roman" w:hAnsi="Times New Roman" w:cs="Times New Roman"/>
          <w:sz w:val="22"/>
          <w:szCs w:val="22"/>
        </w:rPr>
      </w:pPr>
    </w:p>
    <w:p w14:paraId="4E69AB90" w14:textId="77777777" w:rsidR="0077455E" w:rsidRDefault="0077455E" w:rsidP="000D2CBD">
      <w:pPr>
        <w:rPr>
          <w:rFonts w:ascii="Times New Roman" w:hAnsi="Times New Roman" w:cs="Times New Roman"/>
          <w:sz w:val="22"/>
          <w:szCs w:val="22"/>
        </w:rPr>
      </w:pPr>
    </w:p>
    <w:p w14:paraId="1D8D91B4" w14:textId="77777777" w:rsidR="000D2CBD" w:rsidRPr="000D2CBD" w:rsidRDefault="000D2CBD" w:rsidP="000D2CBD">
      <w:pPr>
        <w:pStyle w:val="RubrikB"/>
      </w:pPr>
      <w:r w:rsidRPr="000D2CBD">
        <w:t>D. Fossilfri trafik</w:t>
      </w:r>
    </w:p>
    <w:p w14:paraId="036D922E" w14:textId="5B1B798F" w:rsidR="000D2CBD" w:rsidRDefault="000D2CBD" w:rsidP="000D2CBD">
      <w:pPr>
        <w:rPr>
          <w:rFonts w:ascii="Times New Roman" w:hAnsi="Times New Roman" w:cs="Times New Roman"/>
          <w:sz w:val="22"/>
          <w:szCs w:val="22"/>
        </w:rPr>
      </w:pPr>
    </w:p>
    <w:p w14:paraId="6FF9BC94" w14:textId="77777777" w:rsidR="00535F88" w:rsidRPr="00535F88" w:rsidRDefault="00535F88" w:rsidP="00535F88">
      <w:pPr>
        <w:pStyle w:val="RubrikD"/>
      </w:pPr>
      <w:r w:rsidRPr="00535F88">
        <w:t>Elfordonstrafik</w:t>
      </w:r>
    </w:p>
    <w:p w14:paraId="37D84820" w14:textId="656C43A5" w:rsidR="00270221" w:rsidRPr="00AC156D" w:rsidRDefault="00270221" w:rsidP="00535F88">
      <w:pPr>
        <w:rPr>
          <w:rFonts w:ascii="Times New Roman" w:hAnsi="Times New Roman" w:cs="Times New Roman"/>
          <w:sz w:val="22"/>
          <w:szCs w:val="22"/>
        </w:rPr>
      </w:pPr>
      <w:r w:rsidRPr="00AC156D">
        <w:rPr>
          <w:rFonts w:ascii="Times New Roman" w:hAnsi="Times New Roman" w:cs="Times New Roman"/>
          <w:sz w:val="22"/>
          <w:szCs w:val="22"/>
        </w:rPr>
        <w:t xml:space="preserve">Reform- och investeringsprojektet syftar till att bidra till att Åland </w:t>
      </w:r>
      <w:r w:rsidRPr="00AC156D">
        <w:rPr>
          <w:rFonts w:ascii="Times New Roman" w:eastAsia="Times New Roman" w:hAnsi="Times New Roman" w:cs="Times New Roman"/>
          <w:sz w:val="22"/>
          <w:szCs w:val="22"/>
          <w:lang w:eastAsia="sv-FI"/>
        </w:rPr>
        <w:t xml:space="preserve">påskyndar användningen av hållbara, tillgängliga och smarta transporter, utbyggnaden av laddningsstationer </w:t>
      </w:r>
      <w:r w:rsidR="00D800BC" w:rsidRPr="00AC156D">
        <w:rPr>
          <w:rFonts w:ascii="Times New Roman" w:eastAsia="Times New Roman" w:hAnsi="Times New Roman" w:cs="Times New Roman"/>
          <w:sz w:val="22"/>
          <w:szCs w:val="22"/>
          <w:lang w:eastAsia="sv-FI"/>
        </w:rPr>
        <w:t>samt</w:t>
      </w:r>
      <w:r w:rsidRPr="00AC156D">
        <w:rPr>
          <w:rFonts w:ascii="Times New Roman" w:eastAsia="Times New Roman" w:hAnsi="Times New Roman" w:cs="Times New Roman"/>
          <w:sz w:val="22"/>
          <w:szCs w:val="22"/>
          <w:lang w:eastAsia="sv-FI"/>
        </w:rPr>
        <w:t xml:space="preserve"> </w:t>
      </w:r>
      <w:r w:rsidR="00212E89" w:rsidRPr="00AC156D">
        <w:rPr>
          <w:rFonts w:ascii="Times New Roman" w:eastAsia="Times New Roman" w:hAnsi="Times New Roman" w:cs="Times New Roman"/>
          <w:sz w:val="22"/>
          <w:szCs w:val="22"/>
          <w:lang w:eastAsia="sv-FI"/>
        </w:rPr>
        <w:t xml:space="preserve">utvecklingen </w:t>
      </w:r>
      <w:r w:rsidRPr="00AC156D">
        <w:rPr>
          <w:rFonts w:ascii="Times New Roman" w:eastAsia="Times New Roman" w:hAnsi="Times New Roman" w:cs="Times New Roman"/>
          <w:sz w:val="22"/>
          <w:szCs w:val="22"/>
          <w:lang w:eastAsia="sv-FI"/>
        </w:rPr>
        <w:t xml:space="preserve">av </w:t>
      </w:r>
      <w:r w:rsidR="00212E89" w:rsidRPr="00AC156D">
        <w:rPr>
          <w:rFonts w:ascii="Times New Roman" w:eastAsia="Times New Roman" w:hAnsi="Times New Roman" w:cs="Times New Roman"/>
          <w:sz w:val="22"/>
          <w:szCs w:val="22"/>
          <w:lang w:eastAsia="sv-FI"/>
        </w:rPr>
        <w:t xml:space="preserve">en attraktiv </w:t>
      </w:r>
      <w:r w:rsidRPr="00AC156D">
        <w:rPr>
          <w:rFonts w:ascii="Times New Roman" w:eastAsia="Times New Roman" w:hAnsi="Times New Roman" w:cs="Times New Roman"/>
          <w:sz w:val="22"/>
          <w:szCs w:val="22"/>
          <w:lang w:eastAsia="sv-FI"/>
        </w:rPr>
        <w:t>kollektivtrafik.</w:t>
      </w:r>
    </w:p>
    <w:p w14:paraId="5AC474A6" w14:textId="71F4B06C" w:rsidR="00535F88" w:rsidRDefault="00270221" w:rsidP="00535F88">
      <w:pPr>
        <w:rPr>
          <w:rFonts w:ascii="Times New Roman" w:hAnsi="Times New Roman" w:cs="Times New Roman"/>
          <w:sz w:val="22"/>
          <w:szCs w:val="22"/>
        </w:rPr>
      </w:pPr>
      <w:r>
        <w:rPr>
          <w:rFonts w:ascii="Times New Roman" w:hAnsi="Times New Roman" w:cs="Times New Roman"/>
          <w:sz w:val="22"/>
          <w:szCs w:val="22"/>
        </w:rPr>
        <w:t xml:space="preserve">   </w:t>
      </w:r>
      <w:r w:rsidR="00535F88" w:rsidRPr="00535F88">
        <w:rPr>
          <w:rFonts w:ascii="Times New Roman" w:hAnsi="Times New Roman" w:cs="Times New Roman"/>
          <w:sz w:val="22"/>
          <w:szCs w:val="22"/>
        </w:rPr>
        <w:t xml:space="preserve">Både Sverige och Finland tillhandahåller ett investeringsstöd för eldrivna personfordon. För att accelerera omställningen i riktningen mot fossilfri </w:t>
      </w:r>
      <w:r w:rsidR="00DB6A34">
        <w:rPr>
          <w:rFonts w:ascii="Times New Roman" w:hAnsi="Times New Roman" w:cs="Times New Roman"/>
          <w:sz w:val="22"/>
          <w:szCs w:val="22"/>
        </w:rPr>
        <w:t>trafik bedömer landskapsregeringen att ett stöd för elfordon är ett bra verktyg.</w:t>
      </w:r>
    </w:p>
    <w:p w14:paraId="5C198CDE" w14:textId="209D9F0E" w:rsidR="00270221" w:rsidRPr="00270221" w:rsidRDefault="00270221" w:rsidP="00270221">
      <w:pPr>
        <w:rPr>
          <w:rFonts w:ascii="Times New Roman" w:hAnsi="Times New Roman" w:cs="Times New Roman"/>
          <w:sz w:val="22"/>
          <w:szCs w:val="22"/>
        </w:rPr>
      </w:pPr>
      <w:r>
        <w:rPr>
          <w:rFonts w:ascii="Times New Roman" w:hAnsi="Times New Roman" w:cs="Times New Roman"/>
          <w:sz w:val="22"/>
          <w:szCs w:val="22"/>
        </w:rPr>
        <w:t xml:space="preserve">   Projektet innebär en uppväxling </w:t>
      </w:r>
      <w:r w:rsidR="00E91BFB">
        <w:rPr>
          <w:rFonts w:ascii="Times New Roman" w:hAnsi="Times New Roman" w:cs="Times New Roman"/>
          <w:sz w:val="22"/>
          <w:szCs w:val="22"/>
        </w:rPr>
        <w:t xml:space="preserve">och elektrifiering </w:t>
      </w:r>
      <w:r>
        <w:rPr>
          <w:rFonts w:ascii="Times New Roman" w:hAnsi="Times New Roman" w:cs="Times New Roman"/>
          <w:sz w:val="22"/>
          <w:szCs w:val="22"/>
        </w:rPr>
        <w:t xml:space="preserve">av kollektivtrafiken </w:t>
      </w:r>
      <w:r w:rsidR="00E91BFB">
        <w:rPr>
          <w:rFonts w:ascii="Times New Roman" w:hAnsi="Times New Roman" w:cs="Times New Roman"/>
          <w:sz w:val="22"/>
          <w:szCs w:val="22"/>
        </w:rPr>
        <w:t xml:space="preserve">i </w:t>
      </w:r>
      <w:r w:rsidRPr="00270221">
        <w:rPr>
          <w:rFonts w:ascii="Times New Roman" w:hAnsi="Times New Roman" w:cs="Times New Roman"/>
          <w:sz w:val="22"/>
          <w:szCs w:val="22"/>
        </w:rPr>
        <w:t>tätorts</w:t>
      </w:r>
      <w:r w:rsidR="00E91BFB">
        <w:rPr>
          <w:rFonts w:ascii="Times New Roman" w:hAnsi="Times New Roman" w:cs="Times New Roman"/>
          <w:sz w:val="22"/>
          <w:szCs w:val="22"/>
        </w:rPr>
        <w:t xml:space="preserve">området </w:t>
      </w:r>
      <w:r w:rsidRPr="00270221">
        <w:rPr>
          <w:rFonts w:ascii="Times New Roman" w:hAnsi="Times New Roman" w:cs="Times New Roman"/>
          <w:sz w:val="22"/>
          <w:szCs w:val="22"/>
        </w:rPr>
        <w:t xml:space="preserve">med </w:t>
      </w:r>
      <w:proofErr w:type="spellStart"/>
      <w:r w:rsidRPr="00270221">
        <w:rPr>
          <w:rFonts w:ascii="Times New Roman" w:hAnsi="Times New Roman" w:cs="Times New Roman"/>
          <w:sz w:val="22"/>
          <w:szCs w:val="22"/>
        </w:rPr>
        <w:t>driftstart</w:t>
      </w:r>
      <w:proofErr w:type="spellEnd"/>
      <w:r w:rsidRPr="00270221">
        <w:rPr>
          <w:rFonts w:ascii="Times New Roman" w:hAnsi="Times New Roman" w:cs="Times New Roman"/>
          <w:sz w:val="22"/>
          <w:szCs w:val="22"/>
        </w:rPr>
        <w:t xml:space="preserve"> </w:t>
      </w:r>
      <w:r w:rsidR="00E91BFB">
        <w:rPr>
          <w:rFonts w:ascii="Times New Roman" w:hAnsi="Times New Roman" w:cs="Times New Roman"/>
          <w:sz w:val="22"/>
          <w:szCs w:val="22"/>
        </w:rPr>
        <w:t xml:space="preserve">i januari </w:t>
      </w:r>
      <w:r w:rsidRPr="00270221">
        <w:rPr>
          <w:rFonts w:ascii="Times New Roman" w:hAnsi="Times New Roman" w:cs="Times New Roman"/>
          <w:sz w:val="22"/>
          <w:szCs w:val="22"/>
        </w:rPr>
        <w:t>2022</w:t>
      </w:r>
      <w:r w:rsidR="00E91BFB">
        <w:rPr>
          <w:rFonts w:ascii="Times New Roman" w:hAnsi="Times New Roman" w:cs="Times New Roman"/>
          <w:sz w:val="22"/>
          <w:szCs w:val="22"/>
        </w:rPr>
        <w:t xml:space="preserve">. </w:t>
      </w:r>
      <w:r w:rsidR="00DB6A34">
        <w:rPr>
          <w:rFonts w:ascii="Times New Roman" w:hAnsi="Times New Roman" w:cs="Times New Roman"/>
          <w:sz w:val="22"/>
          <w:szCs w:val="22"/>
        </w:rPr>
        <w:t xml:space="preserve">Målsättningen är att </w:t>
      </w:r>
      <w:r w:rsidRPr="00270221">
        <w:rPr>
          <w:rFonts w:ascii="Times New Roman" w:hAnsi="Times New Roman" w:cs="Times New Roman"/>
          <w:sz w:val="22"/>
          <w:szCs w:val="22"/>
        </w:rPr>
        <w:t>även landsortstrafiken ska vara fossilfri. Tätortstrafiken kräver en fordonspark på fem eldrivna kollektivtrafikfordon. Arbetet med trafikförsörjningsprogrammet pågår och det har identifierats att aktörer</w:t>
      </w:r>
      <w:r w:rsidR="005373E8">
        <w:rPr>
          <w:rFonts w:ascii="Times New Roman" w:hAnsi="Times New Roman" w:cs="Times New Roman"/>
          <w:sz w:val="22"/>
          <w:szCs w:val="22"/>
        </w:rPr>
        <w:t xml:space="preserve"> i samhället</w:t>
      </w:r>
      <w:r w:rsidRPr="00270221">
        <w:rPr>
          <w:rFonts w:ascii="Times New Roman" w:hAnsi="Times New Roman" w:cs="Times New Roman"/>
          <w:sz w:val="22"/>
          <w:szCs w:val="22"/>
        </w:rPr>
        <w:t xml:space="preserve"> kommer att ha utmaningar med att investera i eldriv</w:t>
      </w:r>
      <w:r w:rsidR="005373E8">
        <w:rPr>
          <w:rFonts w:ascii="Times New Roman" w:hAnsi="Times New Roman" w:cs="Times New Roman"/>
          <w:sz w:val="22"/>
          <w:szCs w:val="22"/>
        </w:rPr>
        <w:t>en kollektivtrafik</w:t>
      </w:r>
      <w:r w:rsidRPr="00270221">
        <w:rPr>
          <w:rFonts w:ascii="Times New Roman" w:hAnsi="Times New Roman" w:cs="Times New Roman"/>
          <w:sz w:val="22"/>
          <w:szCs w:val="22"/>
        </w:rPr>
        <w:t xml:space="preserve">. Landskapsregeringen bör </w:t>
      </w:r>
      <w:r w:rsidR="005373E8">
        <w:rPr>
          <w:rFonts w:ascii="Times New Roman" w:hAnsi="Times New Roman" w:cs="Times New Roman"/>
          <w:sz w:val="22"/>
          <w:szCs w:val="22"/>
        </w:rPr>
        <w:t xml:space="preserve">stödja </w:t>
      </w:r>
      <w:r w:rsidRPr="00270221">
        <w:rPr>
          <w:rFonts w:ascii="Times New Roman" w:hAnsi="Times New Roman" w:cs="Times New Roman"/>
          <w:sz w:val="22"/>
          <w:szCs w:val="22"/>
        </w:rPr>
        <w:t>teknikutvecklingen och därför är det motiverat att det investeras i eldrivna kollektivtrafikfordon.</w:t>
      </w:r>
    </w:p>
    <w:p w14:paraId="3DBBD9F3" w14:textId="7C9F596E" w:rsidR="00535F88" w:rsidRDefault="00BB0145" w:rsidP="00535F88">
      <w:pPr>
        <w:rPr>
          <w:rFonts w:ascii="Times New Roman" w:hAnsi="Times New Roman" w:cs="Times New Roman"/>
          <w:sz w:val="22"/>
          <w:szCs w:val="22"/>
        </w:rPr>
      </w:pPr>
      <w:r>
        <w:rPr>
          <w:rFonts w:ascii="Times New Roman" w:hAnsi="Times New Roman" w:cs="Times New Roman"/>
          <w:sz w:val="22"/>
          <w:szCs w:val="22"/>
        </w:rPr>
        <w:t xml:space="preserve">   </w:t>
      </w:r>
      <w:r w:rsidR="00D800BC">
        <w:rPr>
          <w:rFonts w:ascii="Times New Roman" w:hAnsi="Times New Roman" w:cs="Times New Roman"/>
          <w:sz w:val="22"/>
          <w:szCs w:val="22"/>
        </w:rPr>
        <w:t xml:space="preserve">Landskapet Åland </w:t>
      </w:r>
      <w:r w:rsidR="00535F88" w:rsidRPr="00535F88">
        <w:rPr>
          <w:rFonts w:ascii="Times New Roman" w:hAnsi="Times New Roman" w:cs="Times New Roman"/>
          <w:sz w:val="22"/>
          <w:szCs w:val="22"/>
        </w:rPr>
        <w:t xml:space="preserve">tillhandahåller ett stöd för elbilsladdning som gäller för flerbostadshus och egnahemshus. För att försnabba övergången till eldrivna fordon behövs det ytterligare laddningsinfrastruktur i det åländska samhället. Det föreslås därför att anskaffning av laddningsstationer skulle stödas. Dessa laddningsstationer skulle dels vara </w:t>
      </w:r>
      <w:proofErr w:type="gramStart"/>
      <w:r w:rsidR="00535F88" w:rsidRPr="00535F88">
        <w:rPr>
          <w:rFonts w:ascii="Times New Roman" w:hAnsi="Times New Roman" w:cs="Times New Roman"/>
          <w:sz w:val="22"/>
          <w:szCs w:val="22"/>
        </w:rPr>
        <w:t>personbilsladdare men även</w:t>
      </w:r>
      <w:proofErr w:type="gramEnd"/>
      <w:r w:rsidR="00535F88" w:rsidRPr="00535F88">
        <w:rPr>
          <w:rFonts w:ascii="Times New Roman" w:hAnsi="Times New Roman" w:cs="Times New Roman"/>
          <w:sz w:val="22"/>
          <w:szCs w:val="22"/>
        </w:rPr>
        <w:t xml:space="preserve"> bussladdare.</w:t>
      </w:r>
    </w:p>
    <w:p w14:paraId="7167A8EE" w14:textId="5D3F6693" w:rsidR="00270221" w:rsidRPr="00270221" w:rsidRDefault="00270221" w:rsidP="00270221">
      <w:pPr>
        <w:rPr>
          <w:rFonts w:ascii="Times New Roman" w:hAnsi="Times New Roman" w:cs="Times New Roman"/>
          <w:sz w:val="22"/>
          <w:szCs w:val="22"/>
        </w:rPr>
      </w:pPr>
      <w:r>
        <w:rPr>
          <w:rFonts w:ascii="Times New Roman" w:hAnsi="Times New Roman" w:cs="Times New Roman"/>
          <w:sz w:val="22"/>
          <w:szCs w:val="22"/>
        </w:rPr>
        <w:t xml:space="preserve">   </w:t>
      </w:r>
    </w:p>
    <w:p w14:paraId="6C32EEF7" w14:textId="20164B17" w:rsidR="00535F88" w:rsidRPr="0095492D" w:rsidRDefault="00535F88" w:rsidP="0095492D">
      <w:pPr>
        <w:pStyle w:val="ANormal"/>
      </w:pPr>
      <w:bookmarkStart w:id="8" w:name="_Hlk58403587"/>
      <w:r w:rsidRPr="7C190DF7">
        <w:rPr>
          <w:szCs w:val="22"/>
        </w:rPr>
        <w:t>Projektet uppfyller väl kriterierna för EU:s återhämtningsfonds flaggskeppsområde</w:t>
      </w:r>
      <w:r w:rsidR="0095492D">
        <w:rPr>
          <w:szCs w:val="22"/>
        </w:rPr>
        <w:t xml:space="preserve"> 3</w:t>
      </w:r>
      <w:r w:rsidRPr="7C190DF7">
        <w:rPr>
          <w:szCs w:val="22"/>
        </w:rPr>
        <w:t>:</w:t>
      </w:r>
      <w:bookmarkEnd w:id="8"/>
      <w:r w:rsidRPr="7C190DF7">
        <w:rPr>
          <w:szCs w:val="22"/>
        </w:rPr>
        <w:t xml:space="preserve"> </w:t>
      </w:r>
      <w:r w:rsidR="0095492D">
        <w:rPr>
          <w:i/>
          <w:iCs/>
        </w:rPr>
        <w:t>L</w:t>
      </w:r>
      <w:r w:rsidR="0095492D" w:rsidRPr="7C190DF7">
        <w:rPr>
          <w:i/>
          <w:iCs/>
        </w:rPr>
        <w:t>addning och tankning – främjandet av en framtidssäkrad ren teknik för att påskynda användningen av hållbara, tillgängliga och smarta transporter, laddnings- och tankningsstationer och utbyggnad av allmänna kommunikationer.</w:t>
      </w:r>
    </w:p>
    <w:p w14:paraId="59D92742" w14:textId="77777777" w:rsidR="0077455E" w:rsidRDefault="0077455E" w:rsidP="7C190DF7">
      <w:pPr>
        <w:rPr>
          <w:rFonts w:ascii="Times New Roman" w:hAnsi="Times New Roman" w:cs="Times New Roman"/>
          <w:sz w:val="22"/>
          <w:szCs w:val="22"/>
        </w:rPr>
      </w:pPr>
    </w:p>
    <w:p w14:paraId="01880554" w14:textId="1DFACD29" w:rsidR="0077455E" w:rsidRPr="00FD2E00" w:rsidRDefault="0077455E" w:rsidP="0077455E">
      <w:pPr>
        <w:rPr>
          <w:rFonts w:ascii="Times New Roman" w:hAnsi="Times New Roman" w:cs="Times New Roman"/>
          <w:sz w:val="22"/>
          <w:szCs w:val="22"/>
        </w:rPr>
      </w:pPr>
      <w:r w:rsidRPr="0077455E">
        <w:rPr>
          <w:rFonts w:ascii="Times New Roman" w:hAnsi="Times New Roman" w:cs="Times New Roman"/>
          <w:i/>
          <w:iCs/>
          <w:sz w:val="22"/>
          <w:szCs w:val="22"/>
        </w:rPr>
        <w:t xml:space="preserve">Totalt omfattar reform- och investeringsprojekt </w:t>
      </w:r>
      <w:r>
        <w:rPr>
          <w:rFonts w:ascii="Times New Roman" w:hAnsi="Times New Roman" w:cs="Times New Roman"/>
          <w:i/>
          <w:iCs/>
          <w:sz w:val="22"/>
          <w:szCs w:val="22"/>
        </w:rPr>
        <w:t>D</w:t>
      </w:r>
      <w:r w:rsidRPr="0077455E">
        <w:rPr>
          <w:rFonts w:ascii="Times New Roman" w:hAnsi="Times New Roman" w:cs="Times New Roman"/>
          <w:i/>
          <w:iCs/>
          <w:sz w:val="22"/>
          <w:szCs w:val="22"/>
        </w:rPr>
        <w:t xml:space="preserve"> ca </w:t>
      </w:r>
      <w:r w:rsidR="00E7142E">
        <w:rPr>
          <w:rFonts w:ascii="Times New Roman" w:hAnsi="Times New Roman" w:cs="Times New Roman"/>
          <w:i/>
          <w:iCs/>
          <w:sz w:val="22"/>
          <w:szCs w:val="22"/>
        </w:rPr>
        <w:t>4</w:t>
      </w:r>
      <w:r w:rsidRPr="0077455E">
        <w:rPr>
          <w:rFonts w:ascii="Times New Roman" w:hAnsi="Times New Roman" w:cs="Times New Roman"/>
          <w:i/>
          <w:iCs/>
          <w:sz w:val="22"/>
          <w:szCs w:val="22"/>
        </w:rPr>
        <w:t xml:space="preserve"> miljoner euro.</w:t>
      </w:r>
    </w:p>
    <w:p w14:paraId="4BB889B7" w14:textId="77777777" w:rsidR="0077455E" w:rsidRDefault="0077455E" w:rsidP="7C190DF7">
      <w:pPr>
        <w:rPr>
          <w:rFonts w:ascii="Times New Roman" w:hAnsi="Times New Roman" w:cs="Times New Roman"/>
          <w:sz w:val="22"/>
          <w:szCs w:val="22"/>
        </w:rPr>
      </w:pPr>
    </w:p>
    <w:p w14:paraId="35FCC6D3" w14:textId="1B8E4A4D" w:rsidR="00BB0145" w:rsidRPr="000D2CBD" w:rsidRDefault="00BB0145" w:rsidP="7C190DF7">
      <w:pPr>
        <w:rPr>
          <w:rFonts w:ascii="Times New Roman" w:hAnsi="Times New Roman" w:cs="Times New Roman"/>
          <w:b/>
          <w:bCs/>
          <w:sz w:val="22"/>
          <w:szCs w:val="22"/>
        </w:rPr>
      </w:pPr>
    </w:p>
    <w:sectPr w:rsidR="00BB0145" w:rsidRPr="000D2CBD">
      <w:headerReference w:type="even" r:id="rId13"/>
      <w:headerReference w:type="default" r:id="rId14"/>
      <w:footerReference w:type="even" r:id="rId15"/>
      <w:headerReference w:type="first" r:id="rId16"/>
      <w:footerReference w:type="firs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755E3" w14:textId="77777777" w:rsidR="00535F88" w:rsidRDefault="00535F88">
      <w:r>
        <w:separator/>
      </w:r>
    </w:p>
  </w:endnote>
  <w:endnote w:type="continuationSeparator" w:id="0">
    <w:p w14:paraId="5B334133" w14:textId="77777777" w:rsidR="00535F88" w:rsidRDefault="0053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230"/>
      <w:gridCol w:w="2230"/>
      <w:gridCol w:w="2230"/>
    </w:tblGrid>
    <w:tr w:rsidR="7C190DF7" w14:paraId="7ACF646D" w14:textId="77777777" w:rsidTr="7C190DF7">
      <w:tc>
        <w:tcPr>
          <w:tcW w:w="2230" w:type="dxa"/>
        </w:tcPr>
        <w:p w14:paraId="024EF2A3" w14:textId="6EDB542C" w:rsidR="7C190DF7" w:rsidRDefault="7C190DF7" w:rsidP="7C190DF7">
          <w:pPr>
            <w:pStyle w:val="Sidhuvud"/>
            <w:ind w:left="-115"/>
          </w:pPr>
        </w:p>
      </w:tc>
      <w:tc>
        <w:tcPr>
          <w:tcW w:w="2230" w:type="dxa"/>
        </w:tcPr>
        <w:p w14:paraId="5464107A" w14:textId="6F440979" w:rsidR="7C190DF7" w:rsidRDefault="7C190DF7" w:rsidP="7C190DF7">
          <w:pPr>
            <w:pStyle w:val="Sidhuvud"/>
            <w:jc w:val="center"/>
          </w:pPr>
        </w:p>
      </w:tc>
      <w:tc>
        <w:tcPr>
          <w:tcW w:w="2230" w:type="dxa"/>
        </w:tcPr>
        <w:p w14:paraId="6601ABE6" w14:textId="3E090644" w:rsidR="7C190DF7" w:rsidRDefault="7C190DF7" w:rsidP="7C190DF7">
          <w:pPr>
            <w:pStyle w:val="Sidhuvud"/>
            <w:ind w:right="-115"/>
            <w:jc w:val="right"/>
          </w:pPr>
        </w:p>
      </w:tc>
    </w:tr>
  </w:tbl>
  <w:p w14:paraId="57AF23CC" w14:textId="69728C62" w:rsidR="7C190DF7" w:rsidRDefault="7C190DF7" w:rsidP="7C190D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230"/>
      <w:gridCol w:w="2230"/>
      <w:gridCol w:w="2230"/>
    </w:tblGrid>
    <w:tr w:rsidR="7C190DF7" w14:paraId="4C837F29" w14:textId="77777777" w:rsidTr="7C190DF7">
      <w:tc>
        <w:tcPr>
          <w:tcW w:w="2230" w:type="dxa"/>
        </w:tcPr>
        <w:p w14:paraId="7E2324C4" w14:textId="347669A1" w:rsidR="7C190DF7" w:rsidRDefault="7C190DF7" w:rsidP="7C190DF7">
          <w:pPr>
            <w:pStyle w:val="Sidhuvud"/>
            <w:ind w:left="-115"/>
          </w:pPr>
        </w:p>
      </w:tc>
      <w:tc>
        <w:tcPr>
          <w:tcW w:w="2230" w:type="dxa"/>
        </w:tcPr>
        <w:p w14:paraId="63780592" w14:textId="3C06C088" w:rsidR="7C190DF7" w:rsidRDefault="7C190DF7" w:rsidP="7C190DF7">
          <w:pPr>
            <w:pStyle w:val="Sidhuvud"/>
            <w:jc w:val="center"/>
          </w:pPr>
        </w:p>
      </w:tc>
      <w:tc>
        <w:tcPr>
          <w:tcW w:w="2230" w:type="dxa"/>
        </w:tcPr>
        <w:p w14:paraId="6514C084" w14:textId="315A249E" w:rsidR="7C190DF7" w:rsidRDefault="7C190DF7" w:rsidP="7C190DF7">
          <w:pPr>
            <w:pStyle w:val="Sidhuvud"/>
            <w:ind w:right="-115"/>
            <w:jc w:val="right"/>
          </w:pPr>
        </w:p>
      </w:tc>
    </w:tr>
  </w:tbl>
  <w:p w14:paraId="199534BA" w14:textId="65E59E10" w:rsidR="7C190DF7" w:rsidRDefault="7C190DF7" w:rsidP="7C190D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9D975" w14:textId="77777777" w:rsidR="00535F88" w:rsidRDefault="00535F88">
      <w:r>
        <w:separator/>
      </w:r>
    </w:p>
  </w:footnote>
  <w:footnote w:type="continuationSeparator" w:id="0">
    <w:p w14:paraId="382DF652" w14:textId="77777777" w:rsidR="00535F88" w:rsidRDefault="0053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41975" w14:textId="77777777" w:rsidR="00535F88" w:rsidRDefault="00535F88">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6C184C1" w14:textId="77777777" w:rsidR="00535F88" w:rsidRDefault="00535F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4366" w14:textId="77777777" w:rsidR="00535F88" w:rsidRDefault="00535F88">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5</w:t>
    </w:r>
    <w:r>
      <w:rPr>
        <w:rStyle w:val="Sid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230"/>
      <w:gridCol w:w="2230"/>
      <w:gridCol w:w="2230"/>
    </w:tblGrid>
    <w:tr w:rsidR="7C190DF7" w14:paraId="11C8ACB2" w14:textId="77777777" w:rsidTr="7C190DF7">
      <w:tc>
        <w:tcPr>
          <w:tcW w:w="2230" w:type="dxa"/>
        </w:tcPr>
        <w:p w14:paraId="426813DF" w14:textId="7410F24F" w:rsidR="7C190DF7" w:rsidRDefault="7C190DF7" w:rsidP="7C190DF7">
          <w:pPr>
            <w:pStyle w:val="Sidhuvud"/>
            <w:ind w:left="-115"/>
          </w:pPr>
        </w:p>
      </w:tc>
      <w:tc>
        <w:tcPr>
          <w:tcW w:w="2230" w:type="dxa"/>
        </w:tcPr>
        <w:p w14:paraId="05E10A8B" w14:textId="51B144C1" w:rsidR="7C190DF7" w:rsidRDefault="7C190DF7" w:rsidP="7C190DF7">
          <w:pPr>
            <w:pStyle w:val="Sidhuvud"/>
            <w:jc w:val="center"/>
          </w:pPr>
        </w:p>
      </w:tc>
      <w:tc>
        <w:tcPr>
          <w:tcW w:w="2230" w:type="dxa"/>
        </w:tcPr>
        <w:p w14:paraId="323DC23E" w14:textId="3F4761E0" w:rsidR="7C190DF7" w:rsidRDefault="7C190DF7" w:rsidP="7C190DF7">
          <w:pPr>
            <w:pStyle w:val="Sidhuvud"/>
            <w:ind w:right="-115"/>
            <w:jc w:val="right"/>
          </w:pPr>
        </w:p>
      </w:tc>
    </w:tr>
  </w:tbl>
  <w:p w14:paraId="198AD22C" w14:textId="0879AD46" w:rsidR="7C190DF7" w:rsidRDefault="7C190DF7" w:rsidP="7C190D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062D2A0B"/>
    <w:multiLevelType w:val="hybridMultilevel"/>
    <w:tmpl w:val="40EE554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71D1219"/>
    <w:multiLevelType w:val="hybridMultilevel"/>
    <w:tmpl w:val="27AC46DC"/>
    <w:numStyleLink w:val="Importeradestilen1"/>
  </w:abstractNum>
  <w:abstractNum w:abstractNumId="3" w15:restartNumberingAfterBreak="0">
    <w:nsid w:val="15225E69"/>
    <w:multiLevelType w:val="hybridMultilevel"/>
    <w:tmpl w:val="3FCA9BFA"/>
    <w:lvl w:ilvl="0" w:tplc="30E89DD2">
      <w:start w:val="1"/>
      <w:numFmt w:val="decimal"/>
      <w:lvlText w:val="%1."/>
      <w:lvlJc w:val="left"/>
      <w:pPr>
        <w:tabs>
          <w:tab w:val="num" w:pos="720"/>
        </w:tabs>
        <w:ind w:left="720" w:hanging="360"/>
      </w:pPr>
    </w:lvl>
    <w:lvl w:ilvl="1" w:tplc="2BE43C74" w:tentative="1">
      <w:start w:val="1"/>
      <w:numFmt w:val="decimal"/>
      <w:lvlText w:val="%2."/>
      <w:lvlJc w:val="left"/>
      <w:pPr>
        <w:tabs>
          <w:tab w:val="num" w:pos="1440"/>
        </w:tabs>
        <w:ind w:left="1440" w:hanging="360"/>
      </w:pPr>
    </w:lvl>
    <w:lvl w:ilvl="2" w:tplc="910E3B04" w:tentative="1">
      <w:start w:val="1"/>
      <w:numFmt w:val="decimal"/>
      <w:lvlText w:val="%3."/>
      <w:lvlJc w:val="left"/>
      <w:pPr>
        <w:tabs>
          <w:tab w:val="num" w:pos="2160"/>
        </w:tabs>
        <w:ind w:left="2160" w:hanging="360"/>
      </w:pPr>
    </w:lvl>
    <w:lvl w:ilvl="3" w:tplc="8C7259DC" w:tentative="1">
      <w:start w:val="1"/>
      <w:numFmt w:val="decimal"/>
      <w:lvlText w:val="%4."/>
      <w:lvlJc w:val="left"/>
      <w:pPr>
        <w:tabs>
          <w:tab w:val="num" w:pos="2880"/>
        </w:tabs>
        <w:ind w:left="2880" w:hanging="360"/>
      </w:pPr>
    </w:lvl>
    <w:lvl w:ilvl="4" w:tplc="DDB28C5E" w:tentative="1">
      <w:start w:val="1"/>
      <w:numFmt w:val="decimal"/>
      <w:lvlText w:val="%5."/>
      <w:lvlJc w:val="left"/>
      <w:pPr>
        <w:tabs>
          <w:tab w:val="num" w:pos="3600"/>
        </w:tabs>
        <w:ind w:left="3600" w:hanging="360"/>
      </w:pPr>
    </w:lvl>
    <w:lvl w:ilvl="5" w:tplc="81787BF0" w:tentative="1">
      <w:start w:val="1"/>
      <w:numFmt w:val="decimal"/>
      <w:lvlText w:val="%6."/>
      <w:lvlJc w:val="left"/>
      <w:pPr>
        <w:tabs>
          <w:tab w:val="num" w:pos="4320"/>
        </w:tabs>
        <w:ind w:left="4320" w:hanging="360"/>
      </w:pPr>
    </w:lvl>
    <w:lvl w:ilvl="6" w:tplc="05A04B4A" w:tentative="1">
      <w:start w:val="1"/>
      <w:numFmt w:val="decimal"/>
      <w:lvlText w:val="%7."/>
      <w:lvlJc w:val="left"/>
      <w:pPr>
        <w:tabs>
          <w:tab w:val="num" w:pos="5040"/>
        </w:tabs>
        <w:ind w:left="5040" w:hanging="360"/>
      </w:pPr>
    </w:lvl>
    <w:lvl w:ilvl="7" w:tplc="C21A0F20" w:tentative="1">
      <w:start w:val="1"/>
      <w:numFmt w:val="decimal"/>
      <w:lvlText w:val="%8."/>
      <w:lvlJc w:val="left"/>
      <w:pPr>
        <w:tabs>
          <w:tab w:val="num" w:pos="5760"/>
        </w:tabs>
        <w:ind w:left="5760" w:hanging="360"/>
      </w:pPr>
    </w:lvl>
    <w:lvl w:ilvl="8" w:tplc="AE1E5512" w:tentative="1">
      <w:start w:val="1"/>
      <w:numFmt w:val="decimal"/>
      <w:lvlText w:val="%9."/>
      <w:lvlJc w:val="left"/>
      <w:pPr>
        <w:tabs>
          <w:tab w:val="num" w:pos="6480"/>
        </w:tabs>
        <w:ind w:left="6480" w:hanging="360"/>
      </w:pPr>
    </w:lvl>
  </w:abstractNum>
  <w:abstractNum w:abstractNumId="4" w15:restartNumberingAfterBreak="0">
    <w:nsid w:val="20645D0D"/>
    <w:multiLevelType w:val="hybridMultilevel"/>
    <w:tmpl w:val="0FD6E80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343D3B13"/>
    <w:multiLevelType w:val="hybridMultilevel"/>
    <w:tmpl w:val="96D6093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15:restartNumberingAfterBreak="0">
    <w:nsid w:val="3A440DAE"/>
    <w:multiLevelType w:val="hybridMultilevel"/>
    <w:tmpl w:val="DBE2FFB6"/>
    <w:lvl w:ilvl="0" w:tplc="4314B02A">
      <w:start w:val="1"/>
      <w:numFmt w:val="bullet"/>
      <w:lvlText w:val="-"/>
      <w:lvlJc w:val="left"/>
      <w:pPr>
        <w:ind w:left="720" w:hanging="360"/>
      </w:pPr>
      <w:rPr>
        <w:rFonts w:ascii="Times New Roman" w:eastAsia="Calibr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3C7E7167"/>
    <w:multiLevelType w:val="hybridMultilevel"/>
    <w:tmpl w:val="9C40DB3C"/>
    <w:lvl w:ilvl="0" w:tplc="9BE87AC6">
      <w:start w:val="4"/>
      <w:numFmt w:val="bullet"/>
      <w:lvlText w:val="-"/>
      <w:lvlJc w:val="left"/>
      <w:pPr>
        <w:ind w:left="720" w:hanging="360"/>
      </w:pPr>
      <w:rPr>
        <w:rFonts w:ascii="Helvetica" w:eastAsia="Times New Roman" w:hAnsi="Helvetica" w:cs="Helvetica"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3CCD4C32"/>
    <w:multiLevelType w:val="hybridMultilevel"/>
    <w:tmpl w:val="3C4A58EE"/>
    <w:lvl w:ilvl="0" w:tplc="B3066686">
      <w:start w:val="2018"/>
      <w:numFmt w:val="bullet"/>
      <w:lvlText w:val="-"/>
      <w:lvlJc w:val="left"/>
      <w:pPr>
        <w:ind w:left="643" w:hanging="360"/>
      </w:pPr>
      <w:rPr>
        <w:rFonts w:ascii="Times New Roman" w:eastAsia="Times New Roman" w:hAnsi="Times New Roman" w:cs="Times New Roman" w:hint="default"/>
      </w:rPr>
    </w:lvl>
    <w:lvl w:ilvl="1" w:tplc="081D0003">
      <w:start w:val="1"/>
      <w:numFmt w:val="bullet"/>
      <w:lvlText w:val="o"/>
      <w:lvlJc w:val="left"/>
      <w:pPr>
        <w:ind w:left="1363" w:hanging="360"/>
      </w:pPr>
      <w:rPr>
        <w:rFonts w:ascii="Courier New" w:hAnsi="Courier New" w:cs="Courier New" w:hint="default"/>
      </w:rPr>
    </w:lvl>
    <w:lvl w:ilvl="2" w:tplc="081D0005" w:tentative="1">
      <w:start w:val="1"/>
      <w:numFmt w:val="bullet"/>
      <w:lvlText w:val=""/>
      <w:lvlJc w:val="left"/>
      <w:pPr>
        <w:ind w:left="2083" w:hanging="360"/>
      </w:pPr>
      <w:rPr>
        <w:rFonts w:ascii="Wingdings" w:hAnsi="Wingdings" w:hint="default"/>
      </w:rPr>
    </w:lvl>
    <w:lvl w:ilvl="3" w:tplc="081D0001" w:tentative="1">
      <w:start w:val="1"/>
      <w:numFmt w:val="bullet"/>
      <w:lvlText w:val=""/>
      <w:lvlJc w:val="left"/>
      <w:pPr>
        <w:ind w:left="2803" w:hanging="360"/>
      </w:pPr>
      <w:rPr>
        <w:rFonts w:ascii="Symbol" w:hAnsi="Symbol" w:hint="default"/>
      </w:rPr>
    </w:lvl>
    <w:lvl w:ilvl="4" w:tplc="081D0003" w:tentative="1">
      <w:start w:val="1"/>
      <w:numFmt w:val="bullet"/>
      <w:lvlText w:val="o"/>
      <w:lvlJc w:val="left"/>
      <w:pPr>
        <w:ind w:left="3523" w:hanging="360"/>
      </w:pPr>
      <w:rPr>
        <w:rFonts w:ascii="Courier New" w:hAnsi="Courier New" w:cs="Courier New" w:hint="default"/>
      </w:rPr>
    </w:lvl>
    <w:lvl w:ilvl="5" w:tplc="081D0005" w:tentative="1">
      <w:start w:val="1"/>
      <w:numFmt w:val="bullet"/>
      <w:lvlText w:val=""/>
      <w:lvlJc w:val="left"/>
      <w:pPr>
        <w:ind w:left="4243" w:hanging="360"/>
      </w:pPr>
      <w:rPr>
        <w:rFonts w:ascii="Wingdings" w:hAnsi="Wingdings" w:hint="default"/>
      </w:rPr>
    </w:lvl>
    <w:lvl w:ilvl="6" w:tplc="081D0001" w:tentative="1">
      <w:start w:val="1"/>
      <w:numFmt w:val="bullet"/>
      <w:lvlText w:val=""/>
      <w:lvlJc w:val="left"/>
      <w:pPr>
        <w:ind w:left="4963" w:hanging="360"/>
      </w:pPr>
      <w:rPr>
        <w:rFonts w:ascii="Symbol" w:hAnsi="Symbol" w:hint="default"/>
      </w:rPr>
    </w:lvl>
    <w:lvl w:ilvl="7" w:tplc="081D0003" w:tentative="1">
      <w:start w:val="1"/>
      <w:numFmt w:val="bullet"/>
      <w:lvlText w:val="o"/>
      <w:lvlJc w:val="left"/>
      <w:pPr>
        <w:ind w:left="5683" w:hanging="360"/>
      </w:pPr>
      <w:rPr>
        <w:rFonts w:ascii="Courier New" w:hAnsi="Courier New" w:cs="Courier New" w:hint="default"/>
      </w:rPr>
    </w:lvl>
    <w:lvl w:ilvl="8" w:tplc="081D0005" w:tentative="1">
      <w:start w:val="1"/>
      <w:numFmt w:val="bullet"/>
      <w:lvlText w:val=""/>
      <w:lvlJc w:val="left"/>
      <w:pPr>
        <w:ind w:left="6403" w:hanging="360"/>
      </w:pPr>
      <w:rPr>
        <w:rFonts w:ascii="Wingdings" w:hAnsi="Wingdings" w:hint="default"/>
      </w:rPr>
    </w:lvl>
  </w:abstractNum>
  <w:abstractNum w:abstractNumId="9" w15:restartNumberingAfterBreak="0">
    <w:nsid w:val="3F1E1FF2"/>
    <w:multiLevelType w:val="hybridMultilevel"/>
    <w:tmpl w:val="8A267746"/>
    <w:lvl w:ilvl="0" w:tplc="7C46E9DE">
      <w:start w:val="1"/>
      <w:numFmt w:val="decimal"/>
      <w:lvlText w:val="%1."/>
      <w:lvlJc w:val="left"/>
      <w:pPr>
        <w:ind w:left="690" w:hanging="360"/>
      </w:pPr>
      <w:rPr>
        <w:rFonts w:hint="default"/>
      </w:rPr>
    </w:lvl>
    <w:lvl w:ilvl="1" w:tplc="081D0019" w:tentative="1">
      <w:start w:val="1"/>
      <w:numFmt w:val="lowerLetter"/>
      <w:lvlText w:val="%2."/>
      <w:lvlJc w:val="left"/>
      <w:pPr>
        <w:ind w:left="1410" w:hanging="360"/>
      </w:pPr>
    </w:lvl>
    <w:lvl w:ilvl="2" w:tplc="081D001B" w:tentative="1">
      <w:start w:val="1"/>
      <w:numFmt w:val="lowerRoman"/>
      <w:lvlText w:val="%3."/>
      <w:lvlJc w:val="right"/>
      <w:pPr>
        <w:ind w:left="2130" w:hanging="180"/>
      </w:pPr>
    </w:lvl>
    <w:lvl w:ilvl="3" w:tplc="081D000F" w:tentative="1">
      <w:start w:val="1"/>
      <w:numFmt w:val="decimal"/>
      <w:lvlText w:val="%4."/>
      <w:lvlJc w:val="left"/>
      <w:pPr>
        <w:ind w:left="2850" w:hanging="360"/>
      </w:pPr>
    </w:lvl>
    <w:lvl w:ilvl="4" w:tplc="081D0019" w:tentative="1">
      <w:start w:val="1"/>
      <w:numFmt w:val="lowerLetter"/>
      <w:lvlText w:val="%5."/>
      <w:lvlJc w:val="left"/>
      <w:pPr>
        <w:ind w:left="3570" w:hanging="360"/>
      </w:pPr>
    </w:lvl>
    <w:lvl w:ilvl="5" w:tplc="081D001B" w:tentative="1">
      <w:start w:val="1"/>
      <w:numFmt w:val="lowerRoman"/>
      <w:lvlText w:val="%6."/>
      <w:lvlJc w:val="right"/>
      <w:pPr>
        <w:ind w:left="4290" w:hanging="180"/>
      </w:pPr>
    </w:lvl>
    <w:lvl w:ilvl="6" w:tplc="081D000F" w:tentative="1">
      <w:start w:val="1"/>
      <w:numFmt w:val="decimal"/>
      <w:lvlText w:val="%7."/>
      <w:lvlJc w:val="left"/>
      <w:pPr>
        <w:ind w:left="5010" w:hanging="360"/>
      </w:pPr>
    </w:lvl>
    <w:lvl w:ilvl="7" w:tplc="081D0019" w:tentative="1">
      <w:start w:val="1"/>
      <w:numFmt w:val="lowerLetter"/>
      <w:lvlText w:val="%8."/>
      <w:lvlJc w:val="left"/>
      <w:pPr>
        <w:ind w:left="5730" w:hanging="360"/>
      </w:pPr>
    </w:lvl>
    <w:lvl w:ilvl="8" w:tplc="081D001B" w:tentative="1">
      <w:start w:val="1"/>
      <w:numFmt w:val="lowerRoman"/>
      <w:lvlText w:val="%9."/>
      <w:lvlJc w:val="right"/>
      <w:pPr>
        <w:ind w:left="6450" w:hanging="180"/>
      </w:pPr>
    </w:lvl>
  </w:abstractNum>
  <w:abstractNum w:abstractNumId="10" w15:restartNumberingAfterBreak="0">
    <w:nsid w:val="44E13F5E"/>
    <w:multiLevelType w:val="hybridMultilevel"/>
    <w:tmpl w:val="77FC784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45087473"/>
    <w:multiLevelType w:val="hybridMultilevel"/>
    <w:tmpl w:val="95D22F4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15:restartNumberingAfterBreak="0">
    <w:nsid w:val="45190D3D"/>
    <w:multiLevelType w:val="hybridMultilevel"/>
    <w:tmpl w:val="636464D4"/>
    <w:lvl w:ilvl="0" w:tplc="C40A6D3E">
      <w:start w:val="2018"/>
      <w:numFmt w:val="bullet"/>
      <w:lvlText w:val="-"/>
      <w:lvlJc w:val="left"/>
      <w:pPr>
        <w:ind w:left="600" w:hanging="360"/>
      </w:pPr>
      <w:rPr>
        <w:rFonts w:ascii="Times New Roman" w:eastAsia="Times New Roman" w:hAnsi="Times New Roman" w:cs="Times New Roman" w:hint="default"/>
      </w:rPr>
    </w:lvl>
    <w:lvl w:ilvl="1" w:tplc="081D0003" w:tentative="1">
      <w:start w:val="1"/>
      <w:numFmt w:val="bullet"/>
      <w:lvlText w:val="o"/>
      <w:lvlJc w:val="left"/>
      <w:pPr>
        <w:ind w:left="1320" w:hanging="360"/>
      </w:pPr>
      <w:rPr>
        <w:rFonts w:ascii="Courier New" w:hAnsi="Courier New" w:cs="Courier New" w:hint="default"/>
      </w:rPr>
    </w:lvl>
    <w:lvl w:ilvl="2" w:tplc="081D0005" w:tentative="1">
      <w:start w:val="1"/>
      <w:numFmt w:val="bullet"/>
      <w:lvlText w:val=""/>
      <w:lvlJc w:val="left"/>
      <w:pPr>
        <w:ind w:left="2040" w:hanging="360"/>
      </w:pPr>
      <w:rPr>
        <w:rFonts w:ascii="Wingdings" w:hAnsi="Wingdings" w:hint="default"/>
      </w:rPr>
    </w:lvl>
    <w:lvl w:ilvl="3" w:tplc="081D0001" w:tentative="1">
      <w:start w:val="1"/>
      <w:numFmt w:val="bullet"/>
      <w:lvlText w:val=""/>
      <w:lvlJc w:val="left"/>
      <w:pPr>
        <w:ind w:left="2760" w:hanging="360"/>
      </w:pPr>
      <w:rPr>
        <w:rFonts w:ascii="Symbol" w:hAnsi="Symbol" w:hint="default"/>
      </w:rPr>
    </w:lvl>
    <w:lvl w:ilvl="4" w:tplc="081D0003" w:tentative="1">
      <w:start w:val="1"/>
      <w:numFmt w:val="bullet"/>
      <w:lvlText w:val="o"/>
      <w:lvlJc w:val="left"/>
      <w:pPr>
        <w:ind w:left="3480" w:hanging="360"/>
      </w:pPr>
      <w:rPr>
        <w:rFonts w:ascii="Courier New" w:hAnsi="Courier New" w:cs="Courier New" w:hint="default"/>
      </w:rPr>
    </w:lvl>
    <w:lvl w:ilvl="5" w:tplc="081D0005" w:tentative="1">
      <w:start w:val="1"/>
      <w:numFmt w:val="bullet"/>
      <w:lvlText w:val=""/>
      <w:lvlJc w:val="left"/>
      <w:pPr>
        <w:ind w:left="4200" w:hanging="360"/>
      </w:pPr>
      <w:rPr>
        <w:rFonts w:ascii="Wingdings" w:hAnsi="Wingdings" w:hint="default"/>
      </w:rPr>
    </w:lvl>
    <w:lvl w:ilvl="6" w:tplc="081D0001" w:tentative="1">
      <w:start w:val="1"/>
      <w:numFmt w:val="bullet"/>
      <w:lvlText w:val=""/>
      <w:lvlJc w:val="left"/>
      <w:pPr>
        <w:ind w:left="4920" w:hanging="360"/>
      </w:pPr>
      <w:rPr>
        <w:rFonts w:ascii="Symbol" w:hAnsi="Symbol" w:hint="default"/>
      </w:rPr>
    </w:lvl>
    <w:lvl w:ilvl="7" w:tplc="081D0003" w:tentative="1">
      <w:start w:val="1"/>
      <w:numFmt w:val="bullet"/>
      <w:lvlText w:val="o"/>
      <w:lvlJc w:val="left"/>
      <w:pPr>
        <w:ind w:left="5640" w:hanging="360"/>
      </w:pPr>
      <w:rPr>
        <w:rFonts w:ascii="Courier New" w:hAnsi="Courier New" w:cs="Courier New" w:hint="default"/>
      </w:rPr>
    </w:lvl>
    <w:lvl w:ilvl="8" w:tplc="081D0005" w:tentative="1">
      <w:start w:val="1"/>
      <w:numFmt w:val="bullet"/>
      <w:lvlText w:val=""/>
      <w:lvlJc w:val="left"/>
      <w:pPr>
        <w:ind w:left="6360" w:hanging="360"/>
      </w:pPr>
      <w:rPr>
        <w:rFonts w:ascii="Wingdings" w:hAnsi="Wingdings" w:hint="default"/>
      </w:rPr>
    </w:lvl>
  </w:abstractNum>
  <w:abstractNum w:abstractNumId="13" w15:restartNumberingAfterBreak="0">
    <w:nsid w:val="46D81725"/>
    <w:multiLevelType w:val="hybridMultilevel"/>
    <w:tmpl w:val="4C2484F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4C8E189E"/>
    <w:multiLevelType w:val="hybridMultilevel"/>
    <w:tmpl w:val="C6AAFE9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4DAD22B0"/>
    <w:multiLevelType w:val="hybridMultilevel"/>
    <w:tmpl w:val="FD0E8B5C"/>
    <w:lvl w:ilvl="0" w:tplc="61E866C4">
      <w:start w:val="1"/>
      <w:numFmt w:val="decimal"/>
      <w:pStyle w:val="Rubrik1"/>
      <w:suff w:val="space"/>
      <w:lvlText w:val="Kapitel %1"/>
      <w:lvlJc w:val="left"/>
      <w:pPr>
        <w:ind w:left="0" w:firstLine="0"/>
      </w:pPr>
    </w:lvl>
    <w:lvl w:ilvl="1" w:tplc="0D9A2E02">
      <w:start w:val="1"/>
      <w:numFmt w:val="none"/>
      <w:pStyle w:val="Rubrik2"/>
      <w:suff w:val="nothing"/>
      <w:lvlText w:val=""/>
      <w:lvlJc w:val="left"/>
      <w:pPr>
        <w:ind w:left="0" w:firstLine="0"/>
      </w:pPr>
    </w:lvl>
    <w:lvl w:ilvl="2" w:tplc="7C44C700">
      <w:start w:val="1"/>
      <w:numFmt w:val="none"/>
      <w:pStyle w:val="Rubrik3"/>
      <w:suff w:val="nothing"/>
      <w:lvlText w:val=""/>
      <w:lvlJc w:val="left"/>
      <w:pPr>
        <w:ind w:left="0" w:firstLine="0"/>
      </w:pPr>
    </w:lvl>
    <w:lvl w:ilvl="3" w:tplc="BEA429F8">
      <w:start w:val="1"/>
      <w:numFmt w:val="none"/>
      <w:pStyle w:val="Rubrik4"/>
      <w:suff w:val="nothing"/>
      <w:lvlText w:val=""/>
      <w:lvlJc w:val="left"/>
      <w:pPr>
        <w:ind w:left="0" w:firstLine="0"/>
      </w:pPr>
    </w:lvl>
    <w:lvl w:ilvl="4" w:tplc="6EBEF988">
      <w:start w:val="1"/>
      <w:numFmt w:val="none"/>
      <w:pStyle w:val="Rubrik5"/>
      <w:suff w:val="nothing"/>
      <w:lvlText w:val=""/>
      <w:lvlJc w:val="left"/>
      <w:pPr>
        <w:ind w:left="0" w:firstLine="0"/>
      </w:pPr>
    </w:lvl>
    <w:lvl w:ilvl="5" w:tplc="6C16228A">
      <w:start w:val="1"/>
      <w:numFmt w:val="none"/>
      <w:pStyle w:val="Rubrik6"/>
      <w:suff w:val="nothing"/>
      <w:lvlText w:val=""/>
      <w:lvlJc w:val="left"/>
      <w:pPr>
        <w:ind w:left="0" w:firstLine="0"/>
      </w:pPr>
    </w:lvl>
    <w:lvl w:ilvl="6" w:tplc="704232DA">
      <w:start w:val="1"/>
      <w:numFmt w:val="none"/>
      <w:pStyle w:val="Rubrik7"/>
      <w:suff w:val="nothing"/>
      <w:lvlText w:val=""/>
      <w:lvlJc w:val="left"/>
      <w:pPr>
        <w:ind w:left="0" w:firstLine="0"/>
      </w:pPr>
    </w:lvl>
    <w:lvl w:ilvl="7" w:tplc="24D67F86">
      <w:start w:val="1"/>
      <w:numFmt w:val="none"/>
      <w:pStyle w:val="Rubrik8"/>
      <w:suff w:val="nothing"/>
      <w:lvlText w:val=""/>
      <w:lvlJc w:val="left"/>
      <w:pPr>
        <w:ind w:left="0" w:firstLine="0"/>
      </w:pPr>
    </w:lvl>
    <w:lvl w:ilvl="8" w:tplc="B352CE12">
      <w:start w:val="1"/>
      <w:numFmt w:val="none"/>
      <w:pStyle w:val="Rubrik9"/>
      <w:suff w:val="nothing"/>
      <w:lvlText w:val=""/>
      <w:lvlJc w:val="left"/>
      <w:pPr>
        <w:ind w:left="0" w:firstLine="0"/>
      </w:pPr>
    </w:lvl>
  </w:abstractNum>
  <w:abstractNum w:abstractNumId="16" w15:restartNumberingAfterBreak="0">
    <w:nsid w:val="4E91631A"/>
    <w:multiLevelType w:val="hybridMultilevel"/>
    <w:tmpl w:val="DC84725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7" w15:restartNumberingAfterBreak="0">
    <w:nsid w:val="4ED92F8C"/>
    <w:multiLevelType w:val="hybridMultilevel"/>
    <w:tmpl w:val="BBECF058"/>
    <w:lvl w:ilvl="0" w:tplc="0A3C1AB4">
      <w:start w:val="7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54E93A44"/>
    <w:multiLevelType w:val="hybridMultilevel"/>
    <w:tmpl w:val="0A9E97E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9" w15:restartNumberingAfterBreak="0">
    <w:nsid w:val="569F5F3B"/>
    <w:multiLevelType w:val="hybridMultilevel"/>
    <w:tmpl w:val="4646526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852CD1"/>
    <w:multiLevelType w:val="hybridMultilevel"/>
    <w:tmpl w:val="C2BC2F02"/>
    <w:lvl w:ilvl="0" w:tplc="023AAB0E">
      <w:start w:val="201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7F520C"/>
    <w:multiLevelType w:val="hybridMultilevel"/>
    <w:tmpl w:val="8ECC98A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5" w15:restartNumberingAfterBreak="0">
    <w:nsid w:val="61B4799F"/>
    <w:multiLevelType w:val="hybridMultilevel"/>
    <w:tmpl w:val="E050F912"/>
    <w:lvl w:ilvl="0" w:tplc="081D0001">
      <w:start w:val="1"/>
      <w:numFmt w:val="bullet"/>
      <w:lvlText w:val=""/>
      <w:lvlJc w:val="left"/>
      <w:pPr>
        <w:ind w:left="1003" w:hanging="360"/>
      </w:pPr>
      <w:rPr>
        <w:rFonts w:ascii="Symbol" w:hAnsi="Symbol" w:hint="default"/>
      </w:rPr>
    </w:lvl>
    <w:lvl w:ilvl="1" w:tplc="081D0003" w:tentative="1">
      <w:start w:val="1"/>
      <w:numFmt w:val="bullet"/>
      <w:lvlText w:val="o"/>
      <w:lvlJc w:val="left"/>
      <w:pPr>
        <w:ind w:left="1723" w:hanging="360"/>
      </w:pPr>
      <w:rPr>
        <w:rFonts w:ascii="Courier New" w:hAnsi="Courier New" w:cs="Courier New" w:hint="default"/>
      </w:rPr>
    </w:lvl>
    <w:lvl w:ilvl="2" w:tplc="081D0005" w:tentative="1">
      <w:start w:val="1"/>
      <w:numFmt w:val="bullet"/>
      <w:lvlText w:val=""/>
      <w:lvlJc w:val="left"/>
      <w:pPr>
        <w:ind w:left="2443" w:hanging="360"/>
      </w:pPr>
      <w:rPr>
        <w:rFonts w:ascii="Wingdings" w:hAnsi="Wingdings" w:hint="default"/>
      </w:rPr>
    </w:lvl>
    <w:lvl w:ilvl="3" w:tplc="081D0001" w:tentative="1">
      <w:start w:val="1"/>
      <w:numFmt w:val="bullet"/>
      <w:lvlText w:val=""/>
      <w:lvlJc w:val="left"/>
      <w:pPr>
        <w:ind w:left="3163" w:hanging="360"/>
      </w:pPr>
      <w:rPr>
        <w:rFonts w:ascii="Symbol" w:hAnsi="Symbol" w:hint="default"/>
      </w:rPr>
    </w:lvl>
    <w:lvl w:ilvl="4" w:tplc="081D0003" w:tentative="1">
      <w:start w:val="1"/>
      <w:numFmt w:val="bullet"/>
      <w:lvlText w:val="o"/>
      <w:lvlJc w:val="left"/>
      <w:pPr>
        <w:ind w:left="3883" w:hanging="360"/>
      </w:pPr>
      <w:rPr>
        <w:rFonts w:ascii="Courier New" w:hAnsi="Courier New" w:cs="Courier New" w:hint="default"/>
      </w:rPr>
    </w:lvl>
    <w:lvl w:ilvl="5" w:tplc="081D0005" w:tentative="1">
      <w:start w:val="1"/>
      <w:numFmt w:val="bullet"/>
      <w:lvlText w:val=""/>
      <w:lvlJc w:val="left"/>
      <w:pPr>
        <w:ind w:left="4603" w:hanging="360"/>
      </w:pPr>
      <w:rPr>
        <w:rFonts w:ascii="Wingdings" w:hAnsi="Wingdings" w:hint="default"/>
      </w:rPr>
    </w:lvl>
    <w:lvl w:ilvl="6" w:tplc="081D0001" w:tentative="1">
      <w:start w:val="1"/>
      <w:numFmt w:val="bullet"/>
      <w:lvlText w:val=""/>
      <w:lvlJc w:val="left"/>
      <w:pPr>
        <w:ind w:left="5323" w:hanging="360"/>
      </w:pPr>
      <w:rPr>
        <w:rFonts w:ascii="Symbol" w:hAnsi="Symbol" w:hint="default"/>
      </w:rPr>
    </w:lvl>
    <w:lvl w:ilvl="7" w:tplc="081D0003" w:tentative="1">
      <w:start w:val="1"/>
      <w:numFmt w:val="bullet"/>
      <w:lvlText w:val="o"/>
      <w:lvlJc w:val="left"/>
      <w:pPr>
        <w:ind w:left="6043" w:hanging="360"/>
      </w:pPr>
      <w:rPr>
        <w:rFonts w:ascii="Courier New" w:hAnsi="Courier New" w:cs="Courier New" w:hint="default"/>
      </w:rPr>
    </w:lvl>
    <w:lvl w:ilvl="8" w:tplc="081D0005" w:tentative="1">
      <w:start w:val="1"/>
      <w:numFmt w:val="bullet"/>
      <w:lvlText w:val=""/>
      <w:lvlJc w:val="left"/>
      <w:pPr>
        <w:ind w:left="6763" w:hanging="360"/>
      </w:pPr>
      <w:rPr>
        <w:rFonts w:ascii="Wingdings" w:hAnsi="Wingdings" w:hint="default"/>
      </w:rPr>
    </w:lvl>
  </w:abstractNum>
  <w:abstractNum w:abstractNumId="26" w15:restartNumberingAfterBreak="0">
    <w:nsid w:val="648E6915"/>
    <w:multiLevelType w:val="hybridMultilevel"/>
    <w:tmpl w:val="27AC46DC"/>
    <w:styleLink w:val="Importeradestilen1"/>
    <w:lvl w:ilvl="0" w:tplc="EC7628A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20FBE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3E43D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A0D63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7C67C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2E0E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78AB5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2F96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A66DA0">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4EE52D6"/>
    <w:multiLevelType w:val="hybridMultilevel"/>
    <w:tmpl w:val="BBA2E20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6B8D5994"/>
    <w:multiLevelType w:val="hybridMultilevel"/>
    <w:tmpl w:val="7C5A222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20"/>
  </w:num>
  <w:num w:numId="2">
    <w:abstractNumId w:val="21"/>
  </w:num>
  <w:num w:numId="3">
    <w:abstractNumId w:val="23"/>
  </w:num>
  <w:num w:numId="4">
    <w:abstractNumId w:val="0"/>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8"/>
  </w:num>
  <w:num w:numId="15">
    <w:abstractNumId w:val="11"/>
  </w:num>
  <w:num w:numId="16">
    <w:abstractNumId w:val="5"/>
  </w:num>
  <w:num w:numId="17">
    <w:abstractNumId w:val="28"/>
  </w:num>
  <w:num w:numId="18">
    <w:abstractNumId w:val="14"/>
  </w:num>
  <w:num w:numId="19">
    <w:abstractNumId w:val="10"/>
  </w:num>
  <w:num w:numId="20">
    <w:abstractNumId w:val="25"/>
  </w:num>
  <w:num w:numId="21">
    <w:abstractNumId w:val="26"/>
  </w:num>
  <w:num w:numId="22">
    <w:abstractNumId w:val="2"/>
  </w:num>
  <w:num w:numId="23">
    <w:abstractNumId w:val="9"/>
  </w:num>
  <w:num w:numId="24">
    <w:abstractNumId w:val="16"/>
  </w:num>
  <w:num w:numId="25">
    <w:abstractNumId w:val="4"/>
  </w:num>
  <w:num w:numId="26">
    <w:abstractNumId w:val="7"/>
  </w:num>
  <w:num w:numId="27">
    <w:abstractNumId w:val="12"/>
  </w:num>
  <w:num w:numId="28">
    <w:abstractNumId w:val="8"/>
  </w:num>
  <w:num w:numId="29">
    <w:abstractNumId w:val="22"/>
  </w:num>
  <w:num w:numId="30">
    <w:abstractNumId w:val="17"/>
  </w:num>
  <w:num w:numId="31">
    <w:abstractNumId w:val="6"/>
  </w:num>
  <w:num w:numId="32">
    <w:abstractNumId w:val="19"/>
  </w:num>
  <w:num w:numId="33">
    <w:abstractNumId w:val="24"/>
  </w:num>
  <w:num w:numId="34">
    <w:abstractNumId w:val="27"/>
  </w:num>
  <w:num w:numId="35">
    <w:abstractNumId w:val="3"/>
  </w:num>
  <w:num w:numId="36">
    <w:abstractNumId w:val="1"/>
  </w:num>
  <w:num w:numId="3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7A"/>
    <w:rsid w:val="00021683"/>
    <w:rsid w:val="00031214"/>
    <w:rsid w:val="000323F6"/>
    <w:rsid w:val="00033B77"/>
    <w:rsid w:val="000346E8"/>
    <w:rsid w:val="00054868"/>
    <w:rsid w:val="00074315"/>
    <w:rsid w:val="000804DE"/>
    <w:rsid w:val="00081ED1"/>
    <w:rsid w:val="00084D5E"/>
    <w:rsid w:val="0009216B"/>
    <w:rsid w:val="000A1E17"/>
    <w:rsid w:val="000B11A5"/>
    <w:rsid w:val="000B3A6E"/>
    <w:rsid w:val="000B7170"/>
    <w:rsid w:val="000C134F"/>
    <w:rsid w:val="000C61E8"/>
    <w:rsid w:val="000D0A33"/>
    <w:rsid w:val="000D2CBD"/>
    <w:rsid w:val="000D4EC1"/>
    <w:rsid w:val="000D74F3"/>
    <w:rsid w:val="000E14E2"/>
    <w:rsid w:val="000E6D49"/>
    <w:rsid w:val="00101289"/>
    <w:rsid w:val="0010296A"/>
    <w:rsid w:val="00106F79"/>
    <w:rsid w:val="00115E56"/>
    <w:rsid w:val="0011715F"/>
    <w:rsid w:val="0012149D"/>
    <w:rsid w:val="00122483"/>
    <w:rsid w:val="00125162"/>
    <w:rsid w:val="00146FEA"/>
    <w:rsid w:val="00161D43"/>
    <w:rsid w:val="0016450D"/>
    <w:rsid w:val="00164E35"/>
    <w:rsid w:val="00192062"/>
    <w:rsid w:val="00195358"/>
    <w:rsid w:val="001A2357"/>
    <w:rsid w:val="001A3167"/>
    <w:rsid w:val="001A5978"/>
    <w:rsid w:val="001A6871"/>
    <w:rsid w:val="001A6C9F"/>
    <w:rsid w:val="001D40AB"/>
    <w:rsid w:val="001E0AFF"/>
    <w:rsid w:val="001E313D"/>
    <w:rsid w:val="001E669A"/>
    <w:rsid w:val="00201D09"/>
    <w:rsid w:val="00212E89"/>
    <w:rsid w:val="00220E86"/>
    <w:rsid w:val="002247BB"/>
    <w:rsid w:val="002518EE"/>
    <w:rsid w:val="00251F53"/>
    <w:rsid w:val="002534CB"/>
    <w:rsid w:val="0025448C"/>
    <w:rsid w:val="0025756B"/>
    <w:rsid w:val="00270221"/>
    <w:rsid w:val="00274F85"/>
    <w:rsid w:val="00287CF5"/>
    <w:rsid w:val="002A3F0F"/>
    <w:rsid w:val="002A7E86"/>
    <w:rsid w:val="002B4942"/>
    <w:rsid w:val="002C34C0"/>
    <w:rsid w:val="002C6A51"/>
    <w:rsid w:val="002E63F7"/>
    <w:rsid w:val="0030116F"/>
    <w:rsid w:val="00304390"/>
    <w:rsid w:val="003050B6"/>
    <w:rsid w:val="00312B77"/>
    <w:rsid w:val="00355B86"/>
    <w:rsid w:val="00376DA3"/>
    <w:rsid w:val="00377AFD"/>
    <w:rsid w:val="003829A4"/>
    <w:rsid w:val="00390D81"/>
    <w:rsid w:val="00397548"/>
    <w:rsid w:val="003A1469"/>
    <w:rsid w:val="003A3B8B"/>
    <w:rsid w:val="003A498C"/>
    <w:rsid w:val="003B6F50"/>
    <w:rsid w:val="003C6E16"/>
    <w:rsid w:val="003F1484"/>
    <w:rsid w:val="003F29AD"/>
    <w:rsid w:val="00411025"/>
    <w:rsid w:val="0041162B"/>
    <w:rsid w:val="00417BD8"/>
    <w:rsid w:val="0042254F"/>
    <w:rsid w:val="004306FC"/>
    <w:rsid w:val="00432543"/>
    <w:rsid w:val="00441C75"/>
    <w:rsid w:val="004537F7"/>
    <w:rsid w:val="004576A6"/>
    <w:rsid w:val="0046042F"/>
    <w:rsid w:val="00465C0E"/>
    <w:rsid w:val="00483BCC"/>
    <w:rsid w:val="00485071"/>
    <w:rsid w:val="004925F4"/>
    <w:rsid w:val="0049604A"/>
    <w:rsid w:val="004961E1"/>
    <w:rsid w:val="004B33AD"/>
    <w:rsid w:val="004C4F72"/>
    <w:rsid w:val="004D2AF9"/>
    <w:rsid w:val="004D363A"/>
    <w:rsid w:val="004E359C"/>
    <w:rsid w:val="004E5559"/>
    <w:rsid w:val="004F646E"/>
    <w:rsid w:val="0051706E"/>
    <w:rsid w:val="00522770"/>
    <w:rsid w:val="00535F88"/>
    <w:rsid w:val="005373E8"/>
    <w:rsid w:val="00537773"/>
    <w:rsid w:val="005462DB"/>
    <w:rsid w:val="0055007A"/>
    <w:rsid w:val="0055146F"/>
    <w:rsid w:val="0057224C"/>
    <w:rsid w:val="0059788A"/>
    <w:rsid w:val="005A1961"/>
    <w:rsid w:val="005A320C"/>
    <w:rsid w:val="005A511B"/>
    <w:rsid w:val="005C6BE0"/>
    <w:rsid w:val="005C7780"/>
    <w:rsid w:val="005D1566"/>
    <w:rsid w:val="005E276B"/>
    <w:rsid w:val="005F31F7"/>
    <w:rsid w:val="005F32E3"/>
    <w:rsid w:val="0060121E"/>
    <w:rsid w:val="006218C8"/>
    <w:rsid w:val="00625DA2"/>
    <w:rsid w:val="00642690"/>
    <w:rsid w:val="0064699C"/>
    <w:rsid w:val="00652A22"/>
    <w:rsid w:val="00671816"/>
    <w:rsid w:val="006840BA"/>
    <w:rsid w:val="0069021A"/>
    <w:rsid w:val="00691AA4"/>
    <w:rsid w:val="006C36A1"/>
    <w:rsid w:val="006D06F2"/>
    <w:rsid w:val="006F10A5"/>
    <w:rsid w:val="006F290A"/>
    <w:rsid w:val="006F4626"/>
    <w:rsid w:val="006F687A"/>
    <w:rsid w:val="007014B3"/>
    <w:rsid w:val="00705F5B"/>
    <w:rsid w:val="00735091"/>
    <w:rsid w:val="00736CA4"/>
    <w:rsid w:val="0075779A"/>
    <w:rsid w:val="007721DF"/>
    <w:rsid w:val="0077455E"/>
    <w:rsid w:val="007854C9"/>
    <w:rsid w:val="007915D6"/>
    <w:rsid w:val="007B0976"/>
    <w:rsid w:val="007E2896"/>
    <w:rsid w:val="007E43EE"/>
    <w:rsid w:val="007E63B2"/>
    <w:rsid w:val="00804FFC"/>
    <w:rsid w:val="00815703"/>
    <w:rsid w:val="00820F01"/>
    <w:rsid w:val="0082136D"/>
    <w:rsid w:val="00821BFE"/>
    <w:rsid w:val="00845A97"/>
    <w:rsid w:val="008473AE"/>
    <w:rsid w:val="00850D2A"/>
    <w:rsid w:val="00857295"/>
    <w:rsid w:val="008621A6"/>
    <w:rsid w:val="00864FA6"/>
    <w:rsid w:val="00885DE3"/>
    <w:rsid w:val="008A14F0"/>
    <w:rsid w:val="008A2253"/>
    <w:rsid w:val="008A7921"/>
    <w:rsid w:val="008C7875"/>
    <w:rsid w:val="00905D91"/>
    <w:rsid w:val="009069E2"/>
    <w:rsid w:val="00912925"/>
    <w:rsid w:val="00912A83"/>
    <w:rsid w:val="0091576B"/>
    <w:rsid w:val="00927AD8"/>
    <w:rsid w:val="00932EB3"/>
    <w:rsid w:val="00935BD7"/>
    <w:rsid w:val="00943A2A"/>
    <w:rsid w:val="0095492D"/>
    <w:rsid w:val="0095600A"/>
    <w:rsid w:val="00960AE7"/>
    <w:rsid w:val="00960C1F"/>
    <w:rsid w:val="00962C4D"/>
    <w:rsid w:val="00963B50"/>
    <w:rsid w:val="00970BA3"/>
    <w:rsid w:val="00981943"/>
    <w:rsid w:val="009A4355"/>
    <w:rsid w:val="009B49CA"/>
    <w:rsid w:val="009C0003"/>
    <w:rsid w:val="009C4CC7"/>
    <w:rsid w:val="009D35F2"/>
    <w:rsid w:val="00A15179"/>
    <w:rsid w:val="00A16BD2"/>
    <w:rsid w:val="00A25D79"/>
    <w:rsid w:val="00A3249C"/>
    <w:rsid w:val="00A40F3D"/>
    <w:rsid w:val="00A52572"/>
    <w:rsid w:val="00A65076"/>
    <w:rsid w:val="00A95CD3"/>
    <w:rsid w:val="00AA209F"/>
    <w:rsid w:val="00AA302C"/>
    <w:rsid w:val="00AA5735"/>
    <w:rsid w:val="00AB0ED6"/>
    <w:rsid w:val="00AB2337"/>
    <w:rsid w:val="00AB4620"/>
    <w:rsid w:val="00AC156D"/>
    <w:rsid w:val="00AC2AE9"/>
    <w:rsid w:val="00AC4301"/>
    <w:rsid w:val="00AE46C1"/>
    <w:rsid w:val="00AE75F8"/>
    <w:rsid w:val="00AF15F1"/>
    <w:rsid w:val="00AF5E6A"/>
    <w:rsid w:val="00B17433"/>
    <w:rsid w:val="00B17C3D"/>
    <w:rsid w:val="00B5373B"/>
    <w:rsid w:val="00B63922"/>
    <w:rsid w:val="00B729C3"/>
    <w:rsid w:val="00B7303B"/>
    <w:rsid w:val="00B8036E"/>
    <w:rsid w:val="00B823C5"/>
    <w:rsid w:val="00B875FD"/>
    <w:rsid w:val="00B97CBA"/>
    <w:rsid w:val="00BB0145"/>
    <w:rsid w:val="00BC293F"/>
    <w:rsid w:val="00BD4272"/>
    <w:rsid w:val="00BD6319"/>
    <w:rsid w:val="00C23BE5"/>
    <w:rsid w:val="00C275C3"/>
    <w:rsid w:val="00C51F0F"/>
    <w:rsid w:val="00C5773B"/>
    <w:rsid w:val="00C77957"/>
    <w:rsid w:val="00C8220E"/>
    <w:rsid w:val="00C85CD0"/>
    <w:rsid w:val="00C9093B"/>
    <w:rsid w:val="00C952CA"/>
    <w:rsid w:val="00CA3F8D"/>
    <w:rsid w:val="00CA4C6A"/>
    <w:rsid w:val="00CA5540"/>
    <w:rsid w:val="00CB1288"/>
    <w:rsid w:val="00CB1D84"/>
    <w:rsid w:val="00CB6FBA"/>
    <w:rsid w:val="00CB7618"/>
    <w:rsid w:val="00CC03A9"/>
    <w:rsid w:val="00CC3EA7"/>
    <w:rsid w:val="00CD08D0"/>
    <w:rsid w:val="00CE13EC"/>
    <w:rsid w:val="00CE1D98"/>
    <w:rsid w:val="00CF17E8"/>
    <w:rsid w:val="00D00ADE"/>
    <w:rsid w:val="00D01E06"/>
    <w:rsid w:val="00D1657B"/>
    <w:rsid w:val="00D313F1"/>
    <w:rsid w:val="00D41BB2"/>
    <w:rsid w:val="00D507AE"/>
    <w:rsid w:val="00D53093"/>
    <w:rsid w:val="00D63259"/>
    <w:rsid w:val="00D659C8"/>
    <w:rsid w:val="00D7189D"/>
    <w:rsid w:val="00D7318E"/>
    <w:rsid w:val="00D77277"/>
    <w:rsid w:val="00D7D3AE"/>
    <w:rsid w:val="00D800BC"/>
    <w:rsid w:val="00D81F90"/>
    <w:rsid w:val="00D83EB9"/>
    <w:rsid w:val="00D91C6C"/>
    <w:rsid w:val="00DB0CD1"/>
    <w:rsid w:val="00DB13F5"/>
    <w:rsid w:val="00DB5B6E"/>
    <w:rsid w:val="00DB6A34"/>
    <w:rsid w:val="00DF0CD8"/>
    <w:rsid w:val="00E00C21"/>
    <w:rsid w:val="00E0710D"/>
    <w:rsid w:val="00E104ED"/>
    <w:rsid w:val="00E11EF1"/>
    <w:rsid w:val="00E13388"/>
    <w:rsid w:val="00E33C33"/>
    <w:rsid w:val="00E42618"/>
    <w:rsid w:val="00E62231"/>
    <w:rsid w:val="00E63DA9"/>
    <w:rsid w:val="00E64187"/>
    <w:rsid w:val="00E7142E"/>
    <w:rsid w:val="00E76C96"/>
    <w:rsid w:val="00E858FD"/>
    <w:rsid w:val="00E875AA"/>
    <w:rsid w:val="00E8783B"/>
    <w:rsid w:val="00E90CF4"/>
    <w:rsid w:val="00E91BFB"/>
    <w:rsid w:val="00E94434"/>
    <w:rsid w:val="00E95C1D"/>
    <w:rsid w:val="00EA05E4"/>
    <w:rsid w:val="00EB3C07"/>
    <w:rsid w:val="00EE7973"/>
    <w:rsid w:val="00EF025E"/>
    <w:rsid w:val="00F0249B"/>
    <w:rsid w:val="00F03EF9"/>
    <w:rsid w:val="00F2674E"/>
    <w:rsid w:val="00F305D6"/>
    <w:rsid w:val="00F31A7D"/>
    <w:rsid w:val="00F343BD"/>
    <w:rsid w:val="00F36356"/>
    <w:rsid w:val="00F3675C"/>
    <w:rsid w:val="00F410E6"/>
    <w:rsid w:val="00F43E99"/>
    <w:rsid w:val="00F45727"/>
    <w:rsid w:val="00F732B1"/>
    <w:rsid w:val="00F80B5F"/>
    <w:rsid w:val="00FA444E"/>
    <w:rsid w:val="00FA57DB"/>
    <w:rsid w:val="00FA62F3"/>
    <w:rsid w:val="00FA632E"/>
    <w:rsid w:val="00FB762E"/>
    <w:rsid w:val="00FD2E00"/>
    <w:rsid w:val="00FE3C9E"/>
    <w:rsid w:val="00FE5AF5"/>
    <w:rsid w:val="01034DB5"/>
    <w:rsid w:val="015C5EEB"/>
    <w:rsid w:val="01887CB1"/>
    <w:rsid w:val="02566273"/>
    <w:rsid w:val="02D38BD9"/>
    <w:rsid w:val="02ED6351"/>
    <w:rsid w:val="0398FC94"/>
    <w:rsid w:val="044F628A"/>
    <w:rsid w:val="0466F655"/>
    <w:rsid w:val="05BC21BB"/>
    <w:rsid w:val="05C82EC6"/>
    <w:rsid w:val="06912039"/>
    <w:rsid w:val="06B8E152"/>
    <w:rsid w:val="072E9AE4"/>
    <w:rsid w:val="074FF5C4"/>
    <w:rsid w:val="07EC616B"/>
    <w:rsid w:val="089FCBA3"/>
    <w:rsid w:val="08A28E2A"/>
    <w:rsid w:val="093CD8BE"/>
    <w:rsid w:val="094FA30C"/>
    <w:rsid w:val="0956C69B"/>
    <w:rsid w:val="0975BB7D"/>
    <w:rsid w:val="09BF2F6F"/>
    <w:rsid w:val="0A3085E0"/>
    <w:rsid w:val="0A731618"/>
    <w:rsid w:val="0CAB2E67"/>
    <w:rsid w:val="0D268B22"/>
    <w:rsid w:val="0DB77225"/>
    <w:rsid w:val="0DCE8B60"/>
    <w:rsid w:val="0DCEC5AD"/>
    <w:rsid w:val="0DD112FC"/>
    <w:rsid w:val="0E3ACA22"/>
    <w:rsid w:val="0E7F6865"/>
    <w:rsid w:val="0EF5E4CA"/>
    <w:rsid w:val="0F3B4578"/>
    <w:rsid w:val="10273CD3"/>
    <w:rsid w:val="10EEB270"/>
    <w:rsid w:val="111D46D5"/>
    <w:rsid w:val="1171AD91"/>
    <w:rsid w:val="11F690D8"/>
    <w:rsid w:val="13500F7E"/>
    <w:rsid w:val="138554A2"/>
    <w:rsid w:val="139C8870"/>
    <w:rsid w:val="13B129EF"/>
    <w:rsid w:val="13CF4BE6"/>
    <w:rsid w:val="13D30C39"/>
    <w:rsid w:val="142C4562"/>
    <w:rsid w:val="14E4F2D9"/>
    <w:rsid w:val="15C4D931"/>
    <w:rsid w:val="15F4A3D2"/>
    <w:rsid w:val="162D89EE"/>
    <w:rsid w:val="17253E58"/>
    <w:rsid w:val="1753E6EA"/>
    <w:rsid w:val="17B0F1A3"/>
    <w:rsid w:val="17BDCFE1"/>
    <w:rsid w:val="18048D38"/>
    <w:rsid w:val="18FDD4F9"/>
    <w:rsid w:val="1931F63F"/>
    <w:rsid w:val="19618DC8"/>
    <w:rsid w:val="199FF7F7"/>
    <w:rsid w:val="19C86D85"/>
    <w:rsid w:val="1A1BD22C"/>
    <w:rsid w:val="1A6928E9"/>
    <w:rsid w:val="1A8F2AB7"/>
    <w:rsid w:val="1C00A023"/>
    <w:rsid w:val="1C23D099"/>
    <w:rsid w:val="1C49C3CE"/>
    <w:rsid w:val="1C8A0805"/>
    <w:rsid w:val="1CC6ED34"/>
    <w:rsid w:val="1E46A901"/>
    <w:rsid w:val="1EBB22EC"/>
    <w:rsid w:val="1EDBB771"/>
    <w:rsid w:val="1F1712A6"/>
    <w:rsid w:val="1F74183C"/>
    <w:rsid w:val="1FD5A25B"/>
    <w:rsid w:val="1FE27962"/>
    <w:rsid w:val="205170C7"/>
    <w:rsid w:val="231A1158"/>
    <w:rsid w:val="23669CAC"/>
    <w:rsid w:val="24A4406F"/>
    <w:rsid w:val="24D192FB"/>
    <w:rsid w:val="24F976E8"/>
    <w:rsid w:val="251337C3"/>
    <w:rsid w:val="2524E05A"/>
    <w:rsid w:val="265DD234"/>
    <w:rsid w:val="277DB373"/>
    <w:rsid w:val="27EC5094"/>
    <w:rsid w:val="290D51FB"/>
    <w:rsid w:val="2944068D"/>
    <w:rsid w:val="298D1140"/>
    <w:rsid w:val="2A4A3134"/>
    <w:rsid w:val="2A56A8C1"/>
    <w:rsid w:val="2B5733E8"/>
    <w:rsid w:val="2B88A40D"/>
    <w:rsid w:val="2BB8FFAB"/>
    <w:rsid w:val="2C19B31F"/>
    <w:rsid w:val="2C3903A8"/>
    <w:rsid w:val="2CD0DCF6"/>
    <w:rsid w:val="2CD4F9C8"/>
    <w:rsid w:val="2D89E65E"/>
    <w:rsid w:val="2DD21182"/>
    <w:rsid w:val="2DE7FDC8"/>
    <w:rsid w:val="2E2EF0B0"/>
    <w:rsid w:val="2E4B22B5"/>
    <w:rsid w:val="2E90BE12"/>
    <w:rsid w:val="2EDD16D3"/>
    <w:rsid w:val="2FA7F074"/>
    <w:rsid w:val="2FCE571D"/>
    <w:rsid w:val="2FDDEA70"/>
    <w:rsid w:val="3026F852"/>
    <w:rsid w:val="304C0D66"/>
    <w:rsid w:val="30F8776D"/>
    <w:rsid w:val="31C4CFA6"/>
    <w:rsid w:val="31C85ED4"/>
    <w:rsid w:val="322CB3DB"/>
    <w:rsid w:val="32B00505"/>
    <w:rsid w:val="32B4582E"/>
    <w:rsid w:val="33078BC7"/>
    <w:rsid w:val="33582A44"/>
    <w:rsid w:val="33683327"/>
    <w:rsid w:val="33B38657"/>
    <w:rsid w:val="33F140E8"/>
    <w:rsid w:val="34415306"/>
    <w:rsid w:val="347CD94D"/>
    <w:rsid w:val="34D4B05E"/>
    <w:rsid w:val="3508B40C"/>
    <w:rsid w:val="3531038A"/>
    <w:rsid w:val="3545AFFD"/>
    <w:rsid w:val="3626B467"/>
    <w:rsid w:val="3628E171"/>
    <w:rsid w:val="3644D490"/>
    <w:rsid w:val="369840C9"/>
    <w:rsid w:val="36A4846D"/>
    <w:rsid w:val="37E5AC01"/>
    <w:rsid w:val="380B9C97"/>
    <w:rsid w:val="3812F825"/>
    <w:rsid w:val="382124D9"/>
    <w:rsid w:val="382C11A0"/>
    <w:rsid w:val="387E5A56"/>
    <w:rsid w:val="391786B0"/>
    <w:rsid w:val="396217DD"/>
    <w:rsid w:val="39CFE4D0"/>
    <w:rsid w:val="3A17AF7C"/>
    <w:rsid w:val="3A1C995E"/>
    <w:rsid w:val="3A53A42E"/>
    <w:rsid w:val="3AA6F176"/>
    <w:rsid w:val="3CB5843B"/>
    <w:rsid w:val="3CD0909C"/>
    <w:rsid w:val="3D96643C"/>
    <w:rsid w:val="3E54F2B6"/>
    <w:rsid w:val="3E8DB97F"/>
    <w:rsid w:val="3F6D9FD7"/>
    <w:rsid w:val="3FFEFDA0"/>
    <w:rsid w:val="408955B8"/>
    <w:rsid w:val="40BCB330"/>
    <w:rsid w:val="40E5DE2C"/>
    <w:rsid w:val="411F10DD"/>
    <w:rsid w:val="419AD46A"/>
    <w:rsid w:val="41BB9D7E"/>
    <w:rsid w:val="427D78AE"/>
    <w:rsid w:val="42BFECFE"/>
    <w:rsid w:val="42E33324"/>
    <w:rsid w:val="435E2FCA"/>
    <w:rsid w:val="43D62DF0"/>
    <w:rsid w:val="442D139C"/>
    <w:rsid w:val="451A81B8"/>
    <w:rsid w:val="45D5C23B"/>
    <w:rsid w:val="45F5C0F2"/>
    <w:rsid w:val="4639066A"/>
    <w:rsid w:val="4645B16D"/>
    <w:rsid w:val="465D15CB"/>
    <w:rsid w:val="4665B323"/>
    <w:rsid w:val="470E7002"/>
    <w:rsid w:val="475DFD3E"/>
    <w:rsid w:val="477DDCBB"/>
    <w:rsid w:val="48AB02FA"/>
    <w:rsid w:val="4A07E069"/>
    <w:rsid w:val="4A336E49"/>
    <w:rsid w:val="4B543624"/>
    <w:rsid w:val="4B6B9B6F"/>
    <w:rsid w:val="4BA41571"/>
    <w:rsid w:val="4C4503BF"/>
    <w:rsid w:val="4DA8968F"/>
    <w:rsid w:val="4E794F15"/>
    <w:rsid w:val="4EAE9078"/>
    <w:rsid w:val="4EBEEB73"/>
    <w:rsid w:val="4F8885FB"/>
    <w:rsid w:val="4F9FC3B5"/>
    <w:rsid w:val="507BE484"/>
    <w:rsid w:val="511365BC"/>
    <w:rsid w:val="5119A778"/>
    <w:rsid w:val="51E19833"/>
    <w:rsid w:val="52F31C8A"/>
    <w:rsid w:val="539056DF"/>
    <w:rsid w:val="54928FD4"/>
    <w:rsid w:val="54A2EA49"/>
    <w:rsid w:val="554B99C7"/>
    <w:rsid w:val="55A8306C"/>
    <w:rsid w:val="55DE90F1"/>
    <w:rsid w:val="55E711DC"/>
    <w:rsid w:val="592A7301"/>
    <w:rsid w:val="593FF6AE"/>
    <w:rsid w:val="59F1431F"/>
    <w:rsid w:val="5A0D8E48"/>
    <w:rsid w:val="5B4D07B8"/>
    <w:rsid w:val="5B4E58E7"/>
    <w:rsid w:val="5C3A2355"/>
    <w:rsid w:val="5CB4A955"/>
    <w:rsid w:val="5CF59188"/>
    <w:rsid w:val="5DF20732"/>
    <w:rsid w:val="5F08D3D2"/>
    <w:rsid w:val="60898096"/>
    <w:rsid w:val="60D0D2F4"/>
    <w:rsid w:val="60F2BE33"/>
    <w:rsid w:val="612C08F6"/>
    <w:rsid w:val="6229DDEB"/>
    <w:rsid w:val="6367CEDF"/>
    <w:rsid w:val="63EF81D5"/>
    <w:rsid w:val="6439DEF7"/>
    <w:rsid w:val="648687C4"/>
    <w:rsid w:val="648FA722"/>
    <w:rsid w:val="64966F3C"/>
    <w:rsid w:val="64A485B9"/>
    <w:rsid w:val="65095624"/>
    <w:rsid w:val="657C132A"/>
    <w:rsid w:val="66A2685C"/>
    <w:rsid w:val="672D9594"/>
    <w:rsid w:val="679C1B3E"/>
    <w:rsid w:val="67D33005"/>
    <w:rsid w:val="67FCA55D"/>
    <w:rsid w:val="68236645"/>
    <w:rsid w:val="6833854D"/>
    <w:rsid w:val="6A2351CD"/>
    <w:rsid w:val="6A297581"/>
    <w:rsid w:val="6A48C0F0"/>
    <w:rsid w:val="6A661F99"/>
    <w:rsid w:val="6AEE53D2"/>
    <w:rsid w:val="6BAB24D0"/>
    <w:rsid w:val="6D3F07AB"/>
    <w:rsid w:val="6E0D02B3"/>
    <w:rsid w:val="6E290591"/>
    <w:rsid w:val="6E95818E"/>
    <w:rsid w:val="6EF0B084"/>
    <w:rsid w:val="6F7C91FE"/>
    <w:rsid w:val="6FB2ACF9"/>
    <w:rsid w:val="6FCB8217"/>
    <w:rsid w:val="6FD68885"/>
    <w:rsid w:val="6FF4A19A"/>
    <w:rsid w:val="704B439A"/>
    <w:rsid w:val="70825F31"/>
    <w:rsid w:val="70929351"/>
    <w:rsid w:val="70AC7027"/>
    <w:rsid w:val="70E403D7"/>
    <w:rsid w:val="70E8648D"/>
    <w:rsid w:val="71065247"/>
    <w:rsid w:val="710FC53C"/>
    <w:rsid w:val="7133819F"/>
    <w:rsid w:val="71639C04"/>
    <w:rsid w:val="727FD438"/>
    <w:rsid w:val="72C038A7"/>
    <w:rsid w:val="73624207"/>
    <w:rsid w:val="73A8924B"/>
    <w:rsid w:val="73CA3413"/>
    <w:rsid w:val="7427C67F"/>
    <w:rsid w:val="7432CBCB"/>
    <w:rsid w:val="7455A090"/>
    <w:rsid w:val="7523416E"/>
    <w:rsid w:val="76001A1D"/>
    <w:rsid w:val="762FCB2C"/>
    <w:rsid w:val="7633B246"/>
    <w:rsid w:val="764DB019"/>
    <w:rsid w:val="770276E5"/>
    <w:rsid w:val="7753D1E7"/>
    <w:rsid w:val="77A86976"/>
    <w:rsid w:val="77AE2878"/>
    <w:rsid w:val="7817E53D"/>
    <w:rsid w:val="785CB4EE"/>
    <w:rsid w:val="78A2A181"/>
    <w:rsid w:val="78ABC268"/>
    <w:rsid w:val="79AE26F3"/>
    <w:rsid w:val="79F2CCB5"/>
    <w:rsid w:val="79F8854F"/>
    <w:rsid w:val="7B0CD6C6"/>
    <w:rsid w:val="7B72CA4A"/>
    <w:rsid w:val="7BC47A60"/>
    <w:rsid w:val="7BE8C352"/>
    <w:rsid w:val="7BFADBE6"/>
    <w:rsid w:val="7C190DF7"/>
    <w:rsid w:val="7CAFE08E"/>
    <w:rsid w:val="7D58EF33"/>
    <w:rsid w:val="7E50DBEE"/>
    <w:rsid w:val="7EB841E1"/>
    <w:rsid w:val="7FA02CD5"/>
    <w:rsid w:val="7FB5C28E"/>
    <w:rsid w:val="7FD0C94F"/>
    <w:rsid w:val="7FD383F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F8E60FB"/>
  <w15:docId w15:val="{4F4D9611-EAEF-4CA1-B7AF-864FE867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61"/>
    <w:rPr>
      <w:rFonts w:asciiTheme="minorHAnsi" w:eastAsiaTheme="minorEastAsia" w:hAnsiTheme="minorHAnsi" w:cstheme="minorBidi"/>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eastAsia="Times New Roman"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eastAsia="Times New Roman"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eastAsia="Times New Roman"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rFonts w:ascii="Times New Roman" w:eastAsia="Times New Roman" w:hAnsi="Times New Roman" w:cs="Times New Roman"/>
      <w:b/>
      <w:bCs/>
      <w:sz w:val="28"/>
      <w:szCs w:val="28"/>
    </w:rPr>
  </w:style>
  <w:style w:type="paragraph" w:styleId="Rubrik5">
    <w:name w:val="heading 5"/>
    <w:basedOn w:val="Normal"/>
    <w:next w:val="Normal"/>
    <w:semiHidden/>
    <w:pPr>
      <w:numPr>
        <w:ilvl w:val="4"/>
        <w:numId w:val="9"/>
      </w:numPr>
      <w:spacing w:before="240" w:after="60"/>
      <w:outlineLvl w:val="4"/>
    </w:pPr>
    <w:rPr>
      <w:rFonts w:ascii="Times New Roman" w:eastAsia="Times New Roman" w:hAnsi="Times New Roman" w:cs="Times New Roman"/>
      <w:b/>
      <w:bCs/>
      <w:i/>
      <w:iCs/>
      <w:sz w:val="26"/>
      <w:szCs w:val="26"/>
    </w:rPr>
  </w:style>
  <w:style w:type="paragraph" w:styleId="Rubrik6">
    <w:name w:val="heading 6"/>
    <w:basedOn w:val="Normal"/>
    <w:next w:val="Normal"/>
    <w:semiHidden/>
    <w:pPr>
      <w:numPr>
        <w:ilvl w:val="5"/>
        <w:numId w:val="10"/>
      </w:numPr>
      <w:spacing w:before="240" w:after="60"/>
      <w:outlineLvl w:val="5"/>
    </w:pPr>
    <w:rPr>
      <w:rFonts w:ascii="Times New Roman" w:eastAsia="Times New Roman" w:hAnsi="Times New Roman" w:cs="Times New Roman"/>
      <w:b/>
      <w:bCs/>
      <w:sz w:val="22"/>
      <w:szCs w:val="22"/>
    </w:rPr>
  </w:style>
  <w:style w:type="paragraph" w:styleId="Rubrik7">
    <w:name w:val="heading 7"/>
    <w:basedOn w:val="Normal"/>
    <w:next w:val="Normal"/>
    <w:semiHidden/>
    <w:pPr>
      <w:numPr>
        <w:ilvl w:val="6"/>
        <w:numId w:val="11"/>
      </w:numPr>
      <w:spacing w:before="240" w:after="60"/>
      <w:outlineLvl w:val="6"/>
    </w:pPr>
    <w:rPr>
      <w:rFonts w:ascii="Times New Roman" w:eastAsia="Times New Roman" w:hAnsi="Times New Roman" w:cs="Times New Roman"/>
    </w:rPr>
  </w:style>
  <w:style w:type="paragraph" w:styleId="Rubrik8">
    <w:name w:val="heading 8"/>
    <w:basedOn w:val="Normal"/>
    <w:next w:val="Normal"/>
    <w:semiHidden/>
    <w:pPr>
      <w:numPr>
        <w:ilvl w:val="7"/>
        <w:numId w:val="12"/>
      </w:numPr>
      <w:spacing w:before="240" w:after="60"/>
      <w:outlineLvl w:val="7"/>
    </w:pPr>
    <w:rPr>
      <w:rFonts w:ascii="Times New Roman" w:eastAsia="Times New Roman" w:hAnsi="Times New Roman" w:cs="Times New Roman"/>
      <w:i/>
      <w:iCs/>
    </w:rPr>
  </w:style>
  <w:style w:type="paragraph" w:styleId="Rubrik9">
    <w:name w:val="heading 9"/>
    <w:basedOn w:val="Normal"/>
    <w:next w:val="Normal"/>
    <w:semiHidden/>
    <w:pPr>
      <w:numPr>
        <w:ilvl w:val="8"/>
        <w:numId w:val="13"/>
      </w:numPr>
      <w:spacing w:before="240" w:after="60"/>
      <w:outlineLvl w:val="8"/>
    </w:pPr>
    <w:rPr>
      <w:rFonts w:ascii="Arial" w:eastAsia="Times New Roman"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rPr>
      <w:rFonts w:ascii="Times New Roman" w:eastAsia="Times New Roman" w:hAnsi="Times New Roman" w:cs="Times New Roman"/>
    </w:rPr>
  </w:style>
  <w:style w:type="paragraph" w:styleId="Brdtextmedindrag">
    <w:name w:val="Body Text Indent"/>
    <w:basedOn w:val="Normal"/>
    <w:semiHidden/>
    <w:pPr>
      <w:spacing w:after="120"/>
      <w:ind w:left="283"/>
    </w:pPr>
    <w:rPr>
      <w:rFonts w:ascii="Times New Roman" w:eastAsia="Times New Roman" w:hAnsi="Times New Roman" w:cs="Times New Roman"/>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eastAsia="Times New Roman" w:hAnsi="Arial" w:cs="Arial"/>
      <w:sz w:val="16"/>
    </w:rPr>
  </w:style>
  <w:style w:type="paragraph" w:styleId="Sidfot">
    <w:name w:val="footer"/>
    <w:basedOn w:val="Normal"/>
    <w:semiHidden/>
    <w:pPr>
      <w:tabs>
        <w:tab w:val="right" w:pos="8165"/>
      </w:tabs>
    </w:pPr>
    <w:rPr>
      <w:rFonts w:ascii="Verdana" w:eastAsia="Times New Roman"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rPr>
      <w:rFonts w:ascii="Times New Roman" w:eastAsia="Times New Roman" w:hAnsi="Times New Roman" w:cs="Times New Roman"/>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paragraph" w:styleId="Fotnotstext">
    <w:name w:val="footnote text"/>
    <w:basedOn w:val="Normal"/>
    <w:link w:val="FotnotstextChar"/>
    <w:uiPriority w:val="99"/>
    <w:semiHidden/>
    <w:unhideWhenUsed/>
    <w:rsid w:val="003F29AD"/>
    <w:rPr>
      <w:rFonts w:ascii="Calibri" w:eastAsia="Calibri" w:hAnsi="Calibri" w:cs="Times New Roman"/>
      <w:sz w:val="20"/>
      <w:szCs w:val="20"/>
      <w:lang w:eastAsia="en-US"/>
    </w:rPr>
  </w:style>
  <w:style w:type="character" w:customStyle="1" w:styleId="FotnotstextChar">
    <w:name w:val="Fotnotstext Char"/>
    <w:link w:val="Fotnotstext"/>
    <w:uiPriority w:val="99"/>
    <w:semiHidden/>
    <w:rsid w:val="003F29AD"/>
    <w:rPr>
      <w:rFonts w:ascii="Calibri" w:eastAsia="Calibri" w:hAnsi="Calibri"/>
      <w:lang w:val="sv-SE" w:eastAsia="en-US"/>
    </w:rPr>
  </w:style>
  <w:style w:type="character" w:styleId="Fotnotsreferens">
    <w:name w:val="footnote reference"/>
    <w:uiPriority w:val="99"/>
    <w:semiHidden/>
    <w:unhideWhenUsed/>
    <w:rsid w:val="003F29AD"/>
    <w:rPr>
      <w:vertAlign w:val="superscript"/>
    </w:rPr>
  </w:style>
  <w:style w:type="paragraph" w:customStyle="1" w:styleId="rubrikb0">
    <w:name w:val="rubrikb"/>
    <w:basedOn w:val="Normal"/>
    <w:rsid w:val="003F29AD"/>
    <w:pPr>
      <w:spacing w:before="100" w:beforeAutospacing="1" w:after="100" w:afterAutospacing="1"/>
    </w:pPr>
    <w:rPr>
      <w:rFonts w:ascii="Times New Roman" w:eastAsia="Times New Roman" w:hAnsi="Times New Roman" w:cs="Times New Roman"/>
      <w:lang w:val="sv-FI" w:eastAsia="sv-FI"/>
    </w:rPr>
  </w:style>
  <w:style w:type="paragraph" w:customStyle="1" w:styleId="anormal0">
    <w:name w:val="anormal"/>
    <w:basedOn w:val="Normal"/>
    <w:rsid w:val="003F29AD"/>
    <w:pPr>
      <w:spacing w:before="100" w:beforeAutospacing="1" w:after="100" w:afterAutospacing="1"/>
    </w:pPr>
    <w:rPr>
      <w:rFonts w:ascii="Times New Roman" w:eastAsia="Times New Roman" w:hAnsi="Times New Roman" w:cs="Times New Roman"/>
      <w:lang w:val="sv-FI" w:eastAsia="sv-FI"/>
    </w:rPr>
  </w:style>
  <w:style w:type="paragraph" w:customStyle="1" w:styleId="BAllmottext">
    <w:name w:val="B Allmot text"/>
    <w:rsid w:val="002534CB"/>
    <w:pPr>
      <w:widowControl w:val="0"/>
      <w:spacing w:line="288" w:lineRule="auto"/>
      <w:ind w:rightChars="250" w:right="250"/>
      <w:jc w:val="both"/>
    </w:pPr>
    <w:rPr>
      <w:sz w:val="22"/>
      <w:lang w:val="sv-SE" w:eastAsia="sv-SE"/>
    </w:rPr>
  </w:style>
  <w:style w:type="character" w:customStyle="1" w:styleId="Inget">
    <w:name w:val="Inget"/>
    <w:rsid w:val="00F43E99"/>
    <w:rPr>
      <w:lang w:val="sv-SE"/>
    </w:rPr>
  </w:style>
  <w:style w:type="character" w:customStyle="1" w:styleId="IngetA">
    <w:name w:val="Inget A"/>
    <w:rsid w:val="00F43E99"/>
  </w:style>
  <w:style w:type="numbering" w:customStyle="1" w:styleId="Importeradestilen1">
    <w:name w:val="Importerade stilen 1"/>
    <w:rsid w:val="00F43E99"/>
    <w:pPr>
      <w:numPr>
        <w:numId w:val="21"/>
      </w:numPr>
    </w:pPr>
  </w:style>
  <w:style w:type="paragraph" w:styleId="Ballongtext">
    <w:name w:val="Balloon Text"/>
    <w:basedOn w:val="Normal"/>
    <w:link w:val="BallongtextChar"/>
    <w:uiPriority w:val="99"/>
    <w:semiHidden/>
    <w:unhideWhenUsed/>
    <w:rsid w:val="006D06F2"/>
    <w:rPr>
      <w:rFonts w:ascii="Tahoma" w:hAnsi="Tahoma" w:cs="Tahoma"/>
      <w:sz w:val="16"/>
      <w:szCs w:val="16"/>
    </w:rPr>
  </w:style>
  <w:style w:type="character" w:customStyle="1" w:styleId="BallongtextChar">
    <w:name w:val="Ballongtext Char"/>
    <w:link w:val="Ballongtext"/>
    <w:uiPriority w:val="99"/>
    <w:semiHidden/>
    <w:rsid w:val="006D06F2"/>
    <w:rPr>
      <w:rFonts w:ascii="Tahoma" w:hAnsi="Tahoma" w:cs="Tahoma"/>
      <w:sz w:val="16"/>
      <w:szCs w:val="16"/>
      <w:lang w:val="sv-SE" w:eastAsia="sv-SE"/>
    </w:rPr>
  </w:style>
  <w:style w:type="paragraph" w:customStyle="1" w:styleId="rubrika0">
    <w:name w:val="rubrika"/>
    <w:basedOn w:val="Normal"/>
    <w:rsid w:val="00912925"/>
    <w:pPr>
      <w:spacing w:after="165"/>
    </w:pPr>
    <w:rPr>
      <w:rFonts w:ascii="Times New Roman" w:eastAsia="Times New Roman" w:hAnsi="Times New Roman" w:cs="Times New Roman"/>
      <w:color w:val="555555"/>
      <w:lang w:val="sv-FI" w:eastAsia="sv-FI"/>
    </w:rPr>
  </w:style>
  <w:style w:type="character" w:customStyle="1" w:styleId="IngetAA">
    <w:name w:val="Inget A A"/>
    <w:rsid w:val="00251F53"/>
  </w:style>
  <w:style w:type="paragraph" w:styleId="Liststycke">
    <w:name w:val="List Paragraph"/>
    <w:basedOn w:val="Normal"/>
    <w:uiPriority w:val="34"/>
    <w:qFormat/>
    <w:rsid w:val="005E276B"/>
    <w:pPr>
      <w:spacing w:after="160" w:line="259" w:lineRule="auto"/>
      <w:ind w:left="720"/>
      <w:contextualSpacing/>
    </w:pPr>
    <w:rPr>
      <w:rFonts w:ascii="Calibri" w:eastAsia="Calibri" w:hAnsi="Calibri" w:cs="Times New Roman"/>
      <w:sz w:val="22"/>
      <w:szCs w:val="22"/>
      <w:lang w:eastAsia="en-US"/>
    </w:rPr>
  </w:style>
  <w:style w:type="paragraph" w:styleId="Oformateradtext">
    <w:name w:val="Plain Text"/>
    <w:basedOn w:val="Normal"/>
    <w:link w:val="OformateradtextChar"/>
    <w:uiPriority w:val="99"/>
    <w:semiHidden/>
    <w:unhideWhenUsed/>
    <w:rsid w:val="00AA302C"/>
    <w:rPr>
      <w:rFonts w:ascii="Calibri" w:eastAsia="Calibri" w:hAnsi="Calibri"/>
      <w:sz w:val="22"/>
      <w:szCs w:val="21"/>
      <w:lang w:val="en-US" w:eastAsia="en-US"/>
    </w:rPr>
  </w:style>
  <w:style w:type="character" w:customStyle="1" w:styleId="OformateradtextChar">
    <w:name w:val="Oformaterad text Char"/>
    <w:link w:val="Oformateradtext"/>
    <w:uiPriority w:val="99"/>
    <w:semiHidden/>
    <w:rsid w:val="00AA302C"/>
    <w:rPr>
      <w:rFonts w:ascii="Calibri" w:eastAsia="Calibri" w:hAnsi="Calibri"/>
      <w:sz w:val="22"/>
      <w:szCs w:val="21"/>
      <w:lang w:val="en-US" w:eastAsia="en-US"/>
    </w:rPr>
  </w:style>
  <w:style w:type="paragraph" w:customStyle="1" w:styleId="xmsonormal">
    <w:name w:val="x_msonormal"/>
    <w:basedOn w:val="Normal"/>
    <w:rsid w:val="00804FFC"/>
    <w:rPr>
      <w:rFonts w:ascii="Calibri" w:eastAsia="Calibri" w:hAnsi="Calibri" w:cs="Calibri"/>
      <w:sz w:val="22"/>
      <w:szCs w:val="22"/>
      <w:lang w:val="sv-FI" w:eastAsia="sv-FI"/>
    </w:rPr>
  </w:style>
  <w:style w:type="character" w:customStyle="1" w:styleId="Olstomnmnande1">
    <w:name w:val="Olöst omnämnande1"/>
    <w:uiPriority w:val="99"/>
    <w:semiHidden/>
    <w:unhideWhenUsed/>
    <w:rsid w:val="00A52572"/>
    <w:rPr>
      <w:color w:val="808080"/>
      <w:shd w:val="clear" w:color="auto" w:fill="E6E6E6"/>
    </w:rPr>
  </w:style>
  <w:style w:type="character" w:styleId="Kommentarsreferens">
    <w:name w:val="annotation reference"/>
    <w:basedOn w:val="Standardstycketeckensnitt"/>
    <w:uiPriority w:val="99"/>
    <w:semiHidden/>
    <w:unhideWhenUsed/>
    <w:rsid w:val="00E858FD"/>
    <w:rPr>
      <w:sz w:val="16"/>
      <w:szCs w:val="16"/>
    </w:rPr>
  </w:style>
  <w:style w:type="paragraph" w:styleId="Kommentarer">
    <w:name w:val="annotation text"/>
    <w:basedOn w:val="Normal"/>
    <w:link w:val="KommentarerChar"/>
    <w:uiPriority w:val="99"/>
    <w:semiHidden/>
    <w:unhideWhenUsed/>
    <w:rsid w:val="00E858FD"/>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uiPriority w:val="99"/>
    <w:semiHidden/>
    <w:rsid w:val="00E858FD"/>
    <w:rPr>
      <w:lang w:val="sv-SE" w:eastAsia="sv-SE"/>
    </w:rPr>
  </w:style>
  <w:style w:type="paragraph" w:styleId="Kommentarsmne">
    <w:name w:val="annotation subject"/>
    <w:basedOn w:val="Kommentarer"/>
    <w:next w:val="Kommentarer"/>
    <w:link w:val="KommentarsmneChar"/>
    <w:uiPriority w:val="99"/>
    <w:semiHidden/>
    <w:unhideWhenUsed/>
    <w:rsid w:val="00E858FD"/>
    <w:rPr>
      <w:b/>
      <w:bCs/>
    </w:rPr>
  </w:style>
  <w:style w:type="character" w:customStyle="1" w:styleId="KommentarsmneChar">
    <w:name w:val="Kommentarsämne Char"/>
    <w:basedOn w:val="KommentarerChar"/>
    <w:link w:val="Kommentarsmne"/>
    <w:uiPriority w:val="99"/>
    <w:semiHidden/>
    <w:rsid w:val="00E858FD"/>
    <w:rPr>
      <w:b/>
      <w:bCs/>
      <w:lang w:val="sv-SE" w:eastAsia="sv-SE"/>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17848">
      <w:bodyDiv w:val="1"/>
      <w:marLeft w:val="0"/>
      <w:marRight w:val="0"/>
      <w:marTop w:val="0"/>
      <w:marBottom w:val="0"/>
      <w:divBdr>
        <w:top w:val="none" w:sz="0" w:space="0" w:color="auto"/>
        <w:left w:val="none" w:sz="0" w:space="0" w:color="auto"/>
        <w:bottom w:val="none" w:sz="0" w:space="0" w:color="auto"/>
        <w:right w:val="none" w:sz="0" w:space="0" w:color="auto"/>
      </w:divBdr>
    </w:div>
    <w:div w:id="465437880">
      <w:bodyDiv w:val="1"/>
      <w:marLeft w:val="0"/>
      <w:marRight w:val="0"/>
      <w:marTop w:val="0"/>
      <w:marBottom w:val="0"/>
      <w:divBdr>
        <w:top w:val="none" w:sz="0" w:space="0" w:color="auto"/>
        <w:left w:val="none" w:sz="0" w:space="0" w:color="auto"/>
        <w:bottom w:val="none" w:sz="0" w:space="0" w:color="auto"/>
        <w:right w:val="none" w:sz="0" w:space="0" w:color="auto"/>
      </w:divBdr>
    </w:div>
    <w:div w:id="10016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C907DACFBF26E418648969148289E3F" ma:contentTypeVersion="2" ma:contentTypeDescription="Skapa ett nytt dokument." ma:contentTypeScope="" ma:versionID="1d1ac61c5f4b3a503ceea43f7bf3faf6">
  <xsd:schema xmlns:xsd="http://www.w3.org/2001/XMLSchema" xmlns:xs="http://www.w3.org/2001/XMLSchema" xmlns:p="http://schemas.microsoft.com/office/2006/metadata/properties" xmlns:ns2="b888b738-d7ab-4edb-8ed3-765a5227d62c" targetNamespace="http://schemas.microsoft.com/office/2006/metadata/properties" ma:root="true" ma:fieldsID="9620f103eaa65495de97137dc3722447" ns2:_="">
    <xsd:import namespace="b888b738-d7ab-4edb-8ed3-765a5227d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8b738-d7ab-4edb-8ed3-765a5227d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EE26A-C590-47A5-8B2A-47E27925F97B}">
  <ds:schemaRefs>
    <ds:schemaRef ds:uri="http://schemas.microsoft.com/sharepoint/v3/contenttype/forms"/>
  </ds:schemaRefs>
</ds:datastoreItem>
</file>

<file path=customXml/itemProps2.xml><?xml version="1.0" encoding="utf-8"?>
<ds:datastoreItem xmlns:ds="http://schemas.openxmlformats.org/officeDocument/2006/customXml" ds:itemID="{9A682B46-E0C4-43A5-AB91-ACD2167B684E}">
  <ds:schemaRefs>
    <ds:schemaRef ds:uri="http://schemas.openxmlformats.org/officeDocument/2006/bibliography"/>
  </ds:schemaRefs>
</ds:datastoreItem>
</file>

<file path=customXml/itemProps3.xml><?xml version="1.0" encoding="utf-8"?>
<ds:datastoreItem xmlns:ds="http://schemas.openxmlformats.org/officeDocument/2006/customXml" ds:itemID="{D61D9D37-2CBC-4358-B509-FFC3C156D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8b738-d7ab-4edb-8ed3-765a5227d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609B-52D9-4D3E-85D5-9EF00B2F8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4356</Words>
  <Characters>23089</Characters>
  <Application>Microsoft Office Word</Application>
  <DocSecurity>0</DocSecurity>
  <Lines>192</Lines>
  <Paragraphs>54</Paragraphs>
  <ScaleCrop>false</ScaleCrop>
  <HeadingPairs>
    <vt:vector size="2" baseType="variant">
      <vt:variant>
        <vt:lpstr>Rubrik</vt:lpstr>
      </vt:variant>
      <vt:variant>
        <vt:i4>1</vt:i4>
      </vt:variant>
    </vt:vector>
  </HeadingPairs>
  <TitlesOfParts>
    <vt:vector size="1" baseType="lpstr">
      <vt:lpstr>Landskapsregeringens meddelande nr 6/2017-2018</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meddelande nr 1/2020-2021</dc:title>
  <dc:creator>Dan E Eriksson</dc:creator>
  <cp:lastModifiedBy>Jessica Laaksonen</cp:lastModifiedBy>
  <cp:revision>2</cp:revision>
  <cp:lastPrinted>2020-12-09T08:38:00Z</cp:lastPrinted>
  <dcterms:created xsi:type="dcterms:W3CDTF">2020-12-10T13:30:00Z</dcterms:created>
  <dcterms:modified xsi:type="dcterms:W3CDTF">2020-12-10T13:30:00Z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0x010100AC907DACFBF26E418648969148289E3F</vt:lpwstr>
  </property>
</Properties>
</file>