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14:paraId="4822E96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AAE31BF" w14:textId="63D58179" w:rsidR="00AF3004" w:rsidRDefault="00407501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58FE4BF9" wp14:editId="0ED6DC7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7B72567" w14:textId="7B13318D" w:rsidR="00AF3004" w:rsidRDefault="0040750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EB57AAE" wp14:editId="7422EE0C">
                  <wp:extent cx="47625" cy="476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14:paraId="6015D76B" w14:textId="77777777">
        <w:trPr>
          <w:cantSplit/>
          <w:trHeight w:val="299"/>
        </w:trPr>
        <w:tc>
          <w:tcPr>
            <w:tcW w:w="861" w:type="dxa"/>
            <w:vMerge/>
          </w:tcPr>
          <w:p w14:paraId="7E60564D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0DBB1EC" w14:textId="77777777"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17457E95" w14:textId="47A03DC2" w:rsidR="00AF3004" w:rsidRDefault="00CF5E96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807911">
              <w:t>29</w:t>
            </w:r>
            <w:r w:rsidR="00AF3004">
              <w:t>/</w:t>
            </w:r>
            <w:proofErr w:type="gramStart"/>
            <w:r w:rsidR="00AF3004">
              <w:t>20</w:t>
            </w:r>
            <w:r>
              <w:t>20</w:t>
            </w:r>
            <w:r w:rsidR="00AF3004">
              <w:t>-20</w:t>
            </w:r>
            <w:r>
              <w:t>21</w:t>
            </w:r>
            <w:proofErr w:type="gramEnd"/>
          </w:p>
        </w:tc>
      </w:tr>
      <w:tr w:rsidR="00AF3004" w14:paraId="7B375E3E" w14:textId="77777777">
        <w:trPr>
          <w:cantSplit/>
          <w:trHeight w:val="238"/>
        </w:trPr>
        <w:tc>
          <w:tcPr>
            <w:tcW w:w="861" w:type="dxa"/>
            <w:vMerge/>
          </w:tcPr>
          <w:p w14:paraId="40F6140A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B6B9A40" w14:textId="77777777"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A096231" w14:textId="77777777"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4508BC94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68130C08" w14:textId="77777777">
        <w:trPr>
          <w:cantSplit/>
          <w:trHeight w:val="238"/>
        </w:trPr>
        <w:tc>
          <w:tcPr>
            <w:tcW w:w="861" w:type="dxa"/>
            <w:vMerge/>
          </w:tcPr>
          <w:p w14:paraId="1627609E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7FB25D0B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78A8726B" w14:textId="2BACCF64"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CF5E96">
              <w:rPr>
                <w:lang w:val="de-DE"/>
              </w:rPr>
              <w:t>21</w:t>
            </w:r>
            <w:r>
              <w:rPr>
                <w:lang w:val="de-DE"/>
              </w:rPr>
              <w:t>-</w:t>
            </w:r>
            <w:r w:rsidR="00B159A5">
              <w:rPr>
                <w:lang w:val="de-DE"/>
              </w:rPr>
              <w:t>09-02</w:t>
            </w:r>
          </w:p>
        </w:tc>
        <w:tc>
          <w:tcPr>
            <w:tcW w:w="2563" w:type="dxa"/>
            <w:vAlign w:val="center"/>
          </w:tcPr>
          <w:p w14:paraId="713A63C9" w14:textId="77777777"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 w14:paraId="5F64AFDE" w14:textId="77777777">
        <w:trPr>
          <w:cantSplit/>
          <w:trHeight w:val="238"/>
        </w:trPr>
        <w:tc>
          <w:tcPr>
            <w:tcW w:w="861" w:type="dxa"/>
            <w:vMerge/>
          </w:tcPr>
          <w:p w14:paraId="3DC16C0B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14:paraId="405AB35E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14:paraId="72A00106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14:paraId="7F544840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729CDE3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4BBB1CA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FA05991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598D894" w14:textId="318BB66A"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3B99BDB" w14:textId="61030693"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 w14:paraId="0B4C470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061D5B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0A0EE39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8DFC319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0B384AE7" w14:textId="77777777">
        <w:trPr>
          <w:cantSplit/>
          <w:trHeight w:val="238"/>
        </w:trPr>
        <w:tc>
          <w:tcPr>
            <w:tcW w:w="861" w:type="dxa"/>
          </w:tcPr>
          <w:p w14:paraId="084D0906" w14:textId="77777777"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14:paraId="0E5FD0DF" w14:textId="77777777"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CDCBC81" w14:textId="77777777"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 w14:paraId="0E762A3C" w14:textId="77777777">
        <w:trPr>
          <w:cantSplit/>
          <w:trHeight w:val="238"/>
        </w:trPr>
        <w:tc>
          <w:tcPr>
            <w:tcW w:w="861" w:type="dxa"/>
          </w:tcPr>
          <w:p w14:paraId="099E2F93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493E1F6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8505FC1" w14:textId="77777777" w:rsidR="00AF3004" w:rsidRDefault="00AF3004">
            <w:pPr>
              <w:pStyle w:val="xCelltext"/>
            </w:pPr>
          </w:p>
        </w:tc>
      </w:tr>
      <w:tr w:rsidR="00AF3004" w14:paraId="61271C9C" w14:textId="77777777">
        <w:trPr>
          <w:cantSplit/>
          <w:trHeight w:val="238"/>
        </w:trPr>
        <w:tc>
          <w:tcPr>
            <w:tcW w:w="861" w:type="dxa"/>
          </w:tcPr>
          <w:p w14:paraId="663EFF56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9D66148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05ED53B" w14:textId="77777777" w:rsidR="00AF3004" w:rsidRDefault="00AF3004">
            <w:pPr>
              <w:pStyle w:val="xCelltext"/>
            </w:pPr>
          </w:p>
        </w:tc>
      </w:tr>
      <w:tr w:rsidR="00AF3004" w14:paraId="38087CC5" w14:textId="77777777">
        <w:trPr>
          <w:cantSplit/>
          <w:trHeight w:val="238"/>
        </w:trPr>
        <w:tc>
          <w:tcPr>
            <w:tcW w:w="861" w:type="dxa"/>
          </w:tcPr>
          <w:p w14:paraId="34818741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82EA8BF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10C82F3" w14:textId="77777777" w:rsidR="00AF3004" w:rsidRDefault="00AF3004">
            <w:pPr>
              <w:pStyle w:val="xCelltext"/>
            </w:pPr>
          </w:p>
        </w:tc>
      </w:tr>
      <w:tr w:rsidR="00AF3004" w14:paraId="7572328C" w14:textId="77777777">
        <w:trPr>
          <w:cantSplit/>
          <w:trHeight w:val="238"/>
        </w:trPr>
        <w:tc>
          <w:tcPr>
            <w:tcW w:w="861" w:type="dxa"/>
          </w:tcPr>
          <w:p w14:paraId="38A758E6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0A4666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03B7E8A" w14:textId="77777777" w:rsidR="00AF3004" w:rsidRDefault="00AF3004">
            <w:pPr>
              <w:pStyle w:val="xCelltext"/>
            </w:pPr>
          </w:p>
        </w:tc>
      </w:tr>
    </w:tbl>
    <w:p w14:paraId="390A0A76" w14:textId="77777777" w:rsidR="00AF3004" w:rsidRDefault="00AF3004">
      <w:pPr>
        <w:rPr>
          <w:b/>
          <w:bCs/>
        </w:rPr>
        <w:sectPr w:rsidR="00AF3004">
          <w:footerReference w:type="even" r:id="rId13"/>
          <w:footerReference w:type="default" r:id="rId14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51403665" w14:textId="365F1CAA" w:rsidR="00AF3004" w:rsidRDefault="001C0D5F">
      <w:pPr>
        <w:pStyle w:val="ArendeRubrik"/>
      </w:pPr>
      <w:r>
        <w:t>Ändring av landskapslagen om bostadsproduktion</w:t>
      </w:r>
    </w:p>
    <w:p w14:paraId="27739F41" w14:textId="77777777" w:rsidR="00AF3004" w:rsidRDefault="00AF3004">
      <w:pPr>
        <w:pStyle w:val="ANormal"/>
      </w:pPr>
    </w:p>
    <w:p w14:paraId="19B13CEF" w14:textId="77777777" w:rsidR="00AF3004" w:rsidRDefault="00AF3004">
      <w:pPr>
        <w:pStyle w:val="ANormal"/>
      </w:pPr>
    </w:p>
    <w:p w14:paraId="3F7B58C4" w14:textId="77777777" w:rsidR="00AF3004" w:rsidRDefault="00AF3004">
      <w:pPr>
        <w:pStyle w:val="RubrikA"/>
      </w:pPr>
      <w:bookmarkStart w:id="1" w:name="_Toc81470258"/>
      <w:r>
        <w:t>Huvudsakligt innehåll</w:t>
      </w:r>
      <w:bookmarkEnd w:id="1"/>
    </w:p>
    <w:p w14:paraId="7A093D07" w14:textId="77777777" w:rsidR="00AF3004" w:rsidRDefault="00AF3004">
      <w:pPr>
        <w:pStyle w:val="Rubrikmellanrum"/>
      </w:pPr>
    </w:p>
    <w:p w14:paraId="2A785C2B" w14:textId="0BDC9B5D" w:rsidR="00AF3004" w:rsidRDefault="00796958">
      <w:pPr>
        <w:pStyle w:val="ANormal"/>
      </w:pPr>
      <w:r>
        <w:t xml:space="preserve">Landskapslagen om bostadsproduktion </w:t>
      </w:r>
      <w:r w:rsidR="00AF0324">
        <w:t xml:space="preserve">föreslås </w:t>
      </w:r>
      <w:r>
        <w:t>ändra</w:t>
      </w:r>
      <w:r w:rsidR="00AF0324">
        <w:t>d</w:t>
      </w:r>
      <w:r>
        <w:t xml:space="preserve"> så att ägar- och hyresbostadslån ska kunna återbetalas i förtid utan ersättning</w:t>
      </w:r>
      <w:r w:rsidR="003D5CDC">
        <w:t xml:space="preserve">, </w:t>
      </w:r>
      <w:r>
        <w:t xml:space="preserve">så att </w:t>
      </w:r>
      <w:r w:rsidR="003D5CDC">
        <w:t>även hyresbostäder befrias från användnings- och överlåtelsebegräns</w:t>
      </w:r>
      <w:r w:rsidR="007470A3">
        <w:t>n</w:t>
      </w:r>
      <w:r w:rsidR="003D5CDC">
        <w:t xml:space="preserve">ingar </w:t>
      </w:r>
      <w:r>
        <w:t xml:space="preserve">då </w:t>
      </w:r>
      <w:r w:rsidR="003D5CDC">
        <w:t>bostads</w:t>
      </w:r>
      <w:r>
        <w:t>lånet återbetala</w:t>
      </w:r>
      <w:r w:rsidR="003D5CDC">
        <w:t>s</w:t>
      </w:r>
      <w:r w:rsidR="007470A3">
        <w:t xml:space="preserve"> samt så att lånevillkoren även för hyresbostadslå</w:t>
      </w:r>
      <w:r w:rsidR="00B159A5">
        <w:t>n</w:t>
      </w:r>
      <w:r w:rsidR="007470A3">
        <w:t xml:space="preserve"> som beviljats med stöd av tidigare lagstiftning ska kunna ändras så att de överensstämmer med gällande lag.</w:t>
      </w:r>
    </w:p>
    <w:p w14:paraId="2F1EBAD0" w14:textId="77777777" w:rsidR="00F76485" w:rsidRDefault="00F76485">
      <w:pPr>
        <w:pStyle w:val="ANormal"/>
      </w:pPr>
    </w:p>
    <w:p w14:paraId="6674A8FF" w14:textId="77777777" w:rsidR="00AF3004" w:rsidRDefault="0002165F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24843480" w14:textId="77777777" w:rsidR="00AF3004" w:rsidRDefault="00AF3004">
      <w:pPr>
        <w:pStyle w:val="ANormal"/>
      </w:pPr>
    </w:p>
    <w:p w14:paraId="7EDEE19F" w14:textId="77777777" w:rsidR="00AF3004" w:rsidRDefault="00AF3004">
      <w:pPr>
        <w:pStyle w:val="ANormal"/>
      </w:pPr>
      <w:r>
        <w:br w:type="page"/>
      </w:r>
    </w:p>
    <w:p w14:paraId="478289C5" w14:textId="77777777" w:rsidR="00AF3004" w:rsidRDefault="00AF3004">
      <w:pPr>
        <w:pStyle w:val="Innehll1"/>
      </w:pPr>
      <w:r>
        <w:lastRenderedPageBreak/>
        <w:t>INNEHÅLL</w:t>
      </w:r>
    </w:p>
    <w:p w14:paraId="53B2F434" w14:textId="6707258F" w:rsidR="00807911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81470258" w:history="1">
        <w:r w:rsidR="00807911" w:rsidRPr="00C227D2">
          <w:rPr>
            <w:rStyle w:val="Hyperlnk"/>
          </w:rPr>
          <w:t>Huvudsakligt innehåll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_Toc81470258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1</w:t>
        </w:r>
        <w:r w:rsidR="00807911">
          <w:rPr>
            <w:webHidden/>
          </w:rPr>
          <w:fldChar w:fldCharType="end"/>
        </w:r>
      </w:hyperlink>
    </w:p>
    <w:p w14:paraId="134F51A6" w14:textId="7EDDB8A1" w:rsidR="00807911" w:rsidRDefault="0002165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59" w:history="1">
        <w:r w:rsidR="00807911" w:rsidRPr="00C227D2">
          <w:rPr>
            <w:rStyle w:val="Hyperlnk"/>
          </w:rPr>
          <w:t>Allmän motivering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_Toc81470259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3</w:t>
        </w:r>
        <w:r w:rsidR="00807911">
          <w:rPr>
            <w:webHidden/>
          </w:rPr>
          <w:fldChar w:fldCharType="end"/>
        </w:r>
      </w:hyperlink>
    </w:p>
    <w:p w14:paraId="64FC1037" w14:textId="322B4B85" w:rsidR="00807911" w:rsidRDefault="0002165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60" w:history="1">
        <w:r w:rsidR="00807911" w:rsidRPr="00C227D2">
          <w:rPr>
            <w:rStyle w:val="Hyperlnk"/>
          </w:rPr>
          <w:t>1. Bakgrund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_Toc81470260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3</w:t>
        </w:r>
        <w:r w:rsidR="00807911">
          <w:rPr>
            <w:webHidden/>
          </w:rPr>
          <w:fldChar w:fldCharType="end"/>
        </w:r>
      </w:hyperlink>
    </w:p>
    <w:p w14:paraId="3506EFB0" w14:textId="6A81B345" w:rsidR="00807911" w:rsidRDefault="0002165F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61" w:history="1">
        <w:r w:rsidR="00807911" w:rsidRPr="00C227D2">
          <w:rPr>
            <w:rStyle w:val="Hyperlnk"/>
          </w:rPr>
          <w:t>1.1. Landskapslagen om bostadsproduktion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_Toc81470261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3</w:t>
        </w:r>
        <w:r w:rsidR="00807911">
          <w:rPr>
            <w:webHidden/>
          </w:rPr>
          <w:fldChar w:fldCharType="end"/>
        </w:r>
      </w:hyperlink>
    </w:p>
    <w:p w14:paraId="66260761" w14:textId="29021303" w:rsidR="00807911" w:rsidRDefault="0002165F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62" w:history="1">
        <w:r w:rsidR="00807911" w:rsidRPr="00C227D2">
          <w:rPr>
            <w:rStyle w:val="Hyperlnk"/>
          </w:rPr>
          <w:t>1.2. Beskrivning av nuvarande lånesituation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_Toc81470262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3</w:t>
        </w:r>
        <w:r w:rsidR="00807911">
          <w:rPr>
            <w:webHidden/>
          </w:rPr>
          <w:fldChar w:fldCharType="end"/>
        </w:r>
      </w:hyperlink>
    </w:p>
    <w:p w14:paraId="5BF60946" w14:textId="20D98578" w:rsidR="00807911" w:rsidRDefault="0002165F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63" w:history="1">
        <w:r w:rsidR="00807911" w:rsidRPr="00C227D2">
          <w:rPr>
            <w:rStyle w:val="Hyperlnk"/>
          </w:rPr>
          <w:t>1.3. Tidigare lagstiftning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_Toc81470263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4</w:t>
        </w:r>
        <w:r w:rsidR="00807911">
          <w:rPr>
            <w:webHidden/>
          </w:rPr>
          <w:fldChar w:fldCharType="end"/>
        </w:r>
      </w:hyperlink>
    </w:p>
    <w:p w14:paraId="08CEB7FF" w14:textId="0159EE24" w:rsidR="00807911" w:rsidRDefault="0002165F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64" w:history="1">
        <w:r w:rsidR="00807911" w:rsidRPr="00C227D2">
          <w:rPr>
            <w:rStyle w:val="Hyperlnk"/>
          </w:rPr>
          <w:t>1.4. Budgeten 2021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_Toc81470264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4</w:t>
        </w:r>
        <w:r w:rsidR="00807911">
          <w:rPr>
            <w:webHidden/>
          </w:rPr>
          <w:fldChar w:fldCharType="end"/>
        </w:r>
      </w:hyperlink>
    </w:p>
    <w:p w14:paraId="7D7564E2" w14:textId="533F7D45" w:rsidR="00807911" w:rsidRDefault="0002165F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65" w:history="1">
        <w:r w:rsidR="00807911" w:rsidRPr="00C227D2">
          <w:rPr>
            <w:rStyle w:val="Hyperlnk"/>
          </w:rPr>
          <w:t>1.5. Lagmotion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_Toc81470265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4</w:t>
        </w:r>
        <w:r w:rsidR="00807911">
          <w:rPr>
            <w:webHidden/>
          </w:rPr>
          <w:fldChar w:fldCharType="end"/>
        </w:r>
      </w:hyperlink>
    </w:p>
    <w:p w14:paraId="1BAC3B99" w14:textId="5B315A8D" w:rsidR="00807911" w:rsidRDefault="0002165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66" w:history="1">
        <w:r w:rsidR="00807911" w:rsidRPr="00C227D2">
          <w:rPr>
            <w:rStyle w:val="Hyperlnk"/>
          </w:rPr>
          <w:t>2. Landskapsregeringens förslag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_Toc81470266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4</w:t>
        </w:r>
        <w:r w:rsidR="00807911">
          <w:rPr>
            <w:webHidden/>
          </w:rPr>
          <w:fldChar w:fldCharType="end"/>
        </w:r>
      </w:hyperlink>
    </w:p>
    <w:p w14:paraId="39771C0C" w14:textId="34BF9F91" w:rsidR="00807911" w:rsidRDefault="0002165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67" w:history="1">
        <w:r w:rsidR="00807911" w:rsidRPr="00C227D2">
          <w:rPr>
            <w:rStyle w:val="Hyperlnk"/>
          </w:rPr>
          <w:t>3. Förslagets konsekvenser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_Toc81470267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4</w:t>
        </w:r>
        <w:r w:rsidR="00807911">
          <w:rPr>
            <w:webHidden/>
          </w:rPr>
          <w:fldChar w:fldCharType="end"/>
        </w:r>
      </w:hyperlink>
    </w:p>
    <w:p w14:paraId="297BCC6E" w14:textId="2FBBFCB6" w:rsidR="00807911" w:rsidRDefault="0002165F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68" w:history="1">
        <w:r w:rsidR="00807911" w:rsidRPr="00C227D2">
          <w:rPr>
            <w:rStyle w:val="Hyperlnk"/>
          </w:rPr>
          <w:t>3.1. Ekonomiska konsekvenser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_Toc81470268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4</w:t>
        </w:r>
        <w:r w:rsidR="00807911">
          <w:rPr>
            <w:webHidden/>
          </w:rPr>
          <w:fldChar w:fldCharType="end"/>
        </w:r>
      </w:hyperlink>
    </w:p>
    <w:p w14:paraId="0D5E6A29" w14:textId="11FF54EC" w:rsidR="00807911" w:rsidRDefault="0002165F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69" w:history="1">
        <w:r w:rsidR="00807911" w:rsidRPr="00C227D2">
          <w:rPr>
            <w:rStyle w:val="Hyperlnk"/>
          </w:rPr>
          <w:t>3.2. Samhälleliga konsekvenser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_Toc81470269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5</w:t>
        </w:r>
        <w:r w:rsidR="00807911">
          <w:rPr>
            <w:webHidden/>
          </w:rPr>
          <w:fldChar w:fldCharType="end"/>
        </w:r>
      </w:hyperlink>
    </w:p>
    <w:p w14:paraId="7A1B6455" w14:textId="075FEFD0" w:rsidR="00807911" w:rsidRDefault="0002165F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70" w:history="1">
        <w:r w:rsidR="00807911" w:rsidRPr="00C227D2">
          <w:rPr>
            <w:rStyle w:val="Hyperlnk"/>
          </w:rPr>
          <w:t>3.3. Administrativa konsekvenser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_Toc81470270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5</w:t>
        </w:r>
        <w:r w:rsidR="00807911">
          <w:rPr>
            <w:webHidden/>
          </w:rPr>
          <w:fldChar w:fldCharType="end"/>
        </w:r>
      </w:hyperlink>
    </w:p>
    <w:p w14:paraId="07E50EFD" w14:textId="5F569B0D" w:rsidR="00807911" w:rsidRDefault="0002165F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71" w:history="1">
        <w:r w:rsidR="00807911" w:rsidRPr="00C227D2">
          <w:rPr>
            <w:rStyle w:val="Hyperlnk"/>
          </w:rPr>
          <w:t>3.4. Konsekvenser för miljön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_Toc81470271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5</w:t>
        </w:r>
        <w:r w:rsidR="00807911">
          <w:rPr>
            <w:webHidden/>
          </w:rPr>
          <w:fldChar w:fldCharType="end"/>
        </w:r>
      </w:hyperlink>
    </w:p>
    <w:p w14:paraId="797CA7FE" w14:textId="3268AB51" w:rsidR="00807911" w:rsidRDefault="0002165F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72" w:history="1">
        <w:r w:rsidR="00807911" w:rsidRPr="00C227D2">
          <w:rPr>
            <w:rStyle w:val="Hyperlnk"/>
          </w:rPr>
          <w:t>3.5. Konsekvenser för barn och jämställdheten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_Toc81470272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5</w:t>
        </w:r>
        <w:r w:rsidR="00807911">
          <w:rPr>
            <w:webHidden/>
          </w:rPr>
          <w:fldChar w:fldCharType="end"/>
        </w:r>
      </w:hyperlink>
    </w:p>
    <w:p w14:paraId="3E45C24B" w14:textId="1A352B28" w:rsidR="00807911" w:rsidRDefault="0002165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73" w:history="1">
        <w:r w:rsidR="00807911" w:rsidRPr="00C227D2">
          <w:rPr>
            <w:rStyle w:val="Hyperlnk"/>
          </w:rPr>
          <w:t>4. Lagstiftningsbehörigheten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_Toc81470273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5</w:t>
        </w:r>
        <w:r w:rsidR="00807911">
          <w:rPr>
            <w:webHidden/>
          </w:rPr>
          <w:fldChar w:fldCharType="end"/>
        </w:r>
      </w:hyperlink>
    </w:p>
    <w:p w14:paraId="153B9D60" w14:textId="0BDD5BC0" w:rsidR="00807911" w:rsidRDefault="0002165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74" w:history="1">
        <w:r w:rsidR="00807911" w:rsidRPr="00C227D2">
          <w:rPr>
            <w:rStyle w:val="Hyperlnk"/>
          </w:rPr>
          <w:t>5. Ärendets beredning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_Toc81470274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6</w:t>
        </w:r>
        <w:r w:rsidR="00807911">
          <w:rPr>
            <w:webHidden/>
          </w:rPr>
          <w:fldChar w:fldCharType="end"/>
        </w:r>
      </w:hyperlink>
    </w:p>
    <w:p w14:paraId="2B113575" w14:textId="5E237B53" w:rsidR="00807911" w:rsidRDefault="0002165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75" w:history="1">
        <w:r w:rsidR="00807911" w:rsidRPr="00C227D2">
          <w:rPr>
            <w:rStyle w:val="Hyperlnk"/>
          </w:rPr>
          <w:t>Detaljmotivering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_Toc81470275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6</w:t>
        </w:r>
        <w:r w:rsidR="00807911">
          <w:rPr>
            <w:webHidden/>
          </w:rPr>
          <w:fldChar w:fldCharType="end"/>
        </w:r>
      </w:hyperlink>
    </w:p>
    <w:p w14:paraId="4E3C8B37" w14:textId="32A93A0E" w:rsidR="00807911" w:rsidRDefault="0002165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76" w:history="1">
        <w:r w:rsidR="00807911" w:rsidRPr="00C227D2">
          <w:rPr>
            <w:rStyle w:val="Hyperlnk"/>
          </w:rPr>
          <w:t>Ändring av landskapslagen om bostadsproduktion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_Toc81470276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6</w:t>
        </w:r>
        <w:r w:rsidR="00807911">
          <w:rPr>
            <w:webHidden/>
          </w:rPr>
          <w:fldChar w:fldCharType="end"/>
        </w:r>
      </w:hyperlink>
    </w:p>
    <w:p w14:paraId="03B5A24A" w14:textId="3032C79E" w:rsidR="00807911" w:rsidRDefault="0002165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77" w:history="1">
        <w:r w:rsidR="00807911" w:rsidRPr="00C227D2">
          <w:rPr>
            <w:rStyle w:val="Hyperlnk"/>
          </w:rPr>
          <w:t>Lagtext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_Toc81470277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7</w:t>
        </w:r>
        <w:r w:rsidR="00807911">
          <w:rPr>
            <w:webHidden/>
          </w:rPr>
          <w:fldChar w:fldCharType="end"/>
        </w:r>
      </w:hyperlink>
    </w:p>
    <w:p w14:paraId="6A1F942C" w14:textId="335B0A2E" w:rsidR="00807911" w:rsidRDefault="0002165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78" w:history="1">
        <w:r w:rsidR="00807911" w:rsidRPr="00C227D2">
          <w:rPr>
            <w:rStyle w:val="Hyperlnk"/>
            <w:lang w:val="en-GB"/>
          </w:rPr>
          <w:t xml:space="preserve">L A N D S K A P S L A G </w:t>
        </w:r>
        <w:r w:rsidR="00807911" w:rsidRPr="00C227D2">
          <w:rPr>
            <w:rStyle w:val="Hyperlnk"/>
          </w:rPr>
          <w:t>om ändring av landskapslagen om bostadsproduktion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_Toc81470278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7</w:t>
        </w:r>
        <w:r w:rsidR="00807911">
          <w:rPr>
            <w:webHidden/>
          </w:rPr>
          <w:fldChar w:fldCharType="end"/>
        </w:r>
      </w:hyperlink>
    </w:p>
    <w:p w14:paraId="58844B07" w14:textId="0025971A" w:rsidR="00807911" w:rsidRDefault="0002165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1470279" w:history="1">
        <w:r w:rsidR="00807911" w:rsidRPr="00C227D2">
          <w:rPr>
            <w:rStyle w:val="Hyperlnk"/>
          </w:rPr>
          <w:t>Parallelltexter</w:t>
        </w:r>
        <w:r w:rsidR="00807911">
          <w:rPr>
            <w:webHidden/>
          </w:rPr>
          <w:tab/>
        </w:r>
        <w:r w:rsidR="00807911">
          <w:rPr>
            <w:webHidden/>
          </w:rPr>
          <w:fldChar w:fldCharType="begin"/>
        </w:r>
        <w:r w:rsidR="00807911">
          <w:rPr>
            <w:webHidden/>
          </w:rPr>
          <w:instrText xml:space="preserve"> PAGEREF _Toc81470279 \h </w:instrText>
        </w:r>
        <w:r w:rsidR="00807911">
          <w:rPr>
            <w:webHidden/>
          </w:rPr>
        </w:r>
        <w:r w:rsidR="00807911">
          <w:rPr>
            <w:webHidden/>
          </w:rPr>
          <w:fldChar w:fldCharType="separate"/>
        </w:r>
        <w:r w:rsidR="00807911">
          <w:rPr>
            <w:webHidden/>
          </w:rPr>
          <w:t>8</w:t>
        </w:r>
        <w:r w:rsidR="00807911">
          <w:rPr>
            <w:webHidden/>
          </w:rPr>
          <w:fldChar w:fldCharType="end"/>
        </w:r>
      </w:hyperlink>
    </w:p>
    <w:p w14:paraId="0736E05C" w14:textId="663F2CB9"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5F49DADF" w14:textId="77777777" w:rsidR="00AF3004" w:rsidRDefault="00AF3004">
      <w:pPr>
        <w:pStyle w:val="ANormal"/>
      </w:pPr>
      <w:r>
        <w:br w:type="page"/>
      </w:r>
    </w:p>
    <w:p w14:paraId="2F5E98B8" w14:textId="77777777" w:rsidR="00AF3004" w:rsidRDefault="00AF3004">
      <w:pPr>
        <w:pStyle w:val="RubrikA"/>
      </w:pPr>
      <w:bookmarkStart w:id="2" w:name="_Toc81470259"/>
      <w:r>
        <w:lastRenderedPageBreak/>
        <w:t>Allmän motivering</w:t>
      </w:r>
      <w:bookmarkEnd w:id="2"/>
    </w:p>
    <w:p w14:paraId="5B15A069" w14:textId="77777777" w:rsidR="00AF3004" w:rsidRDefault="00AF3004">
      <w:pPr>
        <w:pStyle w:val="Rubrikmellanrum"/>
      </w:pPr>
    </w:p>
    <w:p w14:paraId="67B7C69E" w14:textId="77777777" w:rsidR="00AF3004" w:rsidRDefault="00AF3004">
      <w:pPr>
        <w:pStyle w:val="RubrikB"/>
      </w:pPr>
      <w:bookmarkStart w:id="3" w:name="_Toc81470260"/>
      <w:r>
        <w:t>1. Bakgrund</w:t>
      </w:r>
      <w:bookmarkEnd w:id="3"/>
    </w:p>
    <w:p w14:paraId="104B7983" w14:textId="77777777" w:rsidR="00AF3004" w:rsidRDefault="00AF3004">
      <w:pPr>
        <w:pStyle w:val="Rubrikmellanrum"/>
      </w:pPr>
    </w:p>
    <w:p w14:paraId="7A14736E" w14:textId="60E0CE27" w:rsidR="00F94E72" w:rsidRDefault="00AF3004" w:rsidP="00F94E72">
      <w:pPr>
        <w:pStyle w:val="RubrikC"/>
      </w:pPr>
      <w:bookmarkStart w:id="4" w:name="_Toc81470261"/>
      <w:r>
        <w:t>1.1</w:t>
      </w:r>
      <w:r w:rsidR="00F94E72">
        <w:t>. Landskapslagen om bostadsproduktion</w:t>
      </w:r>
      <w:bookmarkEnd w:id="4"/>
    </w:p>
    <w:p w14:paraId="134389BC" w14:textId="77777777" w:rsidR="00F94E72" w:rsidRPr="00F94E72" w:rsidRDefault="00F94E72" w:rsidP="00F94E72">
      <w:pPr>
        <w:pStyle w:val="ANormal"/>
        <w:rPr>
          <w:sz w:val="10"/>
          <w:szCs w:val="10"/>
        </w:rPr>
      </w:pPr>
    </w:p>
    <w:p w14:paraId="22C1BBDF" w14:textId="2940EBD2" w:rsidR="00F94E72" w:rsidRDefault="00F94E72" w:rsidP="00F94E72">
      <w:pPr>
        <w:pStyle w:val="ANormal"/>
      </w:pPr>
      <w:r>
        <w:t>I landskapslagen om bostadsproduktion (1999:40) finns bestämmelser om bostadsstöd som betalas av landskapets medel i syfte att främja ett tillräckligt bostadsbestånd i landskapets alla regioner.</w:t>
      </w:r>
      <w:r w:rsidR="00263CAC">
        <w:t xml:space="preserve"> </w:t>
      </w:r>
      <w:r>
        <w:t>Bostadslån kan beviljas personer med hemkommun på Åland, kommuner på Åland samt juridiska personer med Åland som hemort.</w:t>
      </w:r>
    </w:p>
    <w:p w14:paraId="04B0811E" w14:textId="5A647113" w:rsidR="00F94E72" w:rsidRDefault="00F94E72" w:rsidP="00F94E72">
      <w:pPr>
        <w:pStyle w:val="ANormal"/>
      </w:pPr>
      <w:r>
        <w:tab/>
      </w:r>
      <w:r w:rsidR="00263CAC">
        <w:t>Stöden</w:t>
      </w:r>
      <w:r>
        <w:t xml:space="preserve"> beviljas för nybyggnation, anskaffning, tillbyggnad och </w:t>
      </w:r>
      <w:proofErr w:type="spellStart"/>
      <w:r>
        <w:t>repara</w:t>
      </w:r>
      <w:r w:rsidR="00F93DC5">
        <w:t>-</w:t>
      </w:r>
      <w:r>
        <w:t>tion</w:t>
      </w:r>
      <w:proofErr w:type="spellEnd"/>
      <w:r>
        <w:t xml:space="preserve"> av ägar- och hyresbostäder</w:t>
      </w:r>
      <w:r w:rsidR="00263CAC">
        <w:t xml:space="preserve"> och </w:t>
      </w:r>
      <w:r>
        <w:t>beviljas inom ramen för de anslag och den fullmakt som fastställs i landskapets budget.</w:t>
      </w:r>
    </w:p>
    <w:p w14:paraId="2F99FAE0" w14:textId="07859090" w:rsidR="00263CAC" w:rsidRDefault="00263CAC" w:rsidP="00263CAC">
      <w:pPr>
        <w:pStyle w:val="ANormal"/>
      </w:pPr>
      <w:r>
        <w:tab/>
        <w:t>Stöden för ägarbostäder ges i form av räntestöd, ägarbostads</w:t>
      </w:r>
      <w:r w:rsidR="004F3CA8">
        <w:t>lån</w:t>
      </w:r>
      <w:r>
        <w:t xml:space="preserve"> och landskapsborgen. Räntestöd och ägarbostadlån beviljas för högst 85 procent av låneobjektets lånevärde och med en lånetid om högst 35 år. </w:t>
      </w:r>
      <w:bookmarkStart w:id="5" w:name="_Hlk71712045"/>
      <w:r>
        <w:t>Räntesatsen för lånet f</w:t>
      </w:r>
      <w:r w:rsidR="008033F2">
        <w:t>å</w:t>
      </w:r>
      <w:r>
        <w:t xml:space="preserve">r inte överstiga den ränta som bankerna allmänt tillämpar för motsvarande lån. </w:t>
      </w:r>
      <w:bookmarkEnd w:id="5"/>
      <w:r w:rsidR="0056749D">
        <w:t xml:space="preserve">Bostaden </w:t>
      </w:r>
      <w:r>
        <w:t>ska användas av stödtagaren som egen bostad under den tid räntestöd utgår eller så länge lånet inte har återbetalats</w:t>
      </w:r>
      <w:r w:rsidR="0056749D">
        <w:t xml:space="preserve"> men får hyras ut hö</w:t>
      </w:r>
      <w:r w:rsidR="00090DDA">
        <w:t>g</w:t>
      </w:r>
      <w:r w:rsidR="0056749D">
        <w:t>st ett år.</w:t>
      </w:r>
      <w:r>
        <w:t xml:space="preserve"> Landskapsregeringen kan om </w:t>
      </w:r>
      <w:r w:rsidR="0056749D">
        <w:t xml:space="preserve">det finns </w:t>
      </w:r>
      <w:r>
        <w:t>synnerliga skäl</w:t>
      </w:r>
      <w:r w:rsidR="0056749D">
        <w:t xml:space="preserve"> </w:t>
      </w:r>
      <w:r>
        <w:t>tillåta uthyrning för längre tid.</w:t>
      </w:r>
      <w:r w:rsidR="0056749D">
        <w:t xml:space="preserve"> </w:t>
      </w:r>
      <w:r>
        <w:t xml:space="preserve">Om ägarbostaden överlåts, upphör räntestödet </w:t>
      </w:r>
      <w:r w:rsidR="0056749D">
        <w:t xml:space="preserve">och </w:t>
      </w:r>
      <w:r>
        <w:t>ägarbostadslån</w:t>
      </w:r>
      <w:r w:rsidR="0056749D">
        <w:t>et</w:t>
      </w:r>
      <w:r>
        <w:t xml:space="preserve"> ska återbetalas.</w:t>
      </w:r>
      <w:r w:rsidR="004F3CA8" w:rsidRPr="004F3CA8">
        <w:t xml:space="preserve"> </w:t>
      </w:r>
      <w:r w:rsidR="004F3CA8" w:rsidRPr="008E4BD5">
        <w:t xml:space="preserve">Landskapsregeringen kan med låntagarens samtycke ändra lånevillkoren för bostadslån för ägarbostad som beviljats med stöd av tidigare lagstiftning så att de överensstämmer med </w:t>
      </w:r>
      <w:r w:rsidR="004F3CA8">
        <w:t>den nuvarande lagen. Ägarbostäder som enligt tidigare lagstiftning är bundna av användnings- och överlåtelsebegräsningar befrias från dessa då lånet har återbetalats.</w:t>
      </w:r>
    </w:p>
    <w:p w14:paraId="577947DC" w14:textId="11972DD6" w:rsidR="0056749D" w:rsidRDefault="0056749D" w:rsidP="00263CAC">
      <w:pPr>
        <w:pStyle w:val="ANormal"/>
      </w:pPr>
      <w:r>
        <w:tab/>
        <w:t>Stöden för hyresbostäder ges i form av räntestöd eller hyresbostadslån. Räntestöd och hyresbostadslån beviljas för högst 90 procent av lånevärdet och med en lånetid om högst 35 år.</w:t>
      </w:r>
      <w:r w:rsidRPr="0056749D">
        <w:t xml:space="preserve"> </w:t>
      </w:r>
      <w:r>
        <w:t>Räntesatsen för lånet för inte överstiga den ränta som bankerna allmänt tillämpar för motsvarande lån. Bostaden ska användas som hyresbostad. Bostaden kan överlåtas med bibehålle</w:t>
      </w:r>
      <w:r w:rsidR="00090DDA">
        <w:t>t</w:t>
      </w:r>
      <w:r>
        <w:t xml:space="preserve"> räntestöd eller lån med landskapsregeringens godkännande och till ett överlåtelsepris. Om hyresbostadslånet betalas bort i förtid ska landskapsregeringen kräva en skälig ersättning för lånets låga ränta eller räntestödet om det inte finns särskilda skäl till undantag. Hyresbeloppet begränsas </w:t>
      </w:r>
      <w:r w:rsidR="00090DDA">
        <w:t xml:space="preserve">av </w:t>
      </w:r>
      <w:r>
        <w:t>finansieringskostnaderna för bostaden och kostn</w:t>
      </w:r>
      <w:r w:rsidR="008E4BD5">
        <w:t>a</w:t>
      </w:r>
      <w:r>
        <w:t>derna för fastighetsskötseln</w:t>
      </w:r>
      <w:r w:rsidR="008E4BD5">
        <w:t>.</w:t>
      </w:r>
    </w:p>
    <w:p w14:paraId="6EA94EB7" w14:textId="48F194EE" w:rsidR="004F3CA8" w:rsidRDefault="008E4BD5" w:rsidP="00263CAC">
      <w:pPr>
        <w:pStyle w:val="ANormal"/>
      </w:pPr>
      <w:r>
        <w:tab/>
        <w:t xml:space="preserve">Lagen trädde i kraft 1 september 1999 och tillämpas på bostadsstöd som beviljats efter det. </w:t>
      </w:r>
      <w:r w:rsidR="004F3CA8" w:rsidRPr="00DA5F8D">
        <w:t xml:space="preserve">På </w:t>
      </w:r>
      <w:r w:rsidR="004F3CA8">
        <w:t>hyresbostads</w:t>
      </w:r>
      <w:r w:rsidR="004F3CA8" w:rsidRPr="00DA5F8D">
        <w:t>lån och räntestöd som beviljats med stöd av tidigare landskapslagar om bostadsproduktion och bostadsförbättring tillämpas bestämmelserna i dessa lagar</w:t>
      </w:r>
      <w:r w:rsidR="004F3CA8">
        <w:t>.</w:t>
      </w:r>
    </w:p>
    <w:p w14:paraId="3D727D0B" w14:textId="77777777" w:rsidR="004F3CA8" w:rsidRDefault="004F3CA8" w:rsidP="00263CAC">
      <w:pPr>
        <w:pStyle w:val="ANormal"/>
      </w:pPr>
    </w:p>
    <w:p w14:paraId="68B2E787" w14:textId="737BCB72" w:rsidR="00976FDC" w:rsidRDefault="00976FDC" w:rsidP="00976FDC">
      <w:pPr>
        <w:pStyle w:val="RubrikC"/>
      </w:pPr>
      <w:bookmarkStart w:id="6" w:name="_Toc81470262"/>
      <w:r>
        <w:t xml:space="preserve">1.2. </w:t>
      </w:r>
      <w:r w:rsidR="00136D88">
        <w:t>Beskrivning av nuvarande låne</w:t>
      </w:r>
      <w:r w:rsidR="00387B8A">
        <w:t>situation</w:t>
      </w:r>
      <w:bookmarkEnd w:id="6"/>
    </w:p>
    <w:p w14:paraId="1721AAF2" w14:textId="01A7D62B" w:rsidR="00136D88" w:rsidRDefault="00136D88" w:rsidP="00136D88">
      <w:pPr>
        <w:pStyle w:val="Rubrikmellanrum"/>
      </w:pPr>
    </w:p>
    <w:p w14:paraId="1ECFD157" w14:textId="6F95B790" w:rsidR="00136D88" w:rsidRDefault="00136D88" w:rsidP="00136D88">
      <w:pPr>
        <w:pStyle w:val="ANormal"/>
      </w:pPr>
      <w:r>
        <w:t>De lån som utgör dagens lånestock har beviljats under perioden 1975 – 2012. Utlåningsverksamheten avslutades i samband med budgeten för år 2009. Det senast utgivna lånet från år 2012 är kopplat till utfästelser under tidigare år. Lånen är beviljade med stöd av landskapslagen (1968:28) om bostadsproduktion, landskapslagen (1982:14) om stöd för bostadsproduktion samt nu gällande landskapslag om bostadsproduktion.</w:t>
      </w:r>
    </w:p>
    <w:p w14:paraId="570ED8A5" w14:textId="5A52CE5A" w:rsidR="00136D88" w:rsidRDefault="00136D88" w:rsidP="00136D88">
      <w:pPr>
        <w:pStyle w:val="ANormal"/>
      </w:pPr>
      <w:r>
        <w:tab/>
      </w:r>
      <w:r w:rsidR="00D32C95">
        <w:t>Summan av utestående bostadsproduktionslån var</w:t>
      </w:r>
      <w:r>
        <w:t xml:space="preserve"> i början av år 2021 ca 42,8 miljoner euro. Av beloppet är 0,7 miljoner euro</w:t>
      </w:r>
      <w:r w:rsidR="00D32C95">
        <w:t xml:space="preserve"> sådana </w:t>
      </w:r>
      <w:r>
        <w:t xml:space="preserve">fordringar som är avskrivna i balansräkningen. Under februari-mars och augusti-september 2021 kommer uppskattningsvis ca två miljoner euro att amorteras. Det innebär att 40 miljoner euro kan användas som ett riktgivande lånesaldo </w:t>
      </w:r>
      <w:r w:rsidR="003C22C2">
        <w:t xml:space="preserve">om </w:t>
      </w:r>
      <w:r>
        <w:t>möjligheten att betala bort lånen i förtid</w:t>
      </w:r>
      <w:r w:rsidR="003C22C2">
        <w:t xml:space="preserve"> införs</w:t>
      </w:r>
      <w:r>
        <w:t>.</w:t>
      </w:r>
    </w:p>
    <w:p w14:paraId="51AA4240" w14:textId="235A6BE7" w:rsidR="00136D88" w:rsidRDefault="00136D88" w:rsidP="00136D88">
      <w:pPr>
        <w:pStyle w:val="ANormal"/>
      </w:pPr>
      <w:r>
        <w:lastRenderedPageBreak/>
        <w:tab/>
        <w:t xml:space="preserve">Samtliga lån har </w:t>
      </w:r>
      <w:r w:rsidR="004F3CA8">
        <w:t xml:space="preserve">för närvarande </w:t>
      </w:r>
      <w:r>
        <w:t>en räntesats om 1 procent. Den årliga intäkten från räntor och amorteringar är ca 2,5 miljoner euro, av vilket ränt</w:t>
      </w:r>
      <w:r w:rsidR="0004390C">
        <w:t>a</w:t>
      </w:r>
      <w:r>
        <w:t xml:space="preserve">n </w:t>
      </w:r>
      <w:r w:rsidR="006C64DC">
        <w:t>är</w:t>
      </w:r>
      <w:r w:rsidR="0004390C">
        <w:t xml:space="preserve"> </w:t>
      </w:r>
      <w:r>
        <w:t xml:space="preserve">ca 17 procent. </w:t>
      </w:r>
      <w:r w:rsidR="0004390C">
        <w:t xml:space="preserve">För lånekundernas del utgör alltså räntorna en relativt </w:t>
      </w:r>
      <w:r w:rsidR="003C22C2">
        <w:t>liten</w:t>
      </w:r>
      <w:r w:rsidR="0004390C">
        <w:t xml:space="preserve"> andel av det kassaflöde som behövs för att sköta lånet.</w:t>
      </w:r>
    </w:p>
    <w:p w14:paraId="78D0A2B6" w14:textId="76FF1261" w:rsidR="0004390C" w:rsidRDefault="0004390C" w:rsidP="00136D88">
      <w:pPr>
        <w:pStyle w:val="A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44"/>
        <w:gridCol w:w="1086"/>
        <w:gridCol w:w="1182"/>
        <w:gridCol w:w="1276"/>
        <w:gridCol w:w="873"/>
      </w:tblGrid>
      <w:tr w:rsidR="0004390C" w:rsidRPr="0004390C" w14:paraId="59DA1D6F" w14:textId="77777777" w:rsidTr="003C22C2">
        <w:tc>
          <w:tcPr>
            <w:tcW w:w="6680" w:type="dxa"/>
            <w:gridSpan w:val="6"/>
            <w:shd w:val="clear" w:color="auto" w:fill="auto"/>
          </w:tcPr>
          <w:p w14:paraId="132DA9DC" w14:textId="6B462584" w:rsidR="0004390C" w:rsidRPr="00FA6833" w:rsidRDefault="0004390C" w:rsidP="00136D88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Lånesaldots fördelning 8.12.2020</w:t>
            </w:r>
          </w:p>
        </w:tc>
      </w:tr>
      <w:tr w:rsidR="00FA6833" w:rsidRPr="0004390C" w14:paraId="7FD0F248" w14:textId="77777777" w:rsidTr="003C22C2">
        <w:tc>
          <w:tcPr>
            <w:tcW w:w="1119" w:type="dxa"/>
            <w:shd w:val="clear" w:color="auto" w:fill="auto"/>
          </w:tcPr>
          <w:p w14:paraId="1FA8143A" w14:textId="77777777" w:rsidR="0004390C" w:rsidRPr="00FA6833" w:rsidRDefault="0004390C" w:rsidP="00136D88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0E1CB3F0" w14:textId="5B0D7B7B" w:rsidR="0004390C" w:rsidRPr="00FA6833" w:rsidRDefault="0004390C" w:rsidP="00136D88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Mariehamn</w:t>
            </w:r>
          </w:p>
        </w:tc>
        <w:tc>
          <w:tcPr>
            <w:tcW w:w="1086" w:type="dxa"/>
            <w:shd w:val="clear" w:color="auto" w:fill="auto"/>
          </w:tcPr>
          <w:p w14:paraId="7E2FC0DF" w14:textId="40BF0640" w:rsidR="0004390C" w:rsidRPr="00FA6833" w:rsidRDefault="0004390C" w:rsidP="00136D88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Centralkommun</w:t>
            </w:r>
            <w:r w:rsidR="003C22C2"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1182" w:type="dxa"/>
            <w:shd w:val="clear" w:color="auto" w:fill="auto"/>
          </w:tcPr>
          <w:p w14:paraId="0CFFB5A7" w14:textId="25383FEB" w:rsidR="003C22C2" w:rsidRDefault="0004390C" w:rsidP="00136D88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Rand</w:t>
            </w:r>
            <w:r w:rsidR="003C22C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9071E2E" w14:textId="79F8E06D" w:rsidR="0004390C" w:rsidRPr="00FA6833" w:rsidRDefault="0004390C" w:rsidP="00136D88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ko</w:t>
            </w:r>
            <w:r w:rsidR="003C22C2">
              <w:rPr>
                <w:rFonts w:ascii="Arial" w:hAnsi="Arial" w:cs="Arial"/>
                <w:sz w:val="18"/>
                <w:szCs w:val="18"/>
              </w:rPr>
              <w:t>m</w:t>
            </w:r>
            <w:r w:rsidRPr="00FA6833">
              <w:rPr>
                <w:rFonts w:ascii="Arial" w:hAnsi="Arial" w:cs="Arial"/>
                <w:sz w:val="18"/>
                <w:szCs w:val="18"/>
              </w:rPr>
              <w:t>mun</w:t>
            </w:r>
            <w:r w:rsidR="003C22C2"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1276" w:type="dxa"/>
            <w:shd w:val="clear" w:color="auto" w:fill="auto"/>
          </w:tcPr>
          <w:p w14:paraId="711D853A" w14:textId="7044F649" w:rsidR="0004390C" w:rsidRPr="00FA6833" w:rsidRDefault="0004390C" w:rsidP="00136D88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Skärgård</w:t>
            </w:r>
            <w:r w:rsidR="003C22C2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tc>
          <w:tcPr>
            <w:tcW w:w="873" w:type="dxa"/>
            <w:shd w:val="clear" w:color="auto" w:fill="auto"/>
          </w:tcPr>
          <w:p w14:paraId="148CFCF5" w14:textId="3484301F" w:rsidR="0004390C" w:rsidRPr="00FA6833" w:rsidRDefault="0004390C" w:rsidP="00136D88">
            <w:pPr>
              <w:pStyle w:val="ANormal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33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</w:tr>
      <w:tr w:rsidR="00FA6833" w:rsidRPr="0004390C" w14:paraId="68030C9D" w14:textId="77777777" w:rsidTr="003C22C2">
        <w:tc>
          <w:tcPr>
            <w:tcW w:w="1119" w:type="dxa"/>
            <w:shd w:val="clear" w:color="auto" w:fill="auto"/>
          </w:tcPr>
          <w:p w14:paraId="0DEBA59A" w14:textId="7AA62A2D" w:rsidR="0004390C" w:rsidRPr="00FA6833" w:rsidRDefault="0004390C" w:rsidP="00136D88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Offentligt ägande</w:t>
            </w:r>
          </w:p>
        </w:tc>
        <w:tc>
          <w:tcPr>
            <w:tcW w:w="1144" w:type="dxa"/>
            <w:shd w:val="clear" w:color="auto" w:fill="auto"/>
          </w:tcPr>
          <w:p w14:paraId="243CB8B9" w14:textId="3FE0CDD7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20,67</w:t>
            </w:r>
          </w:p>
        </w:tc>
        <w:tc>
          <w:tcPr>
            <w:tcW w:w="1086" w:type="dxa"/>
            <w:shd w:val="clear" w:color="auto" w:fill="auto"/>
          </w:tcPr>
          <w:p w14:paraId="48875864" w14:textId="3B5F6AF4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5,31</w:t>
            </w:r>
          </w:p>
        </w:tc>
        <w:tc>
          <w:tcPr>
            <w:tcW w:w="1182" w:type="dxa"/>
            <w:shd w:val="clear" w:color="auto" w:fill="auto"/>
          </w:tcPr>
          <w:p w14:paraId="0B56BD3D" w14:textId="07DE075C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2,92</w:t>
            </w:r>
          </w:p>
        </w:tc>
        <w:tc>
          <w:tcPr>
            <w:tcW w:w="1276" w:type="dxa"/>
            <w:shd w:val="clear" w:color="auto" w:fill="auto"/>
          </w:tcPr>
          <w:p w14:paraId="19A67686" w14:textId="2187ADE1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873" w:type="dxa"/>
            <w:shd w:val="clear" w:color="auto" w:fill="auto"/>
          </w:tcPr>
          <w:p w14:paraId="221DB059" w14:textId="616C283A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33">
              <w:rPr>
                <w:rFonts w:ascii="Arial" w:hAnsi="Arial" w:cs="Arial"/>
                <w:b/>
                <w:bCs/>
                <w:sz w:val="18"/>
                <w:szCs w:val="18"/>
              </w:rPr>
              <w:t>32,98</w:t>
            </w:r>
          </w:p>
        </w:tc>
      </w:tr>
      <w:tr w:rsidR="00FA6833" w:rsidRPr="0004390C" w14:paraId="74241815" w14:textId="77777777" w:rsidTr="003C22C2">
        <w:tc>
          <w:tcPr>
            <w:tcW w:w="1119" w:type="dxa"/>
            <w:shd w:val="clear" w:color="auto" w:fill="auto"/>
          </w:tcPr>
          <w:p w14:paraId="5807CB69" w14:textId="4B3511EC" w:rsidR="0004390C" w:rsidRPr="00FA6833" w:rsidRDefault="0004390C" w:rsidP="00136D88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Privat ägande</w:t>
            </w:r>
          </w:p>
        </w:tc>
        <w:tc>
          <w:tcPr>
            <w:tcW w:w="1144" w:type="dxa"/>
            <w:shd w:val="clear" w:color="auto" w:fill="auto"/>
          </w:tcPr>
          <w:p w14:paraId="3E1355F5" w14:textId="0D0F9B7E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086" w:type="dxa"/>
            <w:shd w:val="clear" w:color="auto" w:fill="auto"/>
          </w:tcPr>
          <w:p w14:paraId="06D5778B" w14:textId="29FD3392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1182" w:type="dxa"/>
            <w:shd w:val="clear" w:color="auto" w:fill="auto"/>
          </w:tcPr>
          <w:p w14:paraId="4657B350" w14:textId="097B8CA5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1,17</w:t>
            </w:r>
          </w:p>
        </w:tc>
        <w:tc>
          <w:tcPr>
            <w:tcW w:w="1276" w:type="dxa"/>
            <w:shd w:val="clear" w:color="auto" w:fill="auto"/>
          </w:tcPr>
          <w:p w14:paraId="2D86D729" w14:textId="5E5DC2A1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0,58</w:t>
            </w:r>
          </w:p>
        </w:tc>
        <w:tc>
          <w:tcPr>
            <w:tcW w:w="873" w:type="dxa"/>
            <w:shd w:val="clear" w:color="auto" w:fill="auto"/>
          </w:tcPr>
          <w:p w14:paraId="28F9043B" w14:textId="6842FDC4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33">
              <w:rPr>
                <w:rFonts w:ascii="Arial" w:hAnsi="Arial" w:cs="Arial"/>
                <w:b/>
                <w:bCs/>
                <w:sz w:val="18"/>
                <w:szCs w:val="18"/>
              </w:rPr>
              <w:t>9,09</w:t>
            </w:r>
          </w:p>
        </w:tc>
      </w:tr>
      <w:tr w:rsidR="00FA6833" w:rsidRPr="0004390C" w14:paraId="576D797E" w14:textId="77777777" w:rsidTr="003C22C2">
        <w:tc>
          <w:tcPr>
            <w:tcW w:w="1119" w:type="dxa"/>
            <w:shd w:val="clear" w:color="auto" w:fill="auto"/>
          </w:tcPr>
          <w:p w14:paraId="27BCD6DD" w14:textId="6682F7E0" w:rsidR="0004390C" w:rsidRPr="00FA6833" w:rsidRDefault="0004390C" w:rsidP="00136D88">
            <w:pPr>
              <w:pStyle w:val="ANormal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33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1144" w:type="dxa"/>
            <w:shd w:val="clear" w:color="auto" w:fill="auto"/>
          </w:tcPr>
          <w:p w14:paraId="128BB23B" w14:textId="22CF8F95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33">
              <w:rPr>
                <w:rFonts w:ascii="Arial" w:hAnsi="Arial" w:cs="Arial"/>
                <w:b/>
                <w:bCs/>
                <w:sz w:val="18"/>
                <w:szCs w:val="18"/>
              </w:rPr>
              <w:t>24,65</w:t>
            </w:r>
          </w:p>
        </w:tc>
        <w:tc>
          <w:tcPr>
            <w:tcW w:w="1086" w:type="dxa"/>
            <w:shd w:val="clear" w:color="auto" w:fill="auto"/>
          </w:tcPr>
          <w:p w14:paraId="14414206" w14:textId="5617E90C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33">
              <w:rPr>
                <w:rFonts w:ascii="Arial" w:hAnsi="Arial" w:cs="Arial"/>
                <w:b/>
                <w:bCs/>
                <w:sz w:val="18"/>
                <w:szCs w:val="18"/>
              </w:rPr>
              <w:t>8,67</w:t>
            </w:r>
          </w:p>
        </w:tc>
        <w:tc>
          <w:tcPr>
            <w:tcW w:w="1182" w:type="dxa"/>
            <w:shd w:val="clear" w:color="auto" w:fill="auto"/>
          </w:tcPr>
          <w:p w14:paraId="268EA9B0" w14:textId="629004D4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33">
              <w:rPr>
                <w:rFonts w:ascii="Arial" w:hAnsi="Arial" w:cs="Arial"/>
                <w:b/>
                <w:bCs/>
                <w:sz w:val="18"/>
                <w:szCs w:val="18"/>
              </w:rPr>
              <w:t>4,09</w:t>
            </w:r>
          </w:p>
        </w:tc>
        <w:tc>
          <w:tcPr>
            <w:tcW w:w="1276" w:type="dxa"/>
            <w:shd w:val="clear" w:color="auto" w:fill="auto"/>
          </w:tcPr>
          <w:p w14:paraId="4A107FAE" w14:textId="5F4DB654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33">
              <w:rPr>
                <w:rFonts w:ascii="Arial" w:hAnsi="Arial" w:cs="Arial"/>
                <w:b/>
                <w:bCs/>
                <w:sz w:val="18"/>
                <w:szCs w:val="18"/>
              </w:rPr>
              <w:t>4,66</w:t>
            </w:r>
          </w:p>
        </w:tc>
        <w:tc>
          <w:tcPr>
            <w:tcW w:w="873" w:type="dxa"/>
            <w:shd w:val="clear" w:color="auto" w:fill="auto"/>
          </w:tcPr>
          <w:p w14:paraId="75FF1FA2" w14:textId="2A7B0D7B" w:rsidR="0004390C" w:rsidRPr="00FA6833" w:rsidRDefault="0004390C" w:rsidP="00FA6833">
            <w:pPr>
              <w:pStyle w:val="ANormal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833">
              <w:rPr>
                <w:rFonts w:ascii="Arial" w:hAnsi="Arial" w:cs="Arial"/>
                <w:b/>
                <w:bCs/>
                <w:sz w:val="18"/>
                <w:szCs w:val="18"/>
              </w:rPr>
              <w:t>42,07</w:t>
            </w:r>
          </w:p>
        </w:tc>
      </w:tr>
    </w:tbl>
    <w:p w14:paraId="32711397" w14:textId="77777777" w:rsidR="0004390C" w:rsidRPr="00136D88" w:rsidRDefault="0004390C" w:rsidP="00136D88">
      <w:pPr>
        <w:pStyle w:val="ANormal"/>
      </w:pPr>
    </w:p>
    <w:p w14:paraId="21231F2A" w14:textId="2F0C9A96" w:rsidR="008E4BD5" w:rsidRDefault="008E4BD5" w:rsidP="008E4BD5">
      <w:pPr>
        <w:pStyle w:val="RubrikC"/>
      </w:pPr>
      <w:bookmarkStart w:id="7" w:name="_Toc81470263"/>
      <w:r>
        <w:t>1.</w:t>
      </w:r>
      <w:r w:rsidR="00387B8A">
        <w:t>3</w:t>
      </w:r>
      <w:r>
        <w:t xml:space="preserve">. </w:t>
      </w:r>
      <w:r w:rsidR="00DC1C2C">
        <w:t>Tidigare lagstiftning</w:t>
      </w:r>
      <w:bookmarkEnd w:id="7"/>
    </w:p>
    <w:p w14:paraId="3BD7E753" w14:textId="64D223C2" w:rsidR="008E4BD5" w:rsidRDefault="008E4BD5" w:rsidP="008E4BD5">
      <w:pPr>
        <w:pStyle w:val="Rubrikmellanrum"/>
      </w:pPr>
    </w:p>
    <w:p w14:paraId="41BBB22B" w14:textId="61B2FF0D" w:rsidR="00387B8A" w:rsidRDefault="00DC1C2C" w:rsidP="008E4BD5">
      <w:pPr>
        <w:pStyle w:val="ANormal"/>
      </w:pPr>
      <w:r>
        <w:t>Genom landskapslagen (1999:42) om befrielse från användnings- och överlåtelserestriktioner för hyresfastigheter blev det möjligt för ägare till bostadshus som finansierats med landskapslån med stöd av landskapslagen (1968:28) om bostadsproduktion, att bli befriade från lånerestriktionerna genom att återbetala lånet och betala en tilläggsavgift. Lagen tillämpades</w:t>
      </w:r>
      <w:r w:rsidR="006C64DC">
        <w:t xml:space="preserve"> under</w:t>
      </w:r>
      <w:r>
        <w:t xml:space="preserve"> åren 2000</w:t>
      </w:r>
      <w:r w:rsidR="006C64DC">
        <w:t xml:space="preserve"> </w:t>
      </w:r>
      <w:r>
        <w:t>-</w:t>
      </w:r>
      <w:r w:rsidR="006C64DC">
        <w:t xml:space="preserve"> </w:t>
      </w:r>
      <w:r>
        <w:t>2004 på lån som var minst 27 år gamla. Kommunalt ägda bostäder omfattades inte av återbetalningsmöjligheten.</w:t>
      </w:r>
    </w:p>
    <w:p w14:paraId="02FFDDA1" w14:textId="1A50BC38" w:rsidR="005471B9" w:rsidRDefault="005471B9" w:rsidP="008E4BD5">
      <w:pPr>
        <w:pStyle w:val="ANormal"/>
      </w:pPr>
      <w:r>
        <w:tab/>
        <w:t xml:space="preserve">Lagen medförde att större delen av de hus, </w:t>
      </w:r>
      <w:proofErr w:type="gramStart"/>
      <w:r>
        <w:t>367 stycken</w:t>
      </w:r>
      <w:proofErr w:type="gramEnd"/>
      <w:r>
        <w:t>, som byggts på 1970-talet friköptes från lånerestriktionerna.</w:t>
      </w:r>
    </w:p>
    <w:p w14:paraId="4A5F094C" w14:textId="5543D2FF" w:rsidR="00387B8A" w:rsidRDefault="00387B8A" w:rsidP="008E4BD5">
      <w:pPr>
        <w:pStyle w:val="ANormal"/>
      </w:pPr>
    </w:p>
    <w:p w14:paraId="260262A5" w14:textId="1CDD167D" w:rsidR="00DC1C2C" w:rsidRDefault="00DC1C2C" w:rsidP="00DC1C2C">
      <w:pPr>
        <w:pStyle w:val="RubrikC"/>
      </w:pPr>
      <w:bookmarkStart w:id="8" w:name="_Toc81470264"/>
      <w:r>
        <w:t>1.4. Budg</w:t>
      </w:r>
      <w:r w:rsidR="005471B9">
        <w:t>e</w:t>
      </w:r>
      <w:r>
        <w:t>ten 2021</w:t>
      </w:r>
      <w:bookmarkEnd w:id="8"/>
    </w:p>
    <w:p w14:paraId="68B470EE" w14:textId="77777777" w:rsidR="005471B9" w:rsidRPr="005471B9" w:rsidRDefault="005471B9" w:rsidP="005471B9">
      <w:pPr>
        <w:pStyle w:val="Rubrikmellanrum"/>
      </w:pPr>
    </w:p>
    <w:p w14:paraId="6CB2A3B0" w14:textId="131E418E" w:rsidR="008E4BD5" w:rsidRDefault="00367925" w:rsidP="008E4BD5">
      <w:pPr>
        <w:pStyle w:val="ANormal"/>
      </w:pPr>
      <w:r>
        <w:t>I budgeten för år 2021 skrev landskapsregeringen ”För att stärka landskapets likviditet avser landskapsregeringen erbjuda de låntagare som lyft landskapets bostadslån för byggande av hyresbostäder en möjlighet att återbetala lånen i förtid.”</w:t>
      </w:r>
    </w:p>
    <w:p w14:paraId="2F18F834" w14:textId="3A10D15B" w:rsidR="005471B9" w:rsidRDefault="005471B9" w:rsidP="008E4BD5">
      <w:pPr>
        <w:pStyle w:val="ANormal"/>
      </w:pPr>
    </w:p>
    <w:p w14:paraId="6F40D6D1" w14:textId="4A647C12" w:rsidR="005471B9" w:rsidRDefault="005471B9" w:rsidP="005471B9">
      <w:pPr>
        <w:pStyle w:val="RubrikC"/>
      </w:pPr>
      <w:bookmarkStart w:id="9" w:name="_Toc81470265"/>
      <w:r>
        <w:t>1.5. Lagmotion</w:t>
      </w:r>
      <w:bookmarkEnd w:id="9"/>
    </w:p>
    <w:p w14:paraId="7A574ED2" w14:textId="77777777" w:rsidR="005471B9" w:rsidRPr="005471B9" w:rsidRDefault="005471B9" w:rsidP="005471B9">
      <w:pPr>
        <w:pStyle w:val="Rubrikmellanrum"/>
      </w:pPr>
    </w:p>
    <w:p w14:paraId="40562986" w14:textId="4043F551" w:rsidR="00196663" w:rsidRDefault="00196663" w:rsidP="008E4BD5">
      <w:pPr>
        <w:pStyle w:val="ANormal"/>
      </w:pPr>
      <w:r>
        <w:t>I december år 2018 gavs en lagmotion</w:t>
      </w:r>
      <w:r w:rsidR="005471B9">
        <w:t xml:space="preserve"> (LM 1/</w:t>
      </w:r>
      <w:proofErr w:type="gramStart"/>
      <w:r w:rsidR="005471B9">
        <w:t>2018-2019</w:t>
      </w:r>
      <w:proofErr w:type="gramEnd"/>
      <w:r w:rsidR="00367925">
        <w:t>)</w:t>
      </w:r>
      <w:r>
        <w:t xml:space="preserve"> i ärendet</w:t>
      </w:r>
      <w:r w:rsidR="006C64DC">
        <w:t xml:space="preserve">. Lagmotionen </w:t>
      </w:r>
      <w:r>
        <w:t>förföll på grund av nyval.</w:t>
      </w:r>
    </w:p>
    <w:p w14:paraId="010F1F24" w14:textId="3C2A509D" w:rsidR="00976FDC" w:rsidRDefault="00976FDC" w:rsidP="008E4BD5">
      <w:pPr>
        <w:pStyle w:val="ANormal"/>
      </w:pPr>
    </w:p>
    <w:p w14:paraId="4F6F6DFC" w14:textId="4459B977" w:rsidR="005471B9" w:rsidRDefault="005471B9" w:rsidP="005471B9">
      <w:pPr>
        <w:pStyle w:val="RubrikB"/>
      </w:pPr>
      <w:bookmarkStart w:id="10" w:name="_Toc81470266"/>
      <w:r>
        <w:t>2.</w:t>
      </w:r>
      <w:r w:rsidR="00976FDC">
        <w:t xml:space="preserve"> Landskapsregeringens </w:t>
      </w:r>
      <w:r>
        <w:t>förslag</w:t>
      </w:r>
      <w:bookmarkEnd w:id="10"/>
    </w:p>
    <w:p w14:paraId="412CDB14" w14:textId="70DD67BA" w:rsidR="005471B9" w:rsidRDefault="005471B9" w:rsidP="005471B9">
      <w:pPr>
        <w:pStyle w:val="Rubrikmellanrum"/>
      </w:pPr>
    </w:p>
    <w:p w14:paraId="28AEAD80" w14:textId="5A60B9E8" w:rsidR="00367925" w:rsidRDefault="005471B9" w:rsidP="005471B9">
      <w:pPr>
        <w:pStyle w:val="ANormal"/>
      </w:pPr>
      <w:r>
        <w:t xml:space="preserve">Landskapsregeringen föreslår att </w:t>
      </w:r>
      <w:r w:rsidR="00D765E7">
        <w:t>landskapslagen om bostadsproduktion ändras i enlighet med skrivningarna i budgeten för 2021.</w:t>
      </w:r>
      <w:r w:rsidR="00CF5E96">
        <w:t xml:space="preserve"> Syftet med ändringen är att </w:t>
      </w:r>
      <w:r w:rsidR="00E735F0">
        <w:t xml:space="preserve">bland annat att </w:t>
      </w:r>
      <w:r w:rsidR="00CF5E96">
        <w:t>stärka landskapets likviditet.</w:t>
      </w:r>
    </w:p>
    <w:p w14:paraId="69C4F8DF" w14:textId="448C7BB9" w:rsidR="00412186" w:rsidRDefault="00412186" w:rsidP="005471B9">
      <w:pPr>
        <w:pStyle w:val="ANormal"/>
      </w:pPr>
    </w:p>
    <w:p w14:paraId="5C733395" w14:textId="05E600E9" w:rsidR="00412186" w:rsidRDefault="00412186" w:rsidP="00412186">
      <w:pPr>
        <w:pStyle w:val="RubrikB"/>
      </w:pPr>
      <w:bookmarkStart w:id="11" w:name="_Toc81470267"/>
      <w:r>
        <w:t>3. Förslagets konsekvenser</w:t>
      </w:r>
      <w:bookmarkEnd w:id="11"/>
    </w:p>
    <w:p w14:paraId="63BDA95C" w14:textId="7E170988" w:rsidR="00412186" w:rsidRDefault="00412186" w:rsidP="00412186">
      <w:pPr>
        <w:pStyle w:val="Rubrikmellanrum"/>
      </w:pPr>
    </w:p>
    <w:p w14:paraId="54D5A1D0" w14:textId="2E127273" w:rsidR="00412186" w:rsidRDefault="00412186" w:rsidP="00412186">
      <w:pPr>
        <w:pStyle w:val="RubrikC"/>
      </w:pPr>
      <w:bookmarkStart w:id="12" w:name="_Toc81470268"/>
      <w:r>
        <w:t>3.1. Ekonomiska konsekvenser</w:t>
      </w:r>
      <w:bookmarkEnd w:id="12"/>
    </w:p>
    <w:p w14:paraId="14BD6DA3" w14:textId="4223C11C" w:rsidR="00FD796A" w:rsidRDefault="00FD796A" w:rsidP="00FD796A">
      <w:pPr>
        <w:pStyle w:val="Rubrikmellanrum"/>
      </w:pPr>
    </w:p>
    <w:p w14:paraId="24DCE8E6" w14:textId="345281DA" w:rsidR="005266F1" w:rsidRDefault="00FD796A" w:rsidP="005266F1">
      <w:pPr>
        <w:pStyle w:val="ANormal"/>
      </w:pPr>
      <w:r>
        <w:t>Låneavtalen är bindande för landskapsregeringen och en återbetalning i förväg måste ske på frivillig väg.</w:t>
      </w:r>
      <w:r w:rsidR="005266F1">
        <w:t xml:space="preserve"> Antalet låntagare som kan ha ett intresse av att betala bort sina lån</w:t>
      </w:r>
      <w:r w:rsidR="000F6BB8">
        <w:t xml:space="preserve">, och vad det ekonomiskt innebär för landskapet, </w:t>
      </w:r>
      <w:r w:rsidR="005266F1">
        <w:t>är svårt att beräkna.</w:t>
      </w:r>
    </w:p>
    <w:p w14:paraId="5C4C57C5" w14:textId="77777777" w:rsidR="00F93DC5" w:rsidRDefault="00F93DC5" w:rsidP="005266F1">
      <w:pPr>
        <w:pStyle w:val="ANormal"/>
      </w:pPr>
    </w:p>
    <w:p w14:paraId="32602E3F" w14:textId="35C3347A" w:rsidR="00F93DC5" w:rsidRDefault="00F93DC5">
      <w:pPr>
        <w:rPr>
          <w:sz w:val="22"/>
          <w:szCs w:val="20"/>
        </w:rPr>
      </w:pPr>
      <w:r>
        <w:br w:type="page"/>
      </w:r>
    </w:p>
    <w:p w14:paraId="1CC107BC" w14:textId="77777777" w:rsidR="006C64DC" w:rsidRDefault="006C64DC" w:rsidP="005266F1">
      <w:pPr>
        <w:pStyle w:val="ANormal"/>
      </w:pPr>
    </w:p>
    <w:p w14:paraId="30EF121F" w14:textId="4B1FF284" w:rsidR="007470A3" w:rsidRDefault="007470A3" w:rsidP="007470A3">
      <w:pPr>
        <w:pStyle w:val="ANormal"/>
      </w:pPr>
      <w:r>
        <w:tab/>
        <w:t>Låntagarna kan kategoriseras enligt följande:</w:t>
      </w:r>
    </w:p>
    <w:p w14:paraId="437D4B00" w14:textId="4F1F979C" w:rsidR="007470A3" w:rsidRDefault="007470A3" w:rsidP="007470A3">
      <w:pPr>
        <w:pStyle w:val="A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964"/>
        <w:gridCol w:w="1260"/>
      </w:tblGrid>
      <w:tr w:rsidR="007470A3" w14:paraId="00DCB45A" w14:textId="77777777" w:rsidTr="00FA6833">
        <w:trPr>
          <w:trHeight w:val="223"/>
        </w:trPr>
        <w:tc>
          <w:tcPr>
            <w:tcW w:w="2553" w:type="dxa"/>
            <w:vMerge w:val="restart"/>
            <w:shd w:val="clear" w:color="auto" w:fill="auto"/>
          </w:tcPr>
          <w:p w14:paraId="35330C7B" w14:textId="7AE2DAE3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Låntagare som sannolikt inte vill/kan återbetala sina lån</w:t>
            </w:r>
          </w:p>
        </w:tc>
        <w:tc>
          <w:tcPr>
            <w:tcW w:w="3084" w:type="dxa"/>
            <w:shd w:val="clear" w:color="auto" w:fill="auto"/>
          </w:tcPr>
          <w:p w14:paraId="0924C9F0" w14:textId="1457F87A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Skärgårdskommunerna/bolagen</w:t>
            </w:r>
          </w:p>
        </w:tc>
        <w:tc>
          <w:tcPr>
            <w:tcW w:w="1269" w:type="dxa"/>
            <w:shd w:val="clear" w:color="auto" w:fill="auto"/>
          </w:tcPr>
          <w:p w14:paraId="02729577" w14:textId="1D8F44F3" w:rsidR="007470A3" w:rsidRPr="00FA6833" w:rsidRDefault="007470A3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4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000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7470A3" w14:paraId="03F6BDEE" w14:textId="77777777" w:rsidTr="00FA6833">
        <w:trPr>
          <w:trHeight w:val="222"/>
        </w:trPr>
        <w:tc>
          <w:tcPr>
            <w:tcW w:w="2553" w:type="dxa"/>
            <w:vMerge/>
            <w:shd w:val="clear" w:color="auto" w:fill="auto"/>
          </w:tcPr>
          <w:p w14:paraId="2E79A1D5" w14:textId="77777777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14:paraId="235899C4" w14:textId="6BF44161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Kommunernas omsorgsbostäder</w:t>
            </w:r>
          </w:p>
        </w:tc>
        <w:tc>
          <w:tcPr>
            <w:tcW w:w="1269" w:type="dxa"/>
            <w:shd w:val="clear" w:color="auto" w:fill="auto"/>
          </w:tcPr>
          <w:p w14:paraId="0B42279F" w14:textId="77C1D937" w:rsidR="007470A3" w:rsidRPr="00FA6833" w:rsidRDefault="007470A3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4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400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 xml:space="preserve">000 </w:t>
            </w:r>
          </w:p>
        </w:tc>
      </w:tr>
      <w:tr w:rsidR="007470A3" w14:paraId="7307AFB7" w14:textId="77777777" w:rsidTr="00FA6833">
        <w:trPr>
          <w:trHeight w:val="223"/>
        </w:trPr>
        <w:tc>
          <w:tcPr>
            <w:tcW w:w="2553" w:type="dxa"/>
            <w:vMerge w:val="restart"/>
            <w:shd w:val="clear" w:color="auto" w:fill="auto"/>
          </w:tcPr>
          <w:p w14:paraId="2DFF8411" w14:textId="6ACE71C1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Låntagare som kan tänkas vilja återbetala sina lån</w:t>
            </w:r>
          </w:p>
        </w:tc>
        <w:tc>
          <w:tcPr>
            <w:tcW w:w="3084" w:type="dxa"/>
            <w:shd w:val="clear" w:color="auto" w:fill="auto"/>
          </w:tcPr>
          <w:p w14:paraId="7FE89DF7" w14:textId="29DE5A08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Privata bolag</w:t>
            </w:r>
          </w:p>
        </w:tc>
        <w:tc>
          <w:tcPr>
            <w:tcW w:w="1269" w:type="dxa"/>
            <w:shd w:val="clear" w:color="auto" w:fill="auto"/>
          </w:tcPr>
          <w:p w14:paraId="3E7A4075" w14:textId="2A374C02" w:rsidR="007470A3" w:rsidRPr="00FA6833" w:rsidRDefault="007470A3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2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400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7470A3" w14:paraId="65F8A34F" w14:textId="77777777" w:rsidTr="00FA6833">
        <w:trPr>
          <w:trHeight w:val="222"/>
        </w:trPr>
        <w:tc>
          <w:tcPr>
            <w:tcW w:w="2553" w:type="dxa"/>
            <w:vMerge/>
            <w:shd w:val="clear" w:color="auto" w:fill="auto"/>
          </w:tcPr>
          <w:p w14:paraId="42571222" w14:textId="77777777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14:paraId="0D744B3A" w14:textId="194E83A7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Kommunerna</w:t>
            </w:r>
          </w:p>
        </w:tc>
        <w:tc>
          <w:tcPr>
            <w:tcW w:w="1269" w:type="dxa"/>
            <w:shd w:val="clear" w:color="auto" w:fill="auto"/>
          </w:tcPr>
          <w:p w14:paraId="215F742D" w14:textId="27DDA3E2" w:rsidR="007470A3" w:rsidRPr="00FA6833" w:rsidRDefault="007470A3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1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400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7470A3" w14:paraId="50489E4F" w14:textId="77777777" w:rsidTr="00FA6833">
        <w:trPr>
          <w:trHeight w:val="149"/>
        </w:trPr>
        <w:tc>
          <w:tcPr>
            <w:tcW w:w="2553" w:type="dxa"/>
            <w:vMerge w:val="restart"/>
            <w:shd w:val="clear" w:color="auto" w:fill="auto"/>
          </w:tcPr>
          <w:p w14:paraId="08ECF486" w14:textId="4D984C46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Landskapet har helt/delvis beslutanderätt</w:t>
            </w:r>
          </w:p>
        </w:tc>
        <w:tc>
          <w:tcPr>
            <w:tcW w:w="3084" w:type="dxa"/>
            <w:shd w:val="clear" w:color="auto" w:fill="auto"/>
          </w:tcPr>
          <w:p w14:paraId="1072E88B" w14:textId="20706FFD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FAB Söderkåkar (100 %)</w:t>
            </w:r>
          </w:p>
        </w:tc>
        <w:tc>
          <w:tcPr>
            <w:tcW w:w="1269" w:type="dxa"/>
            <w:shd w:val="clear" w:color="auto" w:fill="auto"/>
          </w:tcPr>
          <w:p w14:paraId="056D61AB" w14:textId="705A02A6" w:rsidR="007470A3" w:rsidRPr="00FA6833" w:rsidRDefault="007470A3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900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7470A3" w14:paraId="027F4FCE" w14:textId="77777777" w:rsidTr="00FA6833">
        <w:trPr>
          <w:trHeight w:val="148"/>
        </w:trPr>
        <w:tc>
          <w:tcPr>
            <w:tcW w:w="2553" w:type="dxa"/>
            <w:vMerge/>
            <w:shd w:val="clear" w:color="auto" w:fill="auto"/>
          </w:tcPr>
          <w:p w14:paraId="59A4E699" w14:textId="77777777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14:paraId="14C88AAE" w14:textId="09777AC4" w:rsidR="007470A3" w:rsidRPr="00FA6833" w:rsidRDefault="007470A3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 xml:space="preserve">FAB </w:t>
            </w:r>
            <w:proofErr w:type="spellStart"/>
            <w:r w:rsidRPr="00FA6833">
              <w:rPr>
                <w:rFonts w:ascii="Arial" w:hAnsi="Arial" w:cs="Arial"/>
                <w:sz w:val="18"/>
                <w:szCs w:val="18"/>
              </w:rPr>
              <w:t>Dalnäs</w:t>
            </w:r>
            <w:proofErr w:type="spellEnd"/>
            <w:r w:rsidRPr="00FA6833">
              <w:rPr>
                <w:rFonts w:ascii="Arial" w:hAnsi="Arial" w:cs="Arial"/>
                <w:sz w:val="18"/>
                <w:szCs w:val="18"/>
              </w:rPr>
              <w:t xml:space="preserve"> (40 %)</w:t>
            </w:r>
          </w:p>
        </w:tc>
        <w:tc>
          <w:tcPr>
            <w:tcW w:w="1269" w:type="dxa"/>
            <w:shd w:val="clear" w:color="auto" w:fill="auto"/>
          </w:tcPr>
          <w:p w14:paraId="262F5FEA" w14:textId="5168BBA7" w:rsidR="007470A3" w:rsidRPr="00FA6833" w:rsidRDefault="007470A3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2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100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CF5E96" w14:paraId="4E37EBB2" w14:textId="77777777" w:rsidTr="00FA6833">
        <w:trPr>
          <w:trHeight w:val="50"/>
        </w:trPr>
        <w:tc>
          <w:tcPr>
            <w:tcW w:w="2553" w:type="dxa"/>
            <w:vMerge w:val="restart"/>
            <w:shd w:val="clear" w:color="auto" w:fill="auto"/>
          </w:tcPr>
          <w:p w14:paraId="0CEE1797" w14:textId="4F32C286" w:rsidR="00CF5E96" w:rsidRPr="00FA6833" w:rsidRDefault="00CF5E96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Övriga</w:t>
            </w:r>
          </w:p>
        </w:tc>
        <w:tc>
          <w:tcPr>
            <w:tcW w:w="3084" w:type="dxa"/>
            <w:shd w:val="clear" w:color="auto" w:fill="auto"/>
          </w:tcPr>
          <w:p w14:paraId="0F5C6E97" w14:textId="3AB9486C" w:rsidR="00CF5E96" w:rsidRPr="00FA6833" w:rsidRDefault="00CF5E96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 xml:space="preserve">FAB </w:t>
            </w:r>
            <w:proofErr w:type="spellStart"/>
            <w:r w:rsidRPr="00FA6833">
              <w:rPr>
                <w:rFonts w:ascii="Arial" w:hAnsi="Arial" w:cs="Arial"/>
                <w:sz w:val="18"/>
                <w:szCs w:val="18"/>
              </w:rPr>
              <w:t>Marstad</w:t>
            </w:r>
            <w:proofErr w:type="spellEnd"/>
            <w:r w:rsidRPr="00FA683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FA6833">
              <w:rPr>
                <w:rFonts w:ascii="Arial" w:hAnsi="Arial" w:cs="Arial"/>
                <w:sz w:val="18"/>
                <w:szCs w:val="18"/>
              </w:rPr>
              <w:t>M:hamn</w:t>
            </w:r>
            <w:proofErr w:type="spellEnd"/>
            <w:proofErr w:type="gramEnd"/>
            <w:r w:rsidRPr="00FA6833">
              <w:rPr>
                <w:rFonts w:ascii="Arial" w:hAnsi="Arial" w:cs="Arial"/>
                <w:sz w:val="18"/>
                <w:szCs w:val="18"/>
              </w:rPr>
              <w:t xml:space="preserve"> 100 %)</w:t>
            </w:r>
          </w:p>
        </w:tc>
        <w:tc>
          <w:tcPr>
            <w:tcW w:w="1269" w:type="dxa"/>
            <w:shd w:val="clear" w:color="auto" w:fill="auto"/>
          </w:tcPr>
          <w:p w14:paraId="250BBBFF" w14:textId="77311F9B" w:rsidR="00CF5E96" w:rsidRPr="00FA6833" w:rsidRDefault="00CF5E96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18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200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CF5E96" w14:paraId="2ABB8CBA" w14:textId="77777777" w:rsidTr="00FA6833">
        <w:trPr>
          <w:trHeight w:val="49"/>
        </w:trPr>
        <w:tc>
          <w:tcPr>
            <w:tcW w:w="2553" w:type="dxa"/>
            <w:vMerge/>
            <w:shd w:val="clear" w:color="auto" w:fill="auto"/>
          </w:tcPr>
          <w:p w14:paraId="0286FA78" w14:textId="77777777" w:rsidR="00CF5E96" w:rsidRPr="00FA6833" w:rsidRDefault="00CF5E96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14:paraId="323AD3AF" w14:textId="1C93021C" w:rsidR="00CF5E96" w:rsidRPr="00FA6833" w:rsidRDefault="00CF5E96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Övriga offentligt ägda</w:t>
            </w:r>
          </w:p>
        </w:tc>
        <w:tc>
          <w:tcPr>
            <w:tcW w:w="1269" w:type="dxa"/>
            <w:shd w:val="clear" w:color="auto" w:fill="auto"/>
          </w:tcPr>
          <w:p w14:paraId="0F437A67" w14:textId="14AB4BC8" w:rsidR="00CF5E96" w:rsidRPr="00FA6833" w:rsidRDefault="00CF5E96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2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000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CF5E96" w14:paraId="0B250924" w14:textId="77777777" w:rsidTr="00FA6833">
        <w:trPr>
          <w:trHeight w:val="49"/>
        </w:trPr>
        <w:tc>
          <w:tcPr>
            <w:tcW w:w="2553" w:type="dxa"/>
            <w:vMerge/>
            <w:shd w:val="clear" w:color="auto" w:fill="auto"/>
          </w:tcPr>
          <w:p w14:paraId="781274BD" w14:textId="77777777" w:rsidR="00CF5E96" w:rsidRPr="00FA6833" w:rsidRDefault="00CF5E96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14:paraId="22A40769" w14:textId="17386A75" w:rsidR="00CF5E96" w:rsidRPr="00FA6833" w:rsidRDefault="00CF5E96" w:rsidP="007470A3">
            <w:pPr>
              <w:pStyle w:val="ANormal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Övriga privat ägda</w:t>
            </w:r>
          </w:p>
        </w:tc>
        <w:tc>
          <w:tcPr>
            <w:tcW w:w="1269" w:type="dxa"/>
            <w:shd w:val="clear" w:color="auto" w:fill="auto"/>
          </w:tcPr>
          <w:p w14:paraId="77156733" w14:textId="0901164F" w:rsidR="00CF5E96" w:rsidRPr="00FA6833" w:rsidRDefault="00CF5E96" w:rsidP="00FA6833">
            <w:pPr>
              <w:pStyle w:val="ANormal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33">
              <w:rPr>
                <w:rFonts w:ascii="Arial" w:hAnsi="Arial" w:cs="Arial"/>
                <w:sz w:val="18"/>
                <w:szCs w:val="18"/>
              </w:rPr>
              <w:t>6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700</w:t>
            </w:r>
            <w:r w:rsidR="00F76485">
              <w:rPr>
                <w:rFonts w:ascii="Arial" w:hAnsi="Arial" w:cs="Arial"/>
                <w:sz w:val="18"/>
                <w:szCs w:val="18"/>
              </w:rPr>
              <w:t> </w:t>
            </w:r>
            <w:r w:rsidRPr="00FA68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</w:tbl>
    <w:p w14:paraId="39ACAF15" w14:textId="77777777" w:rsidR="007470A3" w:rsidRDefault="007470A3" w:rsidP="007470A3">
      <w:pPr>
        <w:pStyle w:val="ANormal"/>
      </w:pPr>
    </w:p>
    <w:p w14:paraId="43452ED4" w14:textId="09C191FF" w:rsidR="00FD796A" w:rsidRDefault="007470A3" w:rsidP="000C6665">
      <w:pPr>
        <w:pStyle w:val="ANormal"/>
      </w:pPr>
      <w:r>
        <w:tab/>
      </w:r>
      <w:r w:rsidR="00FD796A" w:rsidRPr="00FB3C66">
        <w:t xml:space="preserve">För den som </w:t>
      </w:r>
      <w:r w:rsidR="005266F1" w:rsidRPr="00FB3C66">
        <w:t>vill</w:t>
      </w:r>
      <w:r w:rsidR="00FD796A" w:rsidRPr="00FB3C66">
        <w:t xml:space="preserve"> återbetala lånet </w:t>
      </w:r>
      <w:r w:rsidR="005266F1" w:rsidRPr="00FB3C66">
        <w:t xml:space="preserve">kan </w:t>
      </w:r>
      <w:r w:rsidR="00FD796A" w:rsidRPr="00FB3C66">
        <w:t>en ny finansiering från den öppna finansieringsmarknaden</w:t>
      </w:r>
      <w:r w:rsidR="005266F1" w:rsidRPr="00FB3C66">
        <w:t xml:space="preserve"> krävas</w:t>
      </w:r>
      <w:r w:rsidR="00FD796A" w:rsidRPr="00FB3C66">
        <w:t>.</w:t>
      </w:r>
    </w:p>
    <w:p w14:paraId="6197A7BC" w14:textId="77777777" w:rsidR="00FD796A" w:rsidRPr="00FD796A" w:rsidRDefault="00FD796A" w:rsidP="00FD796A">
      <w:pPr>
        <w:pStyle w:val="ANormal"/>
      </w:pPr>
    </w:p>
    <w:p w14:paraId="6C1F74E3" w14:textId="7D6A76E6" w:rsidR="00412186" w:rsidRDefault="00412186" w:rsidP="00412186">
      <w:pPr>
        <w:pStyle w:val="RubrikC"/>
      </w:pPr>
      <w:bookmarkStart w:id="13" w:name="_Toc81470269"/>
      <w:r>
        <w:t xml:space="preserve">3.2. </w:t>
      </w:r>
      <w:r w:rsidR="003D2534">
        <w:t>Samhälleliga</w:t>
      </w:r>
      <w:r>
        <w:t xml:space="preserve"> konsekvenser</w:t>
      </w:r>
      <w:bookmarkEnd w:id="13"/>
    </w:p>
    <w:p w14:paraId="18596C85" w14:textId="39A4F565" w:rsidR="000F6BB8" w:rsidRDefault="000F6BB8" w:rsidP="000F6BB8">
      <w:pPr>
        <w:pStyle w:val="Rubrikmellanrum"/>
      </w:pPr>
    </w:p>
    <w:p w14:paraId="3A51824F" w14:textId="620A8713" w:rsidR="003D2534" w:rsidRDefault="000F6BB8" w:rsidP="000F6BB8">
      <w:pPr>
        <w:pStyle w:val="ANormal"/>
      </w:pPr>
      <w:r>
        <w:t xml:space="preserve">En lagändring som möjliggör att lånen kan betalas bort och bostäderna får disponeras fritt leder till att de bostäder som tidigare varit renodlade hyreslägenheter </w:t>
      </w:r>
      <w:r w:rsidR="003D2534">
        <w:t>kan</w:t>
      </w:r>
      <w:r>
        <w:t xml:space="preserve"> fortsätta vara hyresbostäder, bli ägarbos</w:t>
      </w:r>
      <w:r w:rsidR="003D2534">
        <w:t>täder</w:t>
      </w:r>
      <w:r>
        <w:t xml:space="preserve"> med bofast hushåll eller ägarbost</w:t>
      </w:r>
      <w:r w:rsidR="003D2534">
        <w:t>äder</w:t>
      </w:r>
      <w:r>
        <w:t xml:space="preserve"> som hyrs ut.</w:t>
      </w:r>
    </w:p>
    <w:p w14:paraId="0AA14E2C" w14:textId="48ECE0E2" w:rsidR="00B11BA5" w:rsidRDefault="00B11BA5" w:rsidP="003D2534">
      <w:pPr>
        <w:pStyle w:val="ANormal"/>
      </w:pPr>
    </w:p>
    <w:p w14:paraId="4B26C6E3" w14:textId="3E7ABC90" w:rsidR="00B11BA5" w:rsidRDefault="00B11BA5" w:rsidP="00B11BA5">
      <w:pPr>
        <w:pStyle w:val="RubrikC"/>
      </w:pPr>
      <w:bookmarkStart w:id="14" w:name="_Toc81470270"/>
      <w:bookmarkStart w:id="15" w:name="_Hlk73016731"/>
      <w:r>
        <w:t>3.3. Administrativa konsekvenser</w:t>
      </w:r>
      <w:bookmarkEnd w:id="14"/>
    </w:p>
    <w:p w14:paraId="713B97B2" w14:textId="16377E34" w:rsidR="00B11BA5" w:rsidRDefault="00B11BA5" w:rsidP="00B11BA5">
      <w:pPr>
        <w:pStyle w:val="Rubrikmellanrum"/>
      </w:pPr>
    </w:p>
    <w:p w14:paraId="43BA1F30" w14:textId="77CFF6A8" w:rsidR="0066408E" w:rsidRDefault="006C64DC" w:rsidP="003805F3">
      <w:pPr>
        <w:pStyle w:val="ANormal"/>
      </w:pPr>
      <w:r>
        <w:t>Om</w:t>
      </w:r>
      <w:r w:rsidR="009C67F8">
        <w:t xml:space="preserve"> </w:t>
      </w:r>
      <w:r w:rsidR="004F3CA8">
        <w:t xml:space="preserve">hyresbostadslåntagarna befrias från lånerestriktionerna då lånet betalats bort </w:t>
      </w:r>
      <w:r>
        <w:t>får det</w:t>
      </w:r>
      <w:r w:rsidR="004F3CA8">
        <w:t xml:space="preserve"> positiva konsekvenser för administrationen. Det finns idag lån som lyfts på 70-talet. Låneprogrammen innehåller inte </w:t>
      </w:r>
      <w:r w:rsidR="003805F3">
        <w:t xml:space="preserve">korrekta </w:t>
      </w:r>
      <w:r w:rsidR="004F3CA8">
        <w:t xml:space="preserve">sluttider för lånen </w:t>
      </w:r>
      <w:r w:rsidR="009C67F8">
        <w:t>vilket gör att restriktionerna måste följas upp manuellt i arkiven. Även i övrigt inverkar ett avlyftande av restriktionerna positivt på byråkratin och de administrativa uppgifterna i förvaltningen.</w:t>
      </w:r>
    </w:p>
    <w:p w14:paraId="543DC16B" w14:textId="4DBDB1DD" w:rsidR="003805F3" w:rsidRPr="003805F3" w:rsidRDefault="0066408E" w:rsidP="003805F3">
      <w:pPr>
        <w:pStyle w:val="ANormal"/>
        <w:rPr>
          <w:szCs w:val="22"/>
        </w:rPr>
      </w:pPr>
      <w:r>
        <w:tab/>
        <w:t>F</w:t>
      </w:r>
      <w:r w:rsidR="009C67F8">
        <w:t>ör låntagarna innebär avlyftandet av restriktionerna en lättnad vad gäller administrationen.</w:t>
      </w:r>
      <w:r w:rsidR="003805F3" w:rsidRPr="003805F3">
        <w:rPr>
          <w:color w:val="FF0000"/>
        </w:rPr>
        <w:t xml:space="preserve"> </w:t>
      </w:r>
      <w:r w:rsidR="003805F3" w:rsidRPr="003805F3">
        <w:t xml:space="preserve">Möjligheten att ändra lånevillkoren till den senaste bostadsproduktionslagen gör att fastighetsägare som har flera landskapslån utgivna med </w:t>
      </w:r>
      <w:r>
        <w:t xml:space="preserve">stöd av </w:t>
      </w:r>
      <w:r w:rsidR="003805F3" w:rsidRPr="003805F3">
        <w:t xml:space="preserve">olika lagar kan ändra villkoren så att samma restriktioner gäller för samtliga fastigheter. </w:t>
      </w:r>
      <w:r w:rsidR="003805F3">
        <w:t>Enligt</w:t>
      </w:r>
      <w:r w:rsidR="003805F3" w:rsidRPr="003805F3">
        <w:t xml:space="preserve"> </w:t>
      </w:r>
      <w:r>
        <w:t xml:space="preserve">den </w:t>
      </w:r>
      <w:r w:rsidR="003805F3">
        <w:t>nu gällande</w:t>
      </w:r>
      <w:r w:rsidR="003805F3" w:rsidRPr="003805F3">
        <w:t xml:space="preserve"> bostadsproduktionslagen får hyran </w:t>
      </w:r>
      <w:r>
        <w:t xml:space="preserve">indexjusteras </w:t>
      </w:r>
      <w:r w:rsidR="003805F3" w:rsidRPr="003805F3">
        <w:t>utan godkännande av landskapsregeringen vilket minskar administration</w:t>
      </w:r>
      <w:r>
        <w:t>en</w:t>
      </w:r>
      <w:r w:rsidR="003805F3" w:rsidRPr="003805F3">
        <w:t>.</w:t>
      </w:r>
    </w:p>
    <w:p w14:paraId="7863A20A" w14:textId="6031FBAA" w:rsidR="003D2534" w:rsidRPr="003805F3" w:rsidRDefault="003D2534" w:rsidP="003D2534">
      <w:pPr>
        <w:pStyle w:val="ANormal"/>
      </w:pPr>
    </w:p>
    <w:p w14:paraId="056E20A2" w14:textId="427C170B" w:rsidR="00412186" w:rsidRDefault="00412186" w:rsidP="003D2534">
      <w:pPr>
        <w:pStyle w:val="RubrikC"/>
      </w:pPr>
      <w:bookmarkStart w:id="16" w:name="_Toc81470271"/>
      <w:bookmarkEnd w:id="15"/>
      <w:r>
        <w:t>3.</w:t>
      </w:r>
      <w:r w:rsidR="009C67F8">
        <w:t>4</w:t>
      </w:r>
      <w:r>
        <w:t>. Konsekvenser för miljön</w:t>
      </w:r>
      <w:bookmarkEnd w:id="16"/>
    </w:p>
    <w:p w14:paraId="6A53C78C" w14:textId="2B1B3714" w:rsidR="003D2534" w:rsidRDefault="003D2534" w:rsidP="003D2534">
      <w:pPr>
        <w:pStyle w:val="Rubrikmellanrum"/>
      </w:pPr>
    </w:p>
    <w:p w14:paraId="4E1CBF59" w14:textId="62DE76F8" w:rsidR="003D2534" w:rsidRPr="003D2534" w:rsidRDefault="003D2534" w:rsidP="003D2534">
      <w:pPr>
        <w:pStyle w:val="ANormal"/>
      </w:pPr>
      <w:r>
        <w:t>Fastigheter är ett viktigt fokusområde när det gäller att minska belastningen på klimatet. Om hyresbostäderna frigörs från regleringssystemet så möjliggör det att fastigheter med eftersatt underhåll kan byta ägare</w:t>
      </w:r>
      <w:r w:rsidR="006436B8">
        <w:t xml:space="preserve"> till ägare med större </w:t>
      </w:r>
      <w:r>
        <w:t xml:space="preserve">intresse av att underhålla bostäderna. Det är troligt att underhållsarbete och investeringar för att sänka driftkostnaderna görs i samband med en överlåtelse. </w:t>
      </w:r>
      <w:r w:rsidR="006436B8">
        <w:t>Detta kan</w:t>
      </w:r>
      <w:r>
        <w:t xml:space="preserve"> resultera i en ökad livslängd och att </w:t>
      </w:r>
      <w:r w:rsidR="006436B8">
        <w:t>fastigheterna</w:t>
      </w:r>
      <w:r>
        <w:t xml:space="preserve"> blir energieffektivare, vilket torde minska miljöbelastningen.</w:t>
      </w:r>
    </w:p>
    <w:p w14:paraId="35070FD0" w14:textId="77777777" w:rsidR="00B11BA5" w:rsidRDefault="00B11BA5" w:rsidP="00412186">
      <w:pPr>
        <w:pStyle w:val="ANormal"/>
      </w:pPr>
    </w:p>
    <w:p w14:paraId="59E3F6D1" w14:textId="2D8CCBC7" w:rsidR="006436B8" w:rsidRDefault="006436B8" w:rsidP="006436B8">
      <w:pPr>
        <w:pStyle w:val="RubrikC"/>
      </w:pPr>
      <w:bookmarkStart w:id="17" w:name="_Toc81470272"/>
      <w:r>
        <w:t>3.</w:t>
      </w:r>
      <w:r w:rsidR="009C67F8">
        <w:t>5</w:t>
      </w:r>
      <w:r>
        <w:t>. Konsekvenser för barn och jämställdheten</w:t>
      </w:r>
      <w:bookmarkEnd w:id="17"/>
    </w:p>
    <w:p w14:paraId="0D724F69" w14:textId="77777777" w:rsidR="00F76485" w:rsidRPr="00F76485" w:rsidRDefault="00F76485" w:rsidP="00F76485">
      <w:pPr>
        <w:pStyle w:val="Rubrikmellanrum"/>
      </w:pPr>
    </w:p>
    <w:p w14:paraId="643A2B84" w14:textId="74FA1485" w:rsidR="00412186" w:rsidRDefault="00412186" w:rsidP="00412186">
      <w:pPr>
        <w:pStyle w:val="ANormal"/>
      </w:pPr>
      <w:r>
        <w:t xml:space="preserve">Förslaget saknar </w:t>
      </w:r>
      <w:r w:rsidR="006436B8">
        <w:t xml:space="preserve">direkta </w:t>
      </w:r>
      <w:r>
        <w:t>konsekvenser för barn</w:t>
      </w:r>
      <w:r w:rsidR="006436B8">
        <w:t xml:space="preserve"> och jämställdheten</w:t>
      </w:r>
      <w:r>
        <w:t>.</w:t>
      </w:r>
    </w:p>
    <w:p w14:paraId="501C90F6" w14:textId="72F1FC44" w:rsidR="00412186" w:rsidRDefault="00412186" w:rsidP="00412186">
      <w:pPr>
        <w:pStyle w:val="ANormal"/>
      </w:pPr>
    </w:p>
    <w:p w14:paraId="71014F63" w14:textId="1C99B92E" w:rsidR="00D765E7" w:rsidRDefault="00CF5E96" w:rsidP="00D765E7">
      <w:pPr>
        <w:pStyle w:val="RubrikB"/>
      </w:pPr>
      <w:bookmarkStart w:id="18" w:name="_Toc81470273"/>
      <w:r>
        <w:t>4</w:t>
      </w:r>
      <w:r w:rsidR="00D765E7">
        <w:t>. Lagstiftningsbehörigheten</w:t>
      </w:r>
      <w:bookmarkEnd w:id="18"/>
    </w:p>
    <w:p w14:paraId="51485A95" w14:textId="5FC7D52D" w:rsidR="00D765E7" w:rsidRDefault="00D765E7" w:rsidP="00D765E7">
      <w:pPr>
        <w:pStyle w:val="Rubrikmellanrum"/>
      </w:pPr>
    </w:p>
    <w:p w14:paraId="104A1164" w14:textId="34A40CCD" w:rsidR="00D765E7" w:rsidRDefault="00D765E7" w:rsidP="00D765E7">
      <w:pPr>
        <w:pStyle w:val="ANormal"/>
      </w:pPr>
      <w:r>
        <w:t>Landskapet har enligt 18</w:t>
      </w:r>
      <w:r w:rsidR="00F76485">
        <w:t> </w:t>
      </w:r>
      <w:r>
        <w:t>§ 7</w:t>
      </w:r>
      <w:r w:rsidR="00F76485">
        <w:t> </w:t>
      </w:r>
      <w:r>
        <w:t>punkten lagstiftningsbehörighet i fråga om bostadsproduktion.</w:t>
      </w:r>
    </w:p>
    <w:p w14:paraId="5122CA6D" w14:textId="3EBC8A05" w:rsidR="00D765E7" w:rsidRDefault="00D765E7" w:rsidP="00D765E7">
      <w:pPr>
        <w:pStyle w:val="ANormal"/>
      </w:pPr>
    </w:p>
    <w:p w14:paraId="6207B429" w14:textId="541A8FD3" w:rsidR="00D765E7" w:rsidRDefault="00CF5E96" w:rsidP="00D765E7">
      <w:pPr>
        <w:pStyle w:val="RubrikB"/>
      </w:pPr>
      <w:bookmarkStart w:id="19" w:name="_Toc81470274"/>
      <w:r>
        <w:lastRenderedPageBreak/>
        <w:t>5</w:t>
      </w:r>
      <w:r w:rsidR="00D765E7">
        <w:t xml:space="preserve">. </w:t>
      </w:r>
      <w:r w:rsidR="00367925">
        <w:t>Ärendets beredning</w:t>
      </w:r>
      <w:bookmarkEnd w:id="19"/>
    </w:p>
    <w:p w14:paraId="660F26E7" w14:textId="6E5460BB" w:rsidR="00D765E7" w:rsidRDefault="00D765E7" w:rsidP="00D765E7">
      <w:pPr>
        <w:pStyle w:val="Rubrikmellanrum"/>
      </w:pPr>
    </w:p>
    <w:p w14:paraId="45670A83" w14:textId="1645D59B" w:rsidR="00367925" w:rsidRDefault="00367925" w:rsidP="00D765E7">
      <w:pPr>
        <w:pStyle w:val="ANormal"/>
      </w:pPr>
      <w:r>
        <w:t>Ärendet har beretts som tjänstemannaberedning vid lagberedningen i samråd med infrastrukturavdelningen.</w:t>
      </w:r>
    </w:p>
    <w:p w14:paraId="360FC698" w14:textId="1497AF48" w:rsidR="00D765E7" w:rsidRPr="00D765E7" w:rsidRDefault="00367925" w:rsidP="00D765E7">
      <w:pPr>
        <w:pStyle w:val="ANormal"/>
      </w:pPr>
      <w:r>
        <w:tab/>
      </w:r>
      <w:r w:rsidR="00D765E7">
        <w:t xml:space="preserve">Lagförslaget har skickats på remiss till kommunerna, </w:t>
      </w:r>
      <w:r w:rsidR="0005286C">
        <w:t xml:space="preserve">FAB </w:t>
      </w:r>
      <w:proofErr w:type="spellStart"/>
      <w:r w:rsidR="0005286C">
        <w:t>Marstad</w:t>
      </w:r>
      <w:proofErr w:type="spellEnd"/>
      <w:r w:rsidR="0005286C">
        <w:t xml:space="preserve">, </w:t>
      </w:r>
      <w:r w:rsidR="00D765E7">
        <w:t>Kommunförbundet</w:t>
      </w:r>
      <w:r w:rsidR="00CF5E96">
        <w:t>,</w:t>
      </w:r>
      <w:r w:rsidR="00D765E7">
        <w:t xml:space="preserve"> </w:t>
      </w:r>
      <w:r w:rsidR="008A738D">
        <w:t xml:space="preserve">Kommunernas socialtjänst </w:t>
      </w:r>
      <w:proofErr w:type="spellStart"/>
      <w:r w:rsidR="008A738D">
        <w:t>kf</w:t>
      </w:r>
      <w:proofErr w:type="spellEnd"/>
      <w:r w:rsidR="00FB3C66">
        <w:t>.</w:t>
      </w:r>
      <w:r w:rsidR="008A738D">
        <w:t xml:space="preserve">, </w:t>
      </w:r>
      <w:r w:rsidR="0066408E">
        <w:t xml:space="preserve">de </w:t>
      </w:r>
      <w:r w:rsidR="00D765E7">
        <w:t>banker som är verksamma på Åland</w:t>
      </w:r>
      <w:r w:rsidR="000617CE">
        <w:t xml:space="preserve"> samt</w:t>
      </w:r>
      <w:r w:rsidR="0066408E">
        <w:t xml:space="preserve"> de </w:t>
      </w:r>
      <w:r w:rsidR="008A738D">
        <w:t xml:space="preserve">mäklare </w:t>
      </w:r>
      <w:r w:rsidR="00FB3C66">
        <w:t xml:space="preserve">som är </w:t>
      </w:r>
      <w:r w:rsidR="008A738D">
        <w:t>verksamma på Åland</w:t>
      </w:r>
      <w:r w:rsidR="000617CE">
        <w:t>.</w:t>
      </w:r>
      <w:r w:rsidR="00E735F0">
        <w:t xml:space="preserve"> Remissinstanserna är övervägande positiva till förslaget.</w:t>
      </w:r>
    </w:p>
    <w:p w14:paraId="77DC6D16" w14:textId="77777777" w:rsidR="008E4BD5" w:rsidRPr="008E4BD5" w:rsidRDefault="008E4BD5" w:rsidP="008E4BD5">
      <w:pPr>
        <w:pStyle w:val="ANormal"/>
      </w:pPr>
    </w:p>
    <w:p w14:paraId="420A8488" w14:textId="148BD1FE" w:rsidR="00AF3004" w:rsidRDefault="00AF3004">
      <w:pPr>
        <w:pStyle w:val="ANormal"/>
      </w:pPr>
    </w:p>
    <w:p w14:paraId="288B3025" w14:textId="77777777" w:rsidR="00AF3004" w:rsidRDefault="00AF3004">
      <w:pPr>
        <w:pStyle w:val="RubrikA"/>
      </w:pPr>
      <w:bookmarkStart w:id="20" w:name="_Toc81470275"/>
      <w:r>
        <w:t>Detaljmotivering</w:t>
      </w:r>
      <w:bookmarkEnd w:id="20"/>
    </w:p>
    <w:p w14:paraId="7EC2D401" w14:textId="77777777" w:rsidR="00AF3004" w:rsidRDefault="00AF3004">
      <w:pPr>
        <w:pStyle w:val="Rubrikmellanrum"/>
      </w:pPr>
    </w:p>
    <w:p w14:paraId="6A4F2256" w14:textId="3E0B54A7" w:rsidR="00AF3004" w:rsidRDefault="00AF3004" w:rsidP="00D765E7">
      <w:pPr>
        <w:pStyle w:val="RubrikB"/>
      </w:pPr>
      <w:bookmarkStart w:id="21" w:name="_Toc81470276"/>
      <w:r>
        <w:t xml:space="preserve">Ändring av </w:t>
      </w:r>
      <w:r w:rsidR="00D765E7">
        <w:t>landskapslagen om bostadsproduktion</w:t>
      </w:r>
      <w:bookmarkEnd w:id="21"/>
    </w:p>
    <w:p w14:paraId="3569C4C3" w14:textId="77777777" w:rsidR="00D765E7" w:rsidRPr="00D765E7" w:rsidRDefault="00D765E7" w:rsidP="00D765E7">
      <w:pPr>
        <w:pStyle w:val="Rubrikmellanrum"/>
      </w:pPr>
    </w:p>
    <w:p w14:paraId="0BCF436B" w14:textId="45D641FF" w:rsidR="00FA5C3C" w:rsidRDefault="00367925">
      <w:pPr>
        <w:pStyle w:val="ANormal"/>
      </w:pPr>
      <w:r>
        <w:t>18</w:t>
      </w:r>
      <w:r w:rsidR="00F76485">
        <w:t> </w:t>
      </w:r>
      <w:r w:rsidR="00AF3004">
        <w:t xml:space="preserve">§ </w:t>
      </w:r>
      <w:r>
        <w:rPr>
          <w:i/>
          <w:iCs/>
        </w:rPr>
        <w:t>Överlåtelse av hyresbostad</w:t>
      </w:r>
      <w:r w:rsidR="00AF3004">
        <w:rPr>
          <w:i/>
          <w:iCs/>
        </w:rPr>
        <w:t>.</w:t>
      </w:r>
      <w:r w:rsidR="00AF3004">
        <w:t xml:space="preserve"> </w:t>
      </w:r>
      <w:r>
        <w:t>Enligt andra momentet ska en låntagare av hyresbostadslån betala en ersättning</w:t>
      </w:r>
      <w:r w:rsidR="0066408E">
        <w:t xml:space="preserve"> för </w:t>
      </w:r>
      <w:r>
        <w:t>lånets låga ränta eller räntestöd</w:t>
      </w:r>
      <w:r w:rsidR="0066408E">
        <w:t>,</w:t>
      </w:r>
      <w:r>
        <w:t xml:space="preserve"> om lånet betalas tillbaka i förtid.</w:t>
      </w:r>
    </w:p>
    <w:p w14:paraId="78E5326D" w14:textId="295A0F87" w:rsidR="00AF3004" w:rsidRDefault="00FA5C3C">
      <w:pPr>
        <w:pStyle w:val="ANormal"/>
      </w:pPr>
      <w:r>
        <w:tab/>
      </w:r>
      <w:r w:rsidR="00367925">
        <w:t>För att motivera låntagare att återbetala lånen föreslås att momentet och därmed kravet på ersättning slopas.</w:t>
      </w:r>
    </w:p>
    <w:p w14:paraId="77ED709D" w14:textId="6B063909" w:rsidR="00367925" w:rsidRDefault="00367925">
      <w:pPr>
        <w:pStyle w:val="ANormal"/>
      </w:pPr>
    </w:p>
    <w:p w14:paraId="68C6EDCD" w14:textId="0FF6A2FD" w:rsidR="00367925" w:rsidRDefault="00367925">
      <w:pPr>
        <w:pStyle w:val="ANormal"/>
      </w:pPr>
      <w:r>
        <w:t>20</w:t>
      </w:r>
      <w:r w:rsidR="00F76485">
        <w:t> </w:t>
      </w:r>
      <w:r>
        <w:t xml:space="preserve">§ </w:t>
      </w:r>
      <w:r>
        <w:rPr>
          <w:i/>
          <w:iCs/>
        </w:rPr>
        <w:t xml:space="preserve">Hyra för hyresbostad. </w:t>
      </w:r>
      <w:r w:rsidR="00FA5C3C">
        <w:t>Enligt 20</w:t>
      </w:r>
      <w:r w:rsidR="00F76485">
        <w:t> </w:t>
      </w:r>
      <w:r w:rsidR="00FA5C3C">
        <w:t>§ 1</w:t>
      </w:r>
      <w:r w:rsidR="00F76485">
        <w:t> </w:t>
      </w:r>
      <w:r w:rsidR="00FA5C3C">
        <w:t>mom. får hyran högst motsvara det belopp som behövs för att betala finansieringen av bostaden samt underhållskostnaderna. Enligt 2</w:t>
      </w:r>
      <w:r w:rsidR="00F76485">
        <w:t> </w:t>
      </w:r>
      <w:r w:rsidR="00FA5C3C">
        <w:t>mom. kan landskapsregeringen fastställa den maximala hyran.</w:t>
      </w:r>
    </w:p>
    <w:p w14:paraId="670B2688" w14:textId="0C2BA996" w:rsidR="00FA5C3C" w:rsidRDefault="00FA5C3C">
      <w:pPr>
        <w:pStyle w:val="ANormal"/>
      </w:pPr>
      <w:r>
        <w:tab/>
        <w:t>Landskapsregeringen föreslår att ett nytt moment fogas till paragrafen enligt vilket bestämmelserna i 1 och 2</w:t>
      </w:r>
      <w:r w:rsidR="00F76485">
        <w:t> </w:t>
      </w:r>
      <w:r>
        <w:t>mom. som reglerar hyran inte ska tillämpas då lånet återbetal</w:t>
      </w:r>
      <w:r w:rsidR="0066408E">
        <w:t>a</w:t>
      </w:r>
      <w:r>
        <w:t>ts.</w:t>
      </w:r>
    </w:p>
    <w:p w14:paraId="1C39EE81" w14:textId="757F921E" w:rsidR="00FA5C3C" w:rsidRDefault="00FA5C3C">
      <w:pPr>
        <w:pStyle w:val="ANormal"/>
      </w:pPr>
    </w:p>
    <w:p w14:paraId="3A157F23" w14:textId="5511C066" w:rsidR="00FA5C3C" w:rsidRDefault="00FA5C3C">
      <w:pPr>
        <w:pStyle w:val="ANormal"/>
      </w:pPr>
      <w:r>
        <w:t>29</w:t>
      </w:r>
      <w:r w:rsidR="00F76485">
        <w:t> </w:t>
      </w:r>
      <w:r>
        <w:t xml:space="preserve">§ </w:t>
      </w:r>
      <w:r w:rsidR="00CD2A80" w:rsidRPr="002D7A2D">
        <w:rPr>
          <w:i/>
          <w:iCs/>
        </w:rPr>
        <w:t>Lagens tillämplighet på lån som beviljats med stöd av tidigare lagar om bostadsproduktion.</w:t>
      </w:r>
      <w:r w:rsidR="00CD2A80">
        <w:t xml:space="preserve"> </w:t>
      </w:r>
      <w:r>
        <w:t>Enligt 29</w:t>
      </w:r>
      <w:r w:rsidR="00F76485">
        <w:t> </w:t>
      </w:r>
      <w:r>
        <w:t>§ ska ägarbostäder som enligt tidigare lagstiftning om bostadsproduktion är bundna av användnings- och överlåtelsebegräsningar befrias från begränsningarna då lånet återbetalats.</w:t>
      </w:r>
    </w:p>
    <w:p w14:paraId="3A68C958" w14:textId="139D21C8" w:rsidR="00FA5C3C" w:rsidRDefault="00FA5C3C">
      <w:pPr>
        <w:pStyle w:val="ANormal"/>
      </w:pPr>
      <w:r>
        <w:tab/>
        <w:t>Dett</w:t>
      </w:r>
      <w:r w:rsidR="00F6670E">
        <w:t>a</w:t>
      </w:r>
      <w:r>
        <w:t xml:space="preserve"> gäller alltså endast ägarbostäder medan hyresbostäder är bundna av eventuella beg</w:t>
      </w:r>
      <w:r w:rsidR="00F6670E">
        <w:t>r</w:t>
      </w:r>
      <w:r>
        <w:t>änsningar i tidigare lagstiftning. Det innebär att begränsn</w:t>
      </w:r>
      <w:r w:rsidR="00F6670E">
        <w:t>in</w:t>
      </w:r>
      <w:r>
        <w:t>garna enligt landskapslagen om stöd för bostadsproduktion</w:t>
      </w:r>
      <w:r w:rsidR="00F6670E">
        <w:t xml:space="preserve"> från</w:t>
      </w:r>
      <w:r w:rsidR="0066408E">
        <w:t xml:space="preserve"> år</w:t>
      </w:r>
      <w:r w:rsidR="00F6670E">
        <w:t xml:space="preserve"> 1982 gäller för hyresbostäder. Därmed kan</w:t>
      </w:r>
      <w:r w:rsidR="0066408E">
        <w:t xml:space="preserve"> hyreshus</w:t>
      </w:r>
      <w:r w:rsidR="00F6670E">
        <w:t xml:space="preserve"> i enlighet med lagens 25</w:t>
      </w:r>
      <w:r w:rsidR="00F76485">
        <w:t> </w:t>
      </w:r>
      <w:r w:rsidR="00F6670E">
        <w:t>§ endast överlåtas till respektive kommun eller till köpare som kommunen godkänt och till ett pris som kommunen godkänt. Enligt 26</w:t>
      </w:r>
      <w:r w:rsidR="00F76485">
        <w:t> </w:t>
      </w:r>
      <w:r w:rsidR="00F6670E">
        <w:t>§ ska kommunen godkänna hyresgästerna och landskapsregeringen fastställer grunder för hur hyran ska beräknas.</w:t>
      </w:r>
    </w:p>
    <w:p w14:paraId="26668108" w14:textId="77DE7C83" w:rsidR="00F6670E" w:rsidRDefault="00F6670E">
      <w:pPr>
        <w:pStyle w:val="ANormal"/>
      </w:pPr>
      <w:r>
        <w:tab/>
        <w:t>Landsk</w:t>
      </w:r>
      <w:r w:rsidR="00C30E5C">
        <w:t>aps</w:t>
      </w:r>
      <w:r>
        <w:t>regeringen föreslår nu att 29</w:t>
      </w:r>
      <w:r w:rsidR="00F76485">
        <w:t> </w:t>
      </w:r>
      <w:r>
        <w:t xml:space="preserve">§ ändras så att även hyresbostadshus ska </w:t>
      </w:r>
      <w:r w:rsidR="00C30E5C">
        <w:t>befrias från begränsningarna då lånet återbetalats.</w:t>
      </w:r>
    </w:p>
    <w:p w14:paraId="4488AA3D" w14:textId="49F7BE5A" w:rsidR="00C30E5C" w:rsidRDefault="00C30E5C">
      <w:pPr>
        <w:pStyle w:val="ANormal"/>
      </w:pPr>
    </w:p>
    <w:p w14:paraId="0BCC831A" w14:textId="1D1F83AD" w:rsidR="00AF3004" w:rsidRDefault="00C30E5C">
      <w:pPr>
        <w:pStyle w:val="ANormal"/>
      </w:pPr>
      <w:r>
        <w:t>32</w:t>
      </w:r>
      <w:r w:rsidR="00F76485">
        <w:t> </w:t>
      </w:r>
      <w:r>
        <w:t xml:space="preserve">§ </w:t>
      </w:r>
      <w:r w:rsidRPr="00C30E5C">
        <w:rPr>
          <w:i/>
          <w:iCs/>
        </w:rPr>
        <w:t>Ändring av lånevillkoren</w:t>
      </w:r>
      <w:r>
        <w:t>. Enligt 32</w:t>
      </w:r>
      <w:r w:rsidR="00F76485">
        <w:t> </w:t>
      </w:r>
      <w:r>
        <w:t>§ kan landskapsregeringen ändra lånevillkoren för bostadslån som beviljats med stöd av tidigare lagstiftning så att villkoren överensstämmer med den nu gällande lagen. Ändringar kräver låntagarens samtycke och gäller endast ägarbostäder.</w:t>
      </w:r>
    </w:p>
    <w:p w14:paraId="5F745569" w14:textId="2D2668CE" w:rsidR="00C30E5C" w:rsidRDefault="00C30E5C">
      <w:pPr>
        <w:pStyle w:val="ANormal"/>
      </w:pPr>
      <w:r>
        <w:tab/>
        <w:t>Landskapsregeringen föreslår nu att 32</w:t>
      </w:r>
      <w:r w:rsidR="00F76485">
        <w:t> </w:t>
      </w:r>
      <w:r>
        <w:t>§ 1</w:t>
      </w:r>
      <w:r w:rsidR="00F76485">
        <w:t> </w:t>
      </w:r>
      <w:r>
        <w:t>mom. ändras så att möjligheten att ändra lånevillkoren även gäller hyresbostäder.</w:t>
      </w:r>
    </w:p>
    <w:p w14:paraId="358F6973" w14:textId="77777777" w:rsidR="00F76485" w:rsidRDefault="00F76485">
      <w:pPr>
        <w:pStyle w:val="ANormal"/>
      </w:pPr>
    </w:p>
    <w:p w14:paraId="3FCE2788" w14:textId="77777777" w:rsidR="00AF3004" w:rsidRDefault="00AF3004">
      <w:pPr>
        <w:pStyle w:val="RubrikA"/>
      </w:pPr>
      <w:r>
        <w:br w:type="page"/>
      </w:r>
      <w:bookmarkStart w:id="22" w:name="_Toc81470277"/>
      <w:r>
        <w:lastRenderedPageBreak/>
        <w:t>Lagtext</w:t>
      </w:r>
      <w:bookmarkEnd w:id="22"/>
    </w:p>
    <w:p w14:paraId="62CF50E4" w14:textId="77777777" w:rsidR="00AF3004" w:rsidRDefault="00AF3004">
      <w:pPr>
        <w:pStyle w:val="Rubrikmellanrum"/>
      </w:pPr>
    </w:p>
    <w:p w14:paraId="465F156B" w14:textId="77777777" w:rsidR="00AF3004" w:rsidRDefault="00AF3004">
      <w:pPr>
        <w:pStyle w:val="ANormal"/>
      </w:pPr>
      <w:r>
        <w:t>Landskapsregeringen föreslår att följande lag antas.</w:t>
      </w:r>
    </w:p>
    <w:p w14:paraId="48C57480" w14:textId="77777777" w:rsidR="00AF3004" w:rsidRDefault="00AF3004">
      <w:pPr>
        <w:pStyle w:val="ANormal"/>
      </w:pPr>
    </w:p>
    <w:p w14:paraId="5A13290A" w14:textId="77777777" w:rsidR="00AF3004" w:rsidRDefault="00AF3004">
      <w:pPr>
        <w:pStyle w:val="ANormal"/>
        <w:rPr>
          <w:lang w:val="en-GB"/>
        </w:rPr>
      </w:pPr>
      <w:r>
        <w:rPr>
          <w:lang w:val="en-GB"/>
        </w:rPr>
        <w:t>1.</w:t>
      </w:r>
    </w:p>
    <w:p w14:paraId="2C1A5CF8" w14:textId="0DAE82F9" w:rsidR="00AF3004" w:rsidRPr="00F76485" w:rsidRDefault="00AF3004">
      <w:pPr>
        <w:pStyle w:val="LagHuvRubr"/>
      </w:pPr>
      <w:bookmarkStart w:id="23" w:name="_Toc81470278"/>
      <w:r>
        <w:rPr>
          <w:lang w:val="en-GB"/>
        </w:rPr>
        <w:t>L A N D S K A P S L A G</w:t>
      </w:r>
      <w:r>
        <w:rPr>
          <w:lang w:val="en-GB"/>
        </w:rPr>
        <w:br/>
      </w:r>
      <w:r w:rsidRPr="00F76485">
        <w:t>om</w:t>
      </w:r>
      <w:r w:rsidR="00AC393D" w:rsidRPr="00F76485">
        <w:t xml:space="preserve"> ändring av landskapslagen om bostadsproduktion</w:t>
      </w:r>
      <w:bookmarkEnd w:id="23"/>
    </w:p>
    <w:p w14:paraId="0A6D64FF" w14:textId="77777777" w:rsidR="00AF3004" w:rsidRDefault="00AF3004">
      <w:pPr>
        <w:pStyle w:val="ANormal"/>
        <w:rPr>
          <w:lang w:val="en-GB"/>
        </w:rPr>
      </w:pPr>
    </w:p>
    <w:p w14:paraId="25C23F67" w14:textId="25A75811" w:rsidR="00F14497" w:rsidRDefault="00AF3004" w:rsidP="00F14497">
      <w:pPr>
        <w:pStyle w:val="ANormal"/>
      </w:pPr>
      <w:r>
        <w:tab/>
      </w:r>
      <w:r w:rsidR="00F14497">
        <w:t>I enlighet med lagtingets beslut</w:t>
      </w:r>
    </w:p>
    <w:p w14:paraId="28072B7F" w14:textId="54FCDF57" w:rsidR="00F14497" w:rsidRPr="00AC393D" w:rsidRDefault="00F14497" w:rsidP="00F14497">
      <w:pPr>
        <w:pStyle w:val="ANormal"/>
      </w:pPr>
      <w:r>
        <w:rPr>
          <w:b/>
          <w:bCs/>
        </w:rPr>
        <w:tab/>
        <w:t>u</w:t>
      </w:r>
      <w:r w:rsidRPr="00AC393D">
        <w:rPr>
          <w:b/>
          <w:bCs/>
        </w:rPr>
        <w:t>pphävs</w:t>
      </w:r>
      <w:r>
        <w:rPr>
          <w:b/>
          <w:bCs/>
        </w:rPr>
        <w:t xml:space="preserve"> </w:t>
      </w:r>
      <w:r w:rsidRPr="00AC393D">
        <w:t>18</w:t>
      </w:r>
      <w:r>
        <w:t> </w:t>
      </w:r>
      <w:r w:rsidRPr="00AC393D">
        <w:t>§ 2</w:t>
      </w:r>
      <w:r>
        <w:t> </w:t>
      </w:r>
      <w:r w:rsidRPr="00AC393D">
        <w:t>mom.</w:t>
      </w:r>
      <w:r>
        <w:rPr>
          <w:b/>
          <w:bCs/>
        </w:rPr>
        <w:t xml:space="preserve"> </w:t>
      </w:r>
      <w:r w:rsidRPr="00AC393D">
        <w:t>landskapslagen om bostadsproduktion (1999:40)</w:t>
      </w:r>
      <w:r>
        <w:t>,</w:t>
      </w:r>
    </w:p>
    <w:p w14:paraId="361C68F6" w14:textId="77777777" w:rsidR="00F14497" w:rsidRPr="0012765A" w:rsidRDefault="00F14497" w:rsidP="00F14497">
      <w:pPr>
        <w:pStyle w:val="ANormal"/>
      </w:pPr>
      <w:r>
        <w:tab/>
      </w:r>
      <w:r w:rsidRPr="00AC393D">
        <w:rPr>
          <w:b/>
          <w:bCs/>
        </w:rPr>
        <w:t>ändras</w:t>
      </w:r>
      <w:r>
        <w:rPr>
          <w:b/>
          <w:bCs/>
        </w:rPr>
        <w:t xml:space="preserve"> </w:t>
      </w:r>
      <w:r w:rsidRPr="004C621B">
        <w:t>29</w:t>
      </w:r>
      <w:r>
        <w:t> </w:t>
      </w:r>
      <w:r w:rsidRPr="004C621B">
        <w:t>§ 1</w:t>
      </w:r>
      <w:r>
        <w:t> </w:t>
      </w:r>
      <w:r w:rsidRPr="004C621B">
        <w:t>mom. och</w:t>
      </w:r>
      <w:r>
        <w:rPr>
          <w:b/>
          <w:bCs/>
        </w:rPr>
        <w:t xml:space="preserve"> </w:t>
      </w:r>
      <w:r w:rsidRPr="0012765A">
        <w:t>32</w:t>
      </w:r>
      <w:r>
        <w:t> </w:t>
      </w:r>
      <w:r w:rsidRPr="0012765A">
        <w:t>§ 1</w:t>
      </w:r>
      <w:r>
        <w:t> </w:t>
      </w:r>
      <w:r w:rsidRPr="0012765A">
        <w:t>mom</w:t>
      </w:r>
      <w:r>
        <w:rPr>
          <w:b/>
          <w:bCs/>
        </w:rPr>
        <w:t xml:space="preserve">. </w:t>
      </w:r>
      <w:r>
        <w:t>samt</w:t>
      </w:r>
    </w:p>
    <w:p w14:paraId="4EA21AF9" w14:textId="32406126" w:rsidR="00F14497" w:rsidRDefault="00F14497" w:rsidP="00F93DC5">
      <w:pPr>
        <w:pStyle w:val="ANormal"/>
      </w:pPr>
      <w:r w:rsidRPr="00F93DC5">
        <w:tab/>
      </w:r>
      <w:r w:rsidRPr="00F93DC5">
        <w:rPr>
          <w:b/>
          <w:bCs/>
        </w:rPr>
        <w:t>fogas</w:t>
      </w:r>
      <w:r>
        <w:t xml:space="preserve"> </w:t>
      </w:r>
      <w:r w:rsidRPr="00F93DC5">
        <w:t>till</w:t>
      </w:r>
      <w:r>
        <w:t xml:space="preserve"> 20 § ett nytt 3 mom., så att nuvarande 3 mom. blir 4 mom., som följer:</w:t>
      </w:r>
    </w:p>
    <w:p w14:paraId="3FE8F711" w14:textId="77777777" w:rsidR="00F14497" w:rsidRDefault="00F14497" w:rsidP="00F93DC5">
      <w:pPr>
        <w:pStyle w:val="ANormal"/>
      </w:pPr>
    </w:p>
    <w:p w14:paraId="5EFF7951" w14:textId="3BF1A237" w:rsidR="00F14497" w:rsidRDefault="00F14497" w:rsidP="00F14497">
      <w:pPr>
        <w:pStyle w:val="LagParagraf"/>
      </w:pPr>
      <w:r>
        <w:t>20 §</w:t>
      </w:r>
    </w:p>
    <w:p w14:paraId="09DDF544" w14:textId="77777777" w:rsidR="00F14497" w:rsidRPr="0012765A" w:rsidRDefault="00F14497" w:rsidP="00F14497">
      <w:pPr>
        <w:pStyle w:val="LagPararubrik"/>
      </w:pPr>
      <w:r>
        <w:t>Hyra för hyresbostad</w:t>
      </w:r>
    </w:p>
    <w:p w14:paraId="7A1021E1" w14:textId="77777777" w:rsidR="00F93DC5" w:rsidRDefault="00F93DC5">
      <w:pPr>
        <w:pStyle w:val="ANormal"/>
      </w:pPr>
      <w:r>
        <w:t>- - - - - - - - - - - - - - - - - - - - - - - - - - - - - - - - - - - - - - - - - - - - - - - - - - - -</w:t>
      </w:r>
    </w:p>
    <w:p w14:paraId="0ADB3EE7" w14:textId="6A2DCAC7" w:rsidR="00AC393D" w:rsidRDefault="00AC393D" w:rsidP="00CD2A80">
      <w:pPr>
        <w:pStyle w:val="ANormal"/>
        <w:rPr>
          <w:i/>
          <w:iCs/>
        </w:rPr>
      </w:pPr>
      <w:r>
        <w:tab/>
      </w:r>
      <w:bookmarkStart w:id="24" w:name="_Hlk72157379"/>
      <w:r>
        <w:t>Bestämmelserna i 1 och 2</w:t>
      </w:r>
      <w:r w:rsidR="00CD2A80">
        <w:t> </w:t>
      </w:r>
      <w:r>
        <w:t>mom. ska inte tillämpas på hyresbostäder vars hyresbostadslån är återbetalat.</w:t>
      </w:r>
    </w:p>
    <w:bookmarkEnd w:id="24"/>
    <w:p w14:paraId="68DEA7D6" w14:textId="08BD4760" w:rsidR="00AC393D" w:rsidRPr="00AC393D" w:rsidRDefault="00AC393D" w:rsidP="00CD2A80">
      <w:pPr>
        <w:pStyle w:val="ANormal"/>
      </w:pPr>
      <w:r>
        <w:t xml:space="preserve">- - - - - - - - - - - - - - - - - - - - - - - - - - - - - - - - - - - - - - - - - - - - - - - - - - - - </w:t>
      </w:r>
      <w:r w:rsidRPr="00AC393D">
        <w:t xml:space="preserve"> </w:t>
      </w:r>
    </w:p>
    <w:p w14:paraId="7EAD005E" w14:textId="241FC983" w:rsidR="00AC393D" w:rsidRDefault="00AC393D" w:rsidP="00CD2A80">
      <w:pPr>
        <w:pStyle w:val="ANormal"/>
      </w:pPr>
    </w:p>
    <w:p w14:paraId="728277A9" w14:textId="362966BC" w:rsidR="004B0C66" w:rsidRDefault="004B0C66" w:rsidP="004B0C66">
      <w:pPr>
        <w:pStyle w:val="LagParagraf"/>
      </w:pPr>
      <w:r>
        <w:t>29</w:t>
      </w:r>
      <w:r w:rsidR="00CD2A80">
        <w:t> </w:t>
      </w:r>
      <w:r>
        <w:t>§</w:t>
      </w:r>
    </w:p>
    <w:p w14:paraId="5D47DFB7" w14:textId="395B8883" w:rsidR="004B0C66" w:rsidRDefault="00384D7F" w:rsidP="004B0C66">
      <w:pPr>
        <w:pStyle w:val="LagPararubrik"/>
      </w:pPr>
      <w:r>
        <w:t>Lagens tillämplighet på l</w:t>
      </w:r>
      <w:r w:rsidR="004B0C66">
        <w:t>ån som beviljats med stöd av tidigare lagar om bostadsproduktion</w:t>
      </w:r>
    </w:p>
    <w:p w14:paraId="09FDD0F7" w14:textId="0466A65B" w:rsidR="004B0C66" w:rsidRDefault="004B0C66" w:rsidP="004B0C66">
      <w:pPr>
        <w:pStyle w:val="ANormal"/>
        <w:rPr>
          <w:shd w:val="clear" w:color="auto" w:fill="FFFFFF"/>
        </w:rPr>
      </w:pPr>
      <w:r>
        <w:tab/>
        <w:t xml:space="preserve">De </w:t>
      </w:r>
      <w:r>
        <w:rPr>
          <w:shd w:val="clear" w:color="auto" w:fill="FFFFFF"/>
        </w:rPr>
        <w:t>bostäder som enligt tidigare lagstiftning om bostadsproduktion och bostadsförbättring är bundna av användnings- och överlåtelsebegränsningar befrias från dessa då lånet har återbetalats.</w:t>
      </w:r>
    </w:p>
    <w:p w14:paraId="3E458C50" w14:textId="1C501666" w:rsidR="004B0C66" w:rsidRPr="004B0C66" w:rsidRDefault="004B0C66" w:rsidP="004B0C66">
      <w:pPr>
        <w:pStyle w:val="ANormal"/>
      </w:pPr>
      <w:r>
        <w:rPr>
          <w:shd w:val="clear" w:color="auto" w:fill="FFFFFF"/>
        </w:rPr>
        <w:t xml:space="preserve">- - - - - - - - - - - - - - - - - - - - - - - - - - - - - - - - - - - - - - - - - - - - - - - - - - - - </w:t>
      </w:r>
    </w:p>
    <w:p w14:paraId="2900341C" w14:textId="77777777" w:rsidR="004B0C66" w:rsidRPr="004B0C66" w:rsidRDefault="004B0C66" w:rsidP="004B0C66">
      <w:pPr>
        <w:pStyle w:val="ANormal"/>
      </w:pPr>
    </w:p>
    <w:p w14:paraId="1B8D7E7E" w14:textId="48EC484D" w:rsidR="00AF3004" w:rsidRDefault="00AC393D" w:rsidP="00AC393D">
      <w:pPr>
        <w:pStyle w:val="LagParagraf"/>
      </w:pPr>
      <w:r>
        <w:t>3</w:t>
      </w:r>
      <w:r w:rsidR="0012765A">
        <w:t>2</w:t>
      </w:r>
      <w:r w:rsidR="00CD2A80">
        <w:t> </w:t>
      </w:r>
      <w:r w:rsidR="0012765A">
        <w:t>§</w:t>
      </w:r>
    </w:p>
    <w:p w14:paraId="66CDA4EE" w14:textId="1ABBCD2A" w:rsidR="0012765A" w:rsidRDefault="0012765A" w:rsidP="0012765A">
      <w:pPr>
        <w:pStyle w:val="LagPararubrik"/>
      </w:pPr>
      <w:r>
        <w:t>Ändring av lånevillkoren</w:t>
      </w:r>
    </w:p>
    <w:p w14:paraId="31BA71BE" w14:textId="17EC334C" w:rsidR="0012765A" w:rsidRPr="0012765A" w:rsidRDefault="0012765A" w:rsidP="0012765A">
      <w:pPr>
        <w:pStyle w:val="ANormal"/>
      </w:pPr>
      <w:r>
        <w:tab/>
        <w:t>Landskapsregeringen kan med låntagarens samtycke ändra lånevillkoren för bostadslån som beviljats med stöd av tidigare lagstiftning så att de överensstämmer med denna lag.</w:t>
      </w:r>
    </w:p>
    <w:p w14:paraId="123ED3FC" w14:textId="2B9E884B" w:rsidR="0012765A" w:rsidRDefault="0012765A" w:rsidP="0012765A">
      <w:pPr>
        <w:pStyle w:val="ANormal"/>
      </w:pPr>
      <w:r>
        <w:t xml:space="preserve">- - - - - - - - - - - - - - - - - - - - - - - - - - - - - - - - - - - - - - - - - - - - - - - - - - - - </w:t>
      </w:r>
    </w:p>
    <w:p w14:paraId="7BDF624F" w14:textId="77777777" w:rsidR="00CD2A80" w:rsidRDefault="00CD2A80" w:rsidP="0012765A">
      <w:pPr>
        <w:pStyle w:val="ANormal"/>
      </w:pPr>
    </w:p>
    <w:p w14:paraId="1E3A65AB" w14:textId="77777777" w:rsidR="00AF3004" w:rsidRDefault="0002165F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415B05F2" w14:textId="313D4C76" w:rsidR="00AF3004" w:rsidRDefault="00AF3004">
      <w:pPr>
        <w:pStyle w:val="ANormal"/>
      </w:pPr>
    </w:p>
    <w:p w14:paraId="17AB1952" w14:textId="6B51CE0D" w:rsidR="00384D7F" w:rsidRDefault="00384D7F">
      <w:pPr>
        <w:pStyle w:val="ANormal"/>
      </w:pPr>
      <w:r>
        <w:tab/>
        <w:t>Denna lag träder i kraft den</w:t>
      </w:r>
    </w:p>
    <w:p w14:paraId="55ACF1BC" w14:textId="77777777" w:rsidR="00CD2A80" w:rsidRDefault="0002165F">
      <w:pPr>
        <w:pStyle w:val="ANormal"/>
        <w:jc w:val="center"/>
      </w:pPr>
      <w:hyperlink w:anchor="_top" w:tooltip="Klicka för att gå till toppen av dokumentet" w:history="1">
        <w:r w:rsidR="00CD2A80">
          <w:rPr>
            <w:rStyle w:val="Hyperlnk"/>
          </w:rPr>
          <w:t>__________________</w:t>
        </w:r>
      </w:hyperlink>
    </w:p>
    <w:p w14:paraId="5BFFF0ED" w14:textId="43CB7253" w:rsidR="00AF3004" w:rsidRDefault="00AF3004">
      <w:pPr>
        <w:pStyle w:val="ANormal"/>
      </w:pPr>
    </w:p>
    <w:p w14:paraId="6EEDBD48" w14:textId="77777777" w:rsidR="00CD2A80" w:rsidRDefault="00CD2A8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 w14:paraId="6A047E3C" w14:textId="77777777">
        <w:trPr>
          <w:cantSplit/>
        </w:trPr>
        <w:tc>
          <w:tcPr>
            <w:tcW w:w="7931" w:type="dxa"/>
            <w:gridSpan w:val="2"/>
          </w:tcPr>
          <w:p w14:paraId="04CA900A" w14:textId="2DBCF3EB" w:rsidR="00AF3004" w:rsidRDefault="00AF3004">
            <w:pPr>
              <w:pStyle w:val="ANormal"/>
              <w:keepNext/>
            </w:pPr>
            <w:r>
              <w:t xml:space="preserve">Mariehamn </w:t>
            </w:r>
            <w:r w:rsidR="00807911">
              <w:t>den 2 september 2021</w:t>
            </w:r>
          </w:p>
        </w:tc>
      </w:tr>
      <w:tr w:rsidR="00AF3004" w14:paraId="48567E7B" w14:textId="77777777">
        <w:tc>
          <w:tcPr>
            <w:tcW w:w="4454" w:type="dxa"/>
            <w:vAlign w:val="bottom"/>
          </w:tcPr>
          <w:p w14:paraId="496BC340" w14:textId="77777777" w:rsidR="00AF3004" w:rsidRDefault="00AF3004">
            <w:pPr>
              <w:pStyle w:val="ANormal"/>
              <w:keepNext/>
            </w:pPr>
          </w:p>
          <w:p w14:paraId="462E46F7" w14:textId="77777777" w:rsidR="00AF3004" w:rsidRDefault="00AF3004">
            <w:pPr>
              <w:pStyle w:val="ANormal"/>
              <w:keepNext/>
            </w:pPr>
          </w:p>
          <w:p w14:paraId="78654DF7" w14:textId="77777777"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14:paraId="616CED92" w14:textId="77777777" w:rsidR="00AF3004" w:rsidRDefault="00AF3004">
            <w:pPr>
              <w:pStyle w:val="ANormal"/>
              <w:keepNext/>
            </w:pPr>
          </w:p>
          <w:p w14:paraId="2AE2E929" w14:textId="77777777" w:rsidR="00AF3004" w:rsidRDefault="00AF3004">
            <w:pPr>
              <w:pStyle w:val="ANormal"/>
              <w:keepNext/>
            </w:pPr>
          </w:p>
          <w:p w14:paraId="5E178BAE" w14:textId="64A75D5E" w:rsidR="00AF3004" w:rsidRDefault="00807911">
            <w:pPr>
              <w:pStyle w:val="ANormal"/>
              <w:keepNext/>
            </w:pPr>
            <w:r>
              <w:t>Veronica Thörnroos</w:t>
            </w:r>
          </w:p>
        </w:tc>
      </w:tr>
      <w:tr w:rsidR="00AF3004" w14:paraId="30EF388F" w14:textId="77777777">
        <w:tc>
          <w:tcPr>
            <w:tcW w:w="4454" w:type="dxa"/>
            <w:vAlign w:val="bottom"/>
          </w:tcPr>
          <w:p w14:paraId="393F2095" w14:textId="77777777" w:rsidR="00AF3004" w:rsidRDefault="00AF3004">
            <w:pPr>
              <w:pStyle w:val="ANormal"/>
              <w:keepNext/>
            </w:pPr>
          </w:p>
          <w:p w14:paraId="45D1BD2F" w14:textId="77777777" w:rsidR="00AF3004" w:rsidRDefault="00AF3004">
            <w:pPr>
              <w:pStyle w:val="ANormal"/>
              <w:keepNext/>
            </w:pPr>
          </w:p>
          <w:p w14:paraId="1A5391BD" w14:textId="44380DBF"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CD2A80">
              <w:t>minister</w:t>
            </w:r>
          </w:p>
        </w:tc>
        <w:tc>
          <w:tcPr>
            <w:tcW w:w="3477" w:type="dxa"/>
            <w:vAlign w:val="bottom"/>
          </w:tcPr>
          <w:p w14:paraId="130AB516" w14:textId="77777777" w:rsidR="00AF3004" w:rsidRDefault="00AF3004">
            <w:pPr>
              <w:pStyle w:val="ANormal"/>
              <w:keepNext/>
            </w:pPr>
          </w:p>
          <w:p w14:paraId="1CD1D407" w14:textId="77777777" w:rsidR="00AF3004" w:rsidRDefault="00AF3004">
            <w:pPr>
              <w:pStyle w:val="ANormal"/>
              <w:keepNext/>
            </w:pPr>
          </w:p>
          <w:p w14:paraId="38BFCB83" w14:textId="12054D3F" w:rsidR="00AF3004" w:rsidRDefault="00807911">
            <w:pPr>
              <w:pStyle w:val="ANormal"/>
              <w:keepNext/>
            </w:pPr>
            <w:r>
              <w:t xml:space="preserve">Alfons </w:t>
            </w:r>
            <w:proofErr w:type="spellStart"/>
            <w:r>
              <w:t>Röblom</w:t>
            </w:r>
            <w:proofErr w:type="spellEnd"/>
          </w:p>
        </w:tc>
      </w:tr>
    </w:tbl>
    <w:p w14:paraId="645982DD" w14:textId="57F0A102" w:rsidR="00AF3004" w:rsidRDefault="00AF3004">
      <w:pPr>
        <w:pStyle w:val="ANormal"/>
      </w:pPr>
    </w:p>
    <w:p w14:paraId="455DB5B3" w14:textId="3710640D" w:rsidR="00F93DC5" w:rsidRDefault="00F93DC5">
      <w:pPr>
        <w:rPr>
          <w:sz w:val="22"/>
          <w:szCs w:val="20"/>
        </w:rPr>
      </w:pPr>
      <w:r>
        <w:br w:type="page"/>
      </w:r>
    </w:p>
    <w:p w14:paraId="0ADB2044" w14:textId="0D777CC1" w:rsidR="00F93DC5" w:rsidRDefault="00F93DC5" w:rsidP="00F93DC5">
      <w:pPr>
        <w:pStyle w:val="RubrikA"/>
      </w:pPr>
      <w:bookmarkStart w:id="25" w:name="_Toc81470279"/>
      <w:r>
        <w:lastRenderedPageBreak/>
        <w:t>Parallelltexter</w:t>
      </w:r>
      <w:bookmarkEnd w:id="25"/>
    </w:p>
    <w:p w14:paraId="3BF9C18C" w14:textId="7782DA00" w:rsidR="00F93DC5" w:rsidRDefault="00F93DC5" w:rsidP="00F93DC5">
      <w:pPr>
        <w:pStyle w:val="Rubrikmellanrum"/>
      </w:pPr>
    </w:p>
    <w:p w14:paraId="71F2229D" w14:textId="1577954F" w:rsidR="00F93DC5" w:rsidRPr="00F93DC5" w:rsidRDefault="00F93DC5" w:rsidP="00F93DC5">
      <w:pPr>
        <w:pStyle w:val="ArendeUnderRubrik"/>
      </w:pPr>
      <w:r>
        <w:t xml:space="preserve">Parallelltexter till landskapsregeringens lagförslag nr </w:t>
      </w:r>
      <w:r w:rsidR="00807911">
        <w:t>29</w:t>
      </w:r>
      <w:r>
        <w:t>/</w:t>
      </w:r>
      <w:proofErr w:type="gramStart"/>
      <w:r>
        <w:t>2020-2021</w:t>
      </w:r>
      <w:proofErr w:type="gramEnd"/>
    </w:p>
    <w:sectPr w:rsidR="00F93DC5" w:rsidRPr="00F93DC5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2383" w14:textId="77777777" w:rsidR="0077151E" w:rsidRDefault="0077151E">
      <w:r>
        <w:separator/>
      </w:r>
    </w:p>
  </w:endnote>
  <w:endnote w:type="continuationSeparator" w:id="0">
    <w:p w14:paraId="68B6AA62" w14:textId="77777777" w:rsidR="0077151E" w:rsidRDefault="0077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AC57" w14:textId="77777777"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726" w14:textId="667FC922" w:rsidR="00AF3004" w:rsidRDefault="00CD2A80">
    <w:pPr>
      <w:pStyle w:val="Sidfot"/>
      <w:rPr>
        <w:lang w:val="fi-FI"/>
      </w:rPr>
    </w:pPr>
    <w:r>
      <w:t>LF</w:t>
    </w:r>
    <w:r w:rsidR="00807911">
      <w:t>29</w:t>
    </w:r>
    <w:r>
      <w:t>20202021.docx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38EE" w14:textId="77777777"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AD45" w14:textId="77777777" w:rsidR="0077151E" w:rsidRDefault="0077151E">
      <w:r>
        <w:separator/>
      </w:r>
    </w:p>
  </w:footnote>
  <w:footnote w:type="continuationSeparator" w:id="0">
    <w:p w14:paraId="7EA90CB9" w14:textId="77777777" w:rsidR="0077151E" w:rsidRDefault="0077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8458" w14:textId="77777777"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37452093" w14:textId="77777777"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7489" w14:textId="77777777"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3D"/>
    <w:rsid w:val="0002165F"/>
    <w:rsid w:val="00037DC3"/>
    <w:rsid w:val="0004390C"/>
    <w:rsid w:val="00043E92"/>
    <w:rsid w:val="0005286C"/>
    <w:rsid w:val="000617CE"/>
    <w:rsid w:val="00090DDA"/>
    <w:rsid w:val="000C6665"/>
    <w:rsid w:val="000D3CCF"/>
    <w:rsid w:val="000F6BB8"/>
    <w:rsid w:val="0012765A"/>
    <w:rsid w:val="00136D88"/>
    <w:rsid w:val="00157FF1"/>
    <w:rsid w:val="00196663"/>
    <w:rsid w:val="001C0D5F"/>
    <w:rsid w:val="00202894"/>
    <w:rsid w:val="00251B2B"/>
    <w:rsid w:val="00263CAC"/>
    <w:rsid w:val="002D585B"/>
    <w:rsid w:val="002D7A2D"/>
    <w:rsid w:val="002F5112"/>
    <w:rsid w:val="00342FC4"/>
    <w:rsid w:val="00367925"/>
    <w:rsid w:val="003805F3"/>
    <w:rsid w:val="00384D7F"/>
    <w:rsid w:val="00387B8A"/>
    <w:rsid w:val="003C22C2"/>
    <w:rsid w:val="003D2534"/>
    <w:rsid w:val="003D5CDC"/>
    <w:rsid w:val="00407501"/>
    <w:rsid w:val="00412186"/>
    <w:rsid w:val="00413518"/>
    <w:rsid w:val="00464E03"/>
    <w:rsid w:val="004A6BA1"/>
    <w:rsid w:val="004B0C66"/>
    <w:rsid w:val="004C6652"/>
    <w:rsid w:val="004F2856"/>
    <w:rsid w:val="004F3CA8"/>
    <w:rsid w:val="005266F1"/>
    <w:rsid w:val="005471B9"/>
    <w:rsid w:val="0056749D"/>
    <w:rsid w:val="005F1DF9"/>
    <w:rsid w:val="006436B8"/>
    <w:rsid w:val="0066408E"/>
    <w:rsid w:val="006B633C"/>
    <w:rsid w:val="006C4500"/>
    <w:rsid w:val="006C64DC"/>
    <w:rsid w:val="00722128"/>
    <w:rsid w:val="007470A3"/>
    <w:rsid w:val="0077151E"/>
    <w:rsid w:val="00796958"/>
    <w:rsid w:val="008033F2"/>
    <w:rsid w:val="00807911"/>
    <w:rsid w:val="008450DA"/>
    <w:rsid w:val="008A4ACD"/>
    <w:rsid w:val="008A738D"/>
    <w:rsid w:val="008E4BD5"/>
    <w:rsid w:val="00976FDC"/>
    <w:rsid w:val="009C67F8"/>
    <w:rsid w:val="00A32351"/>
    <w:rsid w:val="00A55F00"/>
    <w:rsid w:val="00AC393D"/>
    <w:rsid w:val="00AF0324"/>
    <w:rsid w:val="00AF3004"/>
    <w:rsid w:val="00B11BA5"/>
    <w:rsid w:val="00B159A5"/>
    <w:rsid w:val="00C30E5C"/>
    <w:rsid w:val="00CC58EA"/>
    <w:rsid w:val="00CD2A80"/>
    <w:rsid w:val="00CE3FFC"/>
    <w:rsid w:val="00CF5E96"/>
    <w:rsid w:val="00D32C95"/>
    <w:rsid w:val="00D765E7"/>
    <w:rsid w:val="00DC1C2C"/>
    <w:rsid w:val="00DD5E39"/>
    <w:rsid w:val="00E735F0"/>
    <w:rsid w:val="00EE0920"/>
    <w:rsid w:val="00F14497"/>
    <w:rsid w:val="00F64974"/>
    <w:rsid w:val="00F6670E"/>
    <w:rsid w:val="00F76485"/>
    <w:rsid w:val="00F93DC5"/>
    <w:rsid w:val="00F94E72"/>
    <w:rsid w:val="00FA5C3C"/>
    <w:rsid w:val="00FA6833"/>
    <w:rsid w:val="00FB3C66"/>
    <w:rsid w:val="00FD6449"/>
    <w:rsid w:val="00FD796A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997E8"/>
  <w15:chartTrackingRefBased/>
  <w15:docId w15:val="{5B2A186B-244A-4D85-B81E-D5B50EB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styleId="Kommentarsreferens">
    <w:name w:val="annotation reference"/>
    <w:uiPriority w:val="99"/>
    <w:semiHidden/>
    <w:unhideWhenUsed/>
    <w:rsid w:val="001276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765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12765A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765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12765A"/>
    <w:rPr>
      <w:b/>
      <w:bCs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263CAC"/>
    <w:pPr>
      <w:spacing w:before="100" w:beforeAutospacing="1" w:after="100" w:afterAutospacing="1"/>
    </w:pPr>
    <w:rPr>
      <w:lang w:val="sv-FI" w:eastAsia="sv-FI"/>
    </w:rPr>
  </w:style>
  <w:style w:type="table" w:styleId="Tabellrutnt">
    <w:name w:val="Table Grid"/>
    <w:basedOn w:val="Normaltabell"/>
    <w:uiPriority w:val="59"/>
    <w:rsid w:val="0004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EF498075A6A4DB29DEA178913D055" ma:contentTypeVersion="2" ma:contentTypeDescription="Create a new document." ma:contentTypeScope="" ma:versionID="1bd90f9cf1255b6b6d57157910bff4d7">
  <xsd:schema xmlns:xsd="http://www.w3.org/2001/XMLSchema" xmlns:xs="http://www.w3.org/2001/XMLSchema" xmlns:p="http://schemas.microsoft.com/office/2006/metadata/properties" xmlns:ns3="2d8b5358-e4a1-4ca6-9e9a-452a2c1d8fcc" targetNamespace="http://schemas.microsoft.com/office/2006/metadata/properties" ma:root="true" ma:fieldsID="f24ec8b891fcd85e859a4b4183533c68" ns3:_="">
    <xsd:import namespace="2d8b5358-e4a1-4ca6-9e9a-452a2c1d8f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5358-e4a1-4ca6-9e9a-452a2c1d8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2A56-1223-4B8F-932F-2A8607BD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b5358-e4a1-4ca6-9e9a-452a2c1d8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A2A3B-8338-47D6-ACCF-F4AA64A79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5A74C-BD6F-49BC-A14F-88A194760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CE1EF2-2671-4D85-8389-9BCE601F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7</TotalTime>
  <Pages>8</Pages>
  <Words>2027</Words>
  <Characters>13205</Characters>
  <Application>Microsoft Office Word</Application>
  <DocSecurity>0</DocSecurity>
  <Lines>110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15202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Lotta Wickström</dc:creator>
  <cp:keywords/>
  <dc:description/>
  <cp:lastModifiedBy>Jessica Laaksonen</cp:lastModifiedBy>
  <cp:revision>2</cp:revision>
  <cp:lastPrinted>2021-09-01T12:45:00Z</cp:lastPrinted>
  <dcterms:created xsi:type="dcterms:W3CDTF">2021-09-02T10:34:00Z</dcterms:created>
  <dcterms:modified xsi:type="dcterms:W3CDTF">2021-09-02T10:34:00Z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0x010100AA6EF498075A6A4DB29DEA178913D055</vt:lpwstr>
  </property>
</Properties>
</file>