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79254A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292FB30" w14:textId="0605705F" w:rsidR="002401D0" w:rsidRDefault="00CD0FE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CC70135" wp14:editId="0B242E0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BBB32A2" w14:textId="086114FA" w:rsidR="002401D0" w:rsidRDefault="00CD0FE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9860721" wp14:editId="075CA63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63006447" w14:textId="77777777">
        <w:trPr>
          <w:cantSplit/>
          <w:trHeight w:val="299"/>
        </w:trPr>
        <w:tc>
          <w:tcPr>
            <w:tcW w:w="861" w:type="dxa"/>
            <w:vMerge/>
          </w:tcPr>
          <w:p w14:paraId="13C688C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79E24E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8EBA406" w14:textId="6EACA022" w:rsidR="002401D0" w:rsidRDefault="002401D0" w:rsidP="00B36A8F">
            <w:pPr>
              <w:pStyle w:val="xDokTypNr"/>
            </w:pPr>
            <w:r>
              <w:t xml:space="preserve">BETÄNKANDE nr </w:t>
            </w:r>
            <w:r w:rsidR="00DF7547">
              <w:t>13</w:t>
            </w:r>
            <w:r>
              <w:t>/</w:t>
            </w:r>
            <w:proofErr w:type="gramStart"/>
            <w:r>
              <w:t>20</w:t>
            </w:r>
            <w:r w:rsidR="00FD0FED">
              <w:t>20</w:t>
            </w:r>
            <w:r w:rsidR="0015337C">
              <w:t>-20</w:t>
            </w:r>
            <w:r w:rsidR="00FD0FED">
              <w:t>21</w:t>
            </w:r>
            <w:proofErr w:type="gramEnd"/>
          </w:p>
        </w:tc>
      </w:tr>
      <w:tr w:rsidR="002401D0" w14:paraId="01722056" w14:textId="77777777">
        <w:trPr>
          <w:cantSplit/>
          <w:trHeight w:val="238"/>
        </w:trPr>
        <w:tc>
          <w:tcPr>
            <w:tcW w:w="861" w:type="dxa"/>
            <w:vMerge/>
          </w:tcPr>
          <w:p w14:paraId="2113D9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88F8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A1C3B3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DD78DA" w14:textId="77777777" w:rsidR="002401D0" w:rsidRDefault="002401D0">
            <w:pPr>
              <w:pStyle w:val="xLedtext"/>
            </w:pPr>
          </w:p>
        </w:tc>
      </w:tr>
      <w:tr w:rsidR="002401D0" w14:paraId="173D877B" w14:textId="77777777">
        <w:trPr>
          <w:cantSplit/>
          <w:trHeight w:val="238"/>
        </w:trPr>
        <w:tc>
          <w:tcPr>
            <w:tcW w:w="861" w:type="dxa"/>
            <w:vMerge/>
          </w:tcPr>
          <w:p w14:paraId="124F2E41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2AE3122" w14:textId="2AEEB4D6" w:rsidR="002401D0" w:rsidRDefault="00FD0FED">
            <w:pPr>
              <w:pStyle w:val="xAvsandare2"/>
            </w:pPr>
            <w:r>
              <w:t>Social-</w:t>
            </w:r>
            <w:r w:rsidR="00941DD2">
              <w:t xml:space="preserve"> </w:t>
            </w:r>
            <w:r>
              <w:t>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F9FA932" w14:textId="16A67FEA" w:rsidR="002401D0" w:rsidRDefault="002401D0">
            <w:pPr>
              <w:pStyle w:val="xDatum1"/>
            </w:pPr>
            <w:r>
              <w:t>20</w:t>
            </w:r>
            <w:r w:rsidR="00FD0FED">
              <w:t>21-0</w:t>
            </w:r>
            <w:r w:rsidR="00DF7547">
              <w:t>9</w:t>
            </w:r>
            <w:r w:rsidR="00FD0FED">
              <w:t>-</w:t>
            </w:r>
            <w:r w:rsidR="00DF7547">
              <w:t>16</w:t>
            </w:r>
          </w:p>
        </w:tc>
        <w:tc>
          <w:tcPr>
            <w:tcW w:w="2563" w:type="dxa"/>
            <w:vAlign w:val="center"/>
          </w:tcPr>
          <w:p w14:paraId="5B2AE26E" w14:textId="77777777" w:rsidR="002401D0" w:rsidRDefault="002401D0">
            <w:pPr>
              <w:pStyle w:val="xBeteckning1"/>
            </w:pPr>
          </w:p>
        </w:tc>
      </w:tr>
      <w:tr w:rsidR="002401D0" w14:paraId="67E79839" w14:textId="77777777">
        <w:trPr>
          <w:cantSplit/>
          <w:trHeight w:val="238"/>
        </w:trPr>
        <w:tc>
          <w:tcPr>
            <w:tcW w:w="861" w:type="dxa"/>
            <w:vMerge/>
          </w:tcPr>
          <w:p w14:paraId="2E83344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79634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DE292AE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821E8AB" w14:textId="77777777" w:rsidR="002401D0" w:rsidRDefault="002401D0">
            <w:pPr>
              <w:pStyle w:val="xLedtext"/>
            </w:pPr>
          </w:p>
        </w:tc>
      </w:tr>
      <w:tr w:rsidR="002401D0" w14:paraId="060F9AD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AC7B41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A540FED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5F3B477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15F0A02" w14:textId="77777777" w:rsidR="002401D0" w:rsidRDefault="002401D0">
            <w:pPr>
              <w:pStyle w:val="xBeteckning2"/>
            </w:pPr>
          </w:p>
        </w:tc>
      </w:tr>
      <w:tr w:rsidR="002401D0" w14:paraId="1448352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FB4C33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B2C26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8D952C0" w14:textId="77777777" w:rsidR="002401D0" w:rsidRDefault="002401D0">
            <w:pPr>
              <w:pStyle w:val="xLedtext"/>
            </w:pPr>
          </w:p>
        </w:tc>
      </w:tr>
      <w:tr w:rsidR="002401D0" w14:paraId="58815DAD" w14:textId="77777777">
        <w:trPr>
          <w:cantSplit/>
          <w:trHeight w:val="238"/>
        </w:trPr>
        <w:tc>
          <w:tcPr>
            <w:tcW w:w="861" w:type="dxa"/>
          </w:tcPr>
          <w:p w14:paraId="312B720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AC363F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4DEF59C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92A19C8" w14:textId="77777777">
        <w:trPr>
          <w:cantSplit/>
          <w:trHeight w:val="238"/>
        </w:trPr>
        <w:tc>
          <w:tcPr>
            <w:tcW w:w="861" w:type="dxa"/>
          </w:tcPr>
          <w:p w14:paraId="75F3A74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659BE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1999B3" w14:textId="77777777" w:rsidR="002401D0" w:rsidRDefault="002401D0">
            <w:pPr>
              <w:pStyle w:val="xCelltext"/>
            </w:pPr>
          </w:p>
        </w:tc>
      </w:tr>
      <w:tr w:rsidR="002401D0" w14:paraId="5CF25087" w14:textId="77777777">
        <w:trPr>
          <w:cantSplit/>
          <w:trHeight w:val="238"/>
        </w:trPr>
        <w:tc>
          <w:tcPr>
            <w:tcW w:w="861" w:type="dxa"/>
          </w:tcPr>
          <w:p w14:paraId="4F2BD88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1DDEA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4F45874" w14:textId="77777777" w:rsidR="002401D0" w:rsidRDefault="002401D0">
            <w:pPr>
              <w:pStyle w:val="xCelltext"/>
            </w:pPr>
          </w:p>
        </w:tc>
      </w:tr>
      <w:tr w:rsidR="002401D0" w14:paraId="573B4347" w14:textId="77777777">
        <w:trPr>
          <w:cantSplit/>
          <w:trHeight w:val="238"/>
        </w:trPr>
        <w:tc>
          <w:tcPr>
            <w:tcW w:w="861" w:type="dxa"/>
          </w:tcPr>
          <w:p w14:paraId="5708249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E70444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F8B4C1" w14:textId="77777777" w:rsidR="002401D0" w:rsidRDefault="002401D0">
            <w:pPr>
              <w:pStyle w:val="xCelltext"/>
            </w:pPr>
          </w:p>
        </w:tc>
      </w:tr>
      <w:tr w:rsidR="002401D0" w14:paraId="7E5F159E" w14:textId="77777777">
        <w:trPr>
          <w:cantSplit/>
          <w:trHeight w:val="238"/>
        </w:trPr>
        <w:tc>
          <w:tcPr>
            <w:tcW w:w="861" w:type="dxa"/>
          </w:tcPr>
          <w:p w14:paraId="1790DB9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45707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1F991E7" w14:textId="77777777" w:rsidR="002401D0" w:rsidRDefault="002401D0">
            <w:pPr>
              <w:pStyle w:val="xCelltext"/>
            </w:pPr>
          </w:p>
        </w:tc>
      </w:tr>
    </w:tbl>
    <w:p w14:paraId="20CD5246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FDA1547" w14:textId="0ABDC3B6" w:rsidR="002401D0" w:rsidRDefault="00FD0FED">
      <w:pPr>
        <w:pStyle w:val="ArendeOverRubrik"/>
      </w:pPr>
      <w:r>
        <w:t>Social- och miljö</w:t>
      </w:r>
      <w:r w:rsidR="002401D0">
        <w:t>utskottets betänkande</w:t>
      </w:r>
    </w:p>
    <w:p w14:paraId="2DC229DE" w14:textId="7D79CC15" w:rsidR="00FD0FED" w:rsidRDefault="00FD0FED" w:rsidP="00FD0FED">
      <w:pPr>
        <w:pStyle w:val="ArendeRubrik"/>
      </w:pPr>
      <w:r>
        <w:t>Individuella vattenmätare i hyreshus</w:t>
      </w:r>
    </w:p>
    <w:p w14:paraId="02216EB3" w14:textId="6EF2E193" w:rsidR="002401D0" w:rsidRDefault="00FD0FED">
      <w:pPr>
        <w:pStyle w:val="ArendeUnderRubrik"/>
      </w:pPr>
      <w:r>
        <w:t>Landskapsregeringens lagförslag LF 23/</w:t>
      </w:r>
      <w:proofErr w:type="gramStart"/>
      <w:r>
        <w:t>2020-2021</w:t>
      </w:r>
      <w:proofErr w:type="gramEnd"/>
    </w:p>
    <w:p w14:paraId="57A06952" w14:textId="77777777" w:rsidR="002401D0" w:rsidRDefault="002401D0">
      <w:pPr>
        <w:pStyle w:val="ANormal"/>
      </w:pPr>
    </w:p>
    <w:p w14:paraId="3FF553A5" w14:textId="77777777" w:rsidR="002401D0" w:rsidRDefault="002401D0">
      <w:pPr>
        <w:pStyle w:val="Innehll1"/>
      </w:pPr>
      <w:r>
        <w:t>INNEHÅLL</w:t>
      </w:r>
    </w:p>
    <w:p w14:paraId="5A464E19" w14:textId="601DC7D4" w:rsidR="00CD0FE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72755046" w:history="1">
        <w:r w:rsidR="00CD0FE1" w:rsidRPr="00623DBB">
          <w:rPr>
            <w:rStyle w:val="Hyperlnk"/>
          </w:rPr>
          <w:t>Sammanfattning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_Toc72755046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 w:rsidR="003B27E8">
          <w:rPr>
            <w:webHidden/>
          </w:rPr>
          <w:t>1</w:t>
        </w:r>
        <w:r w:rsidR="00CD0FE1">
          <w:rPr>
            <w:webHidden/>
          </w:rPr>
          <w:fldChar w:fldCharType="end"/>
        </w:r>
      </w:hyperlink>
    </w:p>
    <w:p w14:paraId="562EEC86" w14:textId="73D355D0" w:rsidR="00CD0FE1" w:rsidRDefault="003B27E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755047" w:history="1">
        <w:r w:rsidR="00CD0FE1" w:rsidRPr="00623DBB">
          <w:rPr>
            <w:rStyle w:val="Hyperlnk"/>
          </w:rPr>
          <w:t>Landskapsregeringens förslag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_Toc72755047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>
          <w:rPr>
            <w:webHidden/>
          </w:rPr>
          <w:t>1</w:t>
        </w:r>
        <w:r w:rsidR="00CD0FE1">
          <w:rPr>
            <w:webHidden/>
          </w:rPr>
          <w:fldChar w:fldCharType="end"/>
        </w:r>
      </w:hyperlink>
    </w:p>
    <w:p w14:paraId="6134A98B" w14:textId="667AF8A9" w:rsidR="00CD0FE1" w:rsidRDefault="003B27E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755048" w:history="1">
        <w:r w:rsidR="00CD0FE1" w:rsidRPr="00623DBB">
          <w:rPr>
            <w:rStyle w:val="Hyperlnk"/>
          </w:rPr>
          <w:t>Utskottets förslag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_Toc72755048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>
          <w:rPr>
            <w:webHidden/>
          </w:rPr>
          <w:t>1</w:t>
        </w:r>
        <w:r w:rsidR="00CD0FE1">
          <w:rPr>
            <w:webHidden/>
          </w:rPr>
          <w:fldChar w:fldCharType="end"/>
        </w:r>
      </w:hyperlink>
    </w:p>
    <w:p w14:paraId="3C5923AC" w14:textId="6D0720C8" w:rsidR="00CD0FE1" w:rsidRDefault="003B27E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755049" w:history="1">
        <w:r w:rsidR="00CD0FE1" w:rsidRPr="00623DBB">
          <w:rPr>
            <w:rStyle w:val="Hyperlnk"/>
          </w:rPr>
          <w:t>Utskottets synpunkter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_Toc72755049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>
          <w:rPr>
            <w:webHidden/>
          </w:rPr>
          <w:t>1</w:t>
        </w:r>
        <w:r w:rsidR="00CD0FE1">
          <w:rPr>
            <w:webHidden/>
          </w:rPr>
          <w:fldChar w:fldCharType="end"/>
        </w:r>
      </w:hyperlink>
    </w:p>
    <w:p w14:paraId="42BA3FB9" w14:textId="15EC379A" w:rsidR="00CD0FE1" w:rsidRDefault="003B27E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755050" w:history="1">
        <w:r w:rsidR="00CD0FE1" w:rsidRPr="00623DBB">
          <w:rPr>
            <w:rStyle w:val="Hyperlnk"/>
          </w:rPr>
          <w:t>Ärendets behandling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_Toc72755050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>
          <w:rPr>
            <w:webHidden/>
          </w:rPr>
          <w:t>2</w:t>
        </w:r>
        <w:r w:rsidR="00CD0FE1">
          <w:rPr>
            <w:webHidden/>
          </w:rPr>
          <w:fldChar w:fldCharType="end"/>
        </w:r>
      </w:hyperlink>
    </w:p>
    <w:p w14:paraId="7E2B658F" w14:textId="6DA0F969" w:rsidR="00CD0FE1" w:rsidRDefault="003B27E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755051" w:history="1">
        <w:r w:rsidR="00CD0FE1" w:rsidRPr="00623DBB">
          <w:rPr>
            <w:rStyle w:val="Hyperlnk"/>
          </w:rPr>
          <w:t>Utskottets förslag</w:t>
        </w:r>
        <w:r w:rsidR="00CD0FE1">
          <w:rPr>
            <w:webHidden/>
          </w:rPr>
          <w:tab/>
        </w:r>
        <w:r w:rsidR="00CD0FE1">
          <w:rPr>
            <w:webHidden/>
          </w:rPr>
          <w:fldChar w:fldCharType="begin"/>
        </w:r>
        <w:r w:rsidR="00CD0FE1">
          <w:rPr>
            <w:webHidden/>
          </w:rPr>
          <w:instrText xml:space="preserve"> PAGEREF _Toc72755051 \h </w:instrText>
        </w:r>
        <w:r w:rsidR="00CD0FE1">
          <w:rPr>
            <w:webHidden/>
          </w:rPr>
        </w:r>
        <w:r w:rsidR="00CD0FE1">
          <w:rPr>
            <w:webHidden/>
          </w:rPr>
          <w:fldChar w:fldCharType="separate"/>
        </w:r>
        <w:r>
          <w:rPr>
            <w:webHidden/>
          </w:rPr>
          <w:t>3</w:t>
        </w:r>
        <w:r w:rsidR="00CD0FE1">
          <w:rPr>
            <w:webHidden/>
          </w:rPr>
          <w:fldChar w:fldCharType="end"/>
        </w:r>
      </w:hyperlink>
    </w:p>
    <w:p w14:paraId="3CFB82F4" w14:textId="61E4187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DB8CCE" w14:textId="77777777" w:rsidR="002401D0" w:rsidRDefault="002401D0">
      <w:pPr>
        <w:pStyle w:val="ANormal"/>
      </w:pPr>
    </w:p>
    <w:p w14:paraId="5CB57D39" w14:textId="77777777" w:rsidR="002401D0" w:rsidRDefault="002401D0">
      <w:pPr>
        <w:pStyle w:val="RubrikA"/>
      </w:pPr>
      <w:bookmarkStart w:id="1" w:name="_Toc529800932"/>
      <w:bookmarkStart w:id="2" w:name="_Toc72755046"/>
      <w:r>
        <w:t>Sammanfattning</w:t>
      </w:r>
      <w:bookmarkEnd w:id="1"/>
      <w:bookmarkEnd w:id="2"/>
    </w:p>
    <w:p w14:paraId="3991CB00" w14:textId="77777777" w:rsidR="002401D0" w:rsidRDefault="002401D0">
      <w:pPr>
        <w:pStyle w:val="Rubrikmellanrum"/>
      </w:pPr>
    </w:p>
    <w:p w14:paraId="292589EE" w14:textId="3B9B0FBB" w:rsidR="002401D0" w:rsidRDefault="00FD0FED">
      <w:pPr>
        <w:pStyle w:val="RubrikB"/>
      </w:pPr>
      <w:bookmarkStart w:id="3" w:name="_Toc529800933"/>
      <w:bookmarkStart w:id="4" w:name="_Toc72755047"/>
      <w:r>
        <w:t>Landskapsregeringens</w:t>
      </w:r>
      <w:r w:rsidR="002401D0">
        <w:t xml:space="preserve"> förslag</w:t>
      </w:r>
      <w:bookmarkEnd w:id="3"/>
      <w:bookmarkEnd w:id="4"/>
    </w:p>
    <w:p w14:paraId="20293B84" w14:textId="77777777" w:rsidR="002401D0" w:rsidRDefault="002401D0">
      <w:pPr>
        <w:pStyle w:val="Rubrikmellanrum"/>
      </w:pPr>
    </w:p>
    <w:p w14:paraId="69E11742" w14:textId="77777777" w:rsidR="00FD0FED" w:rsidRDefault="00FD0FED" w:rsidP="00FD0FED">
      <w:pPr>
        <w:pStyle w:val="ANormal"/>
      </w:pPr>
      <w:r>
        <w:t xml:space="preserve">Landskapsregeringen föreslår att hyreslagen ändras som en del i arbetet att nå energidirektivets uppsatta mål avseende energieffektivisering. Förslaget går ut på att spara vatten och energi genom att de hyresgäster som bor i </w:t>
      </w:r>
      <w:r w:rsidRPr="009E0FDD">
        <w:t>hyreshus där fjärravläsbara individuella vattenmätare har installerats ska fakturer</w:t>
      </w:r>
      <w:r>
        <w:t>as</w:t>
      </w:r>
      <w:r w:rsidRPr="009E0FDD">
        <w:t xml:space="preserve"> </w:t>
      </w:r>
      <w:r>
        <w:t>efter</w:t>
      </w:r>
      <w:r w:rsidRPr="009E0FDD">
        <w:t xml:space="preserve"> den tillförlitligt uppmätta faktiska förbrukningen.</w:t>
      </w:r>
      <w:r>
        <w:t xml:space="preserve"> Syftet med lagändringen är att göra hyresgästerna uppmärksamma på den faktiska vattenförbrukningen och ge dem</w:t>
      </w:r>
      <w:r w:rsidRPr="009E0FDD">
        <w:t xml:space="preserve"> </w:t>
      </w:r>
      <w:r>
        <w:t>möjlighet att påverka sin bostadskostnad.</w:t>
      </w:r>
    </w:p>
    <w:p w14:paraId="7B462074" w14:textId="77777777" w:rsidR="00FD0FED" w:rsidRDefault="00FD0FED" w:rsidP="00FD0FED">
      <w:pPr>
        <w:pStyle w:val="ANormal"/>
      </w:pPr>
      <w:r>
        <w:tab/>
        <w:t>Samtidigt uppdateras tabellen i 2 § i landskapslagen om energieffektivitet med hänvisningar till riksförfattningar som inte ska tillämpas eftersom det finns åländska motsvarigheter. Uppdateringen är en följdändring av ändringar som har gjorts i rikets energieffektivitetslag.</w:t>
      </w:r>
    </w:p>
    <w:p w14:paraId="4C580E68" w14:textId="77777777" w:rsidR="00FD0FED" w:rsidRDefault="00FD0FED" w:rsidP="00FD0FED">
      <w:pPr>
        <w:pStyle w:val="ANormal"/>
      </w:pPr>
      <w:r>
        <w:tab/>
        <w:t>Avsikten är att lagarna ska träda i kraft så snart som möjligt.</w:t>
      </w:r>
    </w:p>
    <w:p w14:paraId="68DCF870" w14:textId="51C0BB5F" w:rsidR="002401D0" w:rsidRDefault="002401D0">
      <w:pPr>
        <w:pStyle w:val="ANormal"/>
      </w:pPr>
    </w:p>
    <w:p w14:paraId="5FDD2CCB" w14:textId="77777777" w:rsidR="002401D0" w:rsidRDefault="002401D0">
      <w:pPr>
        <w:pStyle w:val="RubrikB"/>
      </w:pPr>
      <w:bookmarkStart w:id="5" w:name="_Toc529800934"/>
      <w:bookmarkStart w:id="6" w:name="_Toc72755048"/>
      <w:r>
        <w:t>Utskottets förslag</w:t>
      </w:r>
      <w:bookmarkEnd w:id="5"/>
      <w:bookmarkEnd w:id="6"/>
    </w:p>
    <w:p w14:paraId="430C55AB" w14:textId="77777777" w:rsidR="002401D0" w:rsidRDefault="002401D0">
      <w:pPr>
        <w:pStyle w:val="Rubrikmellanrum"/>
      </w:pPr>
    </w:p>
    <w:p w14:paraId="4B3F54E4" w14:textId="30D7DAFE" w:rsidR="002401D0" w:rsidRDefault="00856F99">
      <w:pPr>
        <w:pStyle w:val="ANormal"/>
      </w:pPr>
      <w:r>
        <w:t>Utskottet föreslår att lagförslage</w:t>
      </w:r>
      <w:r w:rsidR="002B28F2">
        <w:t xml:space="preserve">n </w:t>
      </w:r>
      <w:r w:rsidR="006B07C4">
        <w:t xml:space="preserve">antas </w:t>
      </w:r>
      <w:r w:rsidR="002B28F2">
        <w:t>utan ändringar</w:t>
      </w:r>
      <w:r>
        <w:t xml:space="preserve">. </w:t>
      </w:r>
    </w:p>
    <w:p w14:paraId="57A88B83" w14:textId="77777777" w:rsidR="002401D0" w:rsidRDefault="002401D0">
      <w:pPr>
        <w:pStyle w:val="ANormal"/>
      </w:pPr>
    </w:p>
    <w:p w14:paraId="77FD14E0" w14:textId="77777777" w:rsidR="002401D0" w:rsidRDefault="002401D0">
      <w:pPr>
        <w:pStyle w:val="RubrikA"/>
      </w:pPr>
      <w:bookmarkStart w:id="7" w:name="_Toc529800935"/>
      <w:bookmarkStart w:id="8" w:name="_Toc72755049"/>
      <w:r>
        <w:t>Utskottets synpunkter</w:t>
      </w:r>
      <w:bookmarkEnd w:id="7"/>
      <w:bookmarkEnd w:id="8"/>
    </w:p>
    <w:p w14:paraId="4316D1FB" w14:textId="77777777" w:rsidR="002401D0" w:rsidRDefault="002401D0">
      <w:pPr>
        <w:pStyle w:val="Rubrikmellanrum"/>
      </w:pPr>
    </w:p>
    <w:p w14:paraId="5D8266B8" w14:textId="70DC7D00" w:rsidR="002401D0" w:rsidRDefault="00B66C1A">
      <w:pPr>
        <w:pStyle w:val="ANormal"/>
      </w:pPr>
      <w:r>
        <w:t xml:space="preserve">I lagförslaget föreslås att hyreslagen för landskapet Åland ändras så att </w:t>
      </w:r>
      <w:r w:rsidR="00705352">
        <w:t>faktureringen av hyresgäste</w:t>
      </w:r>
      <w:r w:rsidR="006B07C4">
        <w:t>rs</w:t>
      </w:r>
      <w:r w:rsidR="00705352">
        <w:t xml:space="preserve"> förbrukning av vatten baserar sig på den tillförlitligt uppmätta faktiska förbrukningen. Dessutom ska hyresgästen i samband med faktureringen ges information om vattenförbrukningen. Genom </w:t>
      </w:r>
      <w:r w:rsidR="0045061B">
        <w:t>lagförslaget genomför</w:t>
      </w:r>
      <w:r w:rsidR="00705352">
        <w:t>s</w:t>
      </w:r>
      <w:r w:rsidR="0045061B">
        <w:t xml:space="preserve"> skyldigheterna enligt </w:t>
      </w:r>
      <w:r w:rsidR="009C5541">
        <w:t>Euro</w:t>
      </w:r>
      <w:r w:rsidR="00D7177F" w:rsidRPr="00D7177F">
        <w:t>paparlamentets och rådets direktiv (EU) 2018/2002 om ändring av</w:t>
      </w:r>
      <w:r w:rsidR="001C2050">
        <w:t xml:space="preserve"> </w:t>
      </w:r>
      <w:r w:rsidR="00D7177F" w:rsidRPr="00D7177F">
        <w:t>direktiv 2012/27/EU om energieffektivitet</w:t>
      </w:r>
      <w:r w:rsidR="001C2050">
        <w:t>, nedan ändringsdirektivet,</w:t>
      </w:r>
      <w:r w:rsidR="009C5541">
        <w:t xml:space="preserve"> </w:t>
      </w:r>
      <w:r w:rsidR="006B07C4">
        <w:t xml:space="preserve">vad </w:t>
      </w:r>
      <w:r w:rsidR="009C5541">
        <w:t xml:space="preserve">gäller </w:t>
      </w:r>
      <w:r w:rsidR="00E83131">
        <w:t xml:space="preserve">fjärravläsbara </w:t>
      </w:r>
      <w:r w:rsidR="006B07C4">
        <w:t>vatten</w:t>
      </w:r>
      <w:r w:rsidR="00E83131">
        <w:t xml:space="preserve">mätare </w:t>
      </w:r>
      <w:r w:rsidR="009C5541">
        <w:t xml:space="preserve">och fakturering </w:t>
      </w:r>
      <w:r w:rsidR="0045061B" w:rsidRPr="0045061B">
        <w:t>av varmvatten för hushållsbruk</w:t>
      </w:r>
      <w:r w:rsidR="009C5541">
        <w:t xml:space="preserve"> </w:t>
      </w:r>
      <w:r w:rsidR="00B4194C">
        <w:t xml:space="preserve">samt lämnade av </w:t>
      </w:r>
      <w:r w:rsidR="001C2050">
        <w:t xml:space="preserve">information om vattenförbrukningen.  </w:t>
      </w:r>
    </w:p>
    <w:p w14:paraId="22679883" w14:textId="08D54EB7" w:rsidR="00CC7BBB" w:rsidRDefault="00261F68">
      <w:pPr>
        <w:pStyle w:val="ANormal"/>
      </w:pPr>
      <w:r>
        <w:tab/>
      </w:r>
      <w:r w:rsidR="00622274">
        <w:t xml:space="preserve">Utskottet välkomnar insatser för ökat vattenhushållande och </w:t>
      </w:r>
      <w:r w:rsidR="004074C0">
        <w:t>konstaterar att lagförslaget</w:t>
      </w:r>
      <w:r w:rsidR="00456C2B">
        <w:t xml:space="preserve"> främjar en</w:t>
      </w:r>
      <w:r w:rsidR="00D242C2">
        <w:t xml:space="preserve">ergisparande </w:t>
      </w:r>
      <w:r w:rsidR="00622274">
        <w:t>samt</w:t>
      </w:r>
      <w:r w:rsidR="00CC7BBB">
        <w:t xml:space="preserve"> skapar </w:t>
      </w:r>
      <w:r w:rsidR="006B07C4">
        <w:t>incitament för minskad vattenförbrukning och</w:t>
      </w:r>
      <w:r w:rsidR="00CC7BBB">
        <w:t xml:space="preserve"> tillstyrker lagförslaget med följande synpunkter.</w:t>
      </w:r>
    </w:p>
    <w:p w14:paraId="04FD6C57" w14:textId="093201DA" w:rsidR="00884B50" w:rsidRDefault="00884B50">
      <w:pPr>
        <w:pStyle w:val="ANormal"/>
      </w:pPr>
    </w:p>
    <w:p w14:paraId="5C443D94" w14:textId="77777777" w:rsidR="00622274" w:rsidRDefault="00622274" w:rsidP="00884B50">
      <w:pPr>
        <w:pStyle w:val="ANormal"/>
        <w:rPr>
          <w:i/>
          <w:iCs/>
        </w:rPr>
      </w:pPr>
    </w:p>
    <w:p w14:paraId="1AA0C503" w14:textId="23FDD795" w:rsidR="00884B50" w:rsidRPr="006B07C4" w:rsidRDefault="00884B50" w:rsidP="00884B50">
      <w:pPr>
        <w:pStyle w:val="ANormal"/>
        <w:rPr>
          <w:i/>
          <w:iCs/>
        </w:rPr>
      </w:pPr>
      <w:r w:rsidRPr="00884B50">
        <w:rPr>
          <w:i/>
          <w:iCs/>
        </w:rPr>
        <w:lastRenderedPageBreak/>
        <w:t xml:space="preserve">Vattenmätarna </w:t>
      </w:r>
    </w:p>
    <w:p w14:paraId="66B924AB" w14:textId="77777777" w:rsidR="00884B50" w:rsidRPr="00884B50" w:rsidRDefault="00884B50" w:rsidP="00884B50">
      <w:pPr>
        <w:pStyle w:val="ANormal"/>
        <w:rPr>
          <w:b/>
          <w:bCs/>
          <w:i/>
          <w:iCs/>
          <w:sz w:val="10"/>
          <w:szCs w:val="10"/>
        </w:rPr>
      </w:pPr>
    </w:p>
    <w:p w14:paraId="24B2B46C" w14:textId="0DA8F14F" w:rsidR="00884B50" w:rsidRPr="00884B50" w:rsidRDefault="00884B50" w:rsidP="00884B50">
      <w:pPr>
        <w:pStyle w:val="ANormal"/>
      </w:pPr>
      <w:r w:rsidRPr="00884B50">
        <w:t xml:space="preserve">För att uppnå lagförslagets syfte är det enligt utskottet viktigt att mätningen av vattenförbrukningen och faktureringen </w:t>
      </w:r>
      <w:r w:rsidR="0081355D">
        <w:t xml:space="preserve">är tillförlitlig och </w:t>
      </w:r>
      <w:r w:rsidRPr="00884B50">
        <w:t>grundar sig på felfria uppgifter. Olika typer av störningar i mätningarna av vattenförbrukningen kan förekomma på grund av vattenmätarnas varierande kvalitet, felaktiga installationer, störningar i de informationssystem som stöder mätarna eller bristande underhåll. Utskottet förutsätter att hyres</w:t>
      </w:r>
      <w:r w:rsidR="004E74C2">
        <w:t xml:space="preserve">bolagen </w:t>
      </w:r>
      <w:r w:rsidRPr="00884B50">
        <w:t>utan dröjsmål vidtar behövliga åtgärder om det upptäcks att mätarna är felaktigt installerade eller har något annat fel.</w:t>
      </w:r>
    </w:p>
    <w:p w14:paraId="7BEE955D" w14:textId="0AE50AC6" w:rsidR="00FE2CED" w:rsidRDefault="00FE2CED">
      <w:pPr>
        <w:pStyle w:val="ANormal"/>
      </w:pPr>
      <w:r>
        <w:tab/>
      </w:r>
    </w:p>
    <w:p w14:paraId="76F562F9" w14:textId="7786A48B" w:rsidR="00D242C2" w:rsidRPr="006B07C4" w:rsidRDefault="007C46AF">
      <w:pPr>
        <w:pStyle w:val="ANormal"/>
        <w:rPr>
          <w:i/>
          <w:iCs/>
        </w:rPr>
      </w:pPr>
      <w:r w:rsidRPr="006B07C4">
        <w:rPr>
          <w:i/>
          <w:iCs/>
        </w:rPr>
        <w:t>Information</w:t>
      </w:r>
    </w:p>
    <w:p w14:paraId="0363554C" w14:textId="77777777" w:rsidR="00884B50" w:rsidRPr="00884B50" w:rsidRDefault="00884B50">
      <w:pPr>
        <w:pStyle w:val="ANormal"/>
        <w:rPr>
          <w:b/>
          <w:bCs/>
          <w:i/>
          <w:iCs/>
          <w:sz w:val="10"/>
          <w:szCs w:val="10"/>
        </w:rPr>
      </w:pPr>
    </w:p>
    <w:p w14:paraId="54ABE10B" w14:textId="4FC99F79" w:rsidR="00810952" w:rsidRPr="004E74C2" w:rsidRDefault="00E47725">
      <w:pPr>
        <w:pStyle w:val="ANormal"/>
      </w:pPr>
      <w:r w:rsidRPr="004E74C2">
        <w:t xml:space="preserve">Ibruktagandet av fjärravläsbara vattenmätare och en fakturering som baserar sig på den </w:t>
      </w:r>
      <w:r w:rsidR="0081355D">
        <w:t xml:space="preserve">tillförlitligt </w:t>
      </w:r>
      <w:r w:rsidRPr="004E74C2">
        <w:t xml:space="preserve">uppmätta faktiska förbrukningen </w:t>
      </w:r>
      <w:r w:rsidR="00122259" w:rsidRPr="004E74C2">
        <w:t xml:space="preserve">kan </w:t>
      </w:r>
      <w:r w:rsidR="00B66C1A" w:rsidRPr="004E74C2">
        <w:t>innebär</w:t>
      </w:r>
      <w:r w:rsidR="00122259" w:rsidRPr="004E74C2">
        <w:t xml:space="preserve">a att </w:t>
      </w:r>
      <w:r w:rsidR="006B07C4">
        <w:t>hyres</w:t>
      </w:r>
      <w:r w:rsidR="00CF5EB9" w:rsidRPr="004E74C2">
        <w:t xml:space="preserve">bolagen </w:t>
      </w:r>
      <w:r w:rsidR="002D56A3">
        <w:t xml:space="preserve">framöver </w:t>
      </w:r>
      <w:r w:rsidR="00CF5EB9" w:rsidRPr="004E74C2">
        <w:t xml:space="preserve">behöver ta i bruk </w:t>
      </w:r>
      <w:r w:rsidR="00122259" w:rsidRPr="004E74C2">
        <w:t xml:space="preserve">nya </w:t>
      </w:r>
      <w:r w:rsidR="00B66C1A" w:rsidRPr="004E74C2">
        <w:t>administrativa rutiner</w:t>
      </w:r>
      <w:r w:rsidR="00CF5EB9" w:rsidRPr="004E74C2">
        <w:t xml:space="preserve">. </w:t>
      </w:r>
      <w:r w:rsidR="007C46AF" w:rsidRPr="004E74C2">
        <w:t xml:space="preserve">Utskottet förutsätter att </w:t>
      </w:r>
      <w:r w:rsidR="00C81DB1">
        <w:t xml:space="preserve">berörda </w:t>
      </w:r>
      <w:r w:rsidR="0081355D">
        <w:t>hyres</w:t>
      </w:r>
      <w:r w:rsidR="007C46AF" w:rsidRPr="004E74C2">
        <w:t xml:space="preserve">bolag informeras om de </w:t>
      </w:r>
      <w:r w:rsidR="00C81DB1">
        <w:t xml:space="preserve">skyldigheter att installera fjärravläsbara vattenmätare och en fakturering som baserar sig på faktisk vattenförbrukning som följer av lagen. </w:t>
      </w:r>
      <w:r w:rsidR="00622274">
        <w:t>I</w:t>
      </w:r>
      <w:r w:rsidR="0077451F">
        <w:t xml:space="preserve"> energibesparande syfte </w:t>
      </w:r>
      <w:r w:rsidR="00622274">
        <w:t xml:space="preserve">är det </w:t>
      </w:r>
      <w:r w:rsidR="0077451F">
        <w:t>angeläget att</w:t>
      </w:r>
      <w:r w:rsidR="002D56A3">
        <w:t xml:space="preserve"> hyresgäster </w:t>
      </w:r>
      <w:r w:rsidR="00622274">
        <w:t>i</w:t>
      </w:r>
      <w:r w:rsidR="007C46AF" w:rsidRPr="004E74C2">
        <w:t xml:space="preserve">nformeras om </w:t>
      </w:r>
      <w:r w:rsidR="001D60AE" w:rsidRPr="004E74C2">
        <w:t xml:space="preserve">vattenförbrukningens energipåverkan och </w:t>
      </w:r>
      <w:r w:rsidR="00800DEF" w:rsidRPr="004E74C2">
        <w:t xml:space="preserve">hur de med hjälp av </w:t>
      </w:r>
      <w:r w:rsidR="001D7201" w:rsidRPr="004E74C2">
        <w:t>olika vattenbesparande åtgärder</w:t>
      </w:r>
      <w:r w:rsidR="00800DEF" w:rsidRPr="004E74C2">
        <w:t xml:space="preserve"> kan </w:t>
      </w:r>
      <w:r w:rsidR="001D60AE" w:rsidRPr="004E74C2">
        <w:t xml:space="preserve">minska </w:t>
      </w:r>
      <w:r w:rsidR="00800DEF" w:rsidRPr="004E74C2">
        <w:t>sin vattenförbrukning</w:t>
      </w:r>
      <w:r w:rsidR="003B311E">
        <w:t xml:space="preserve">. </w:t>
      </w:r>
    </w:p>
    <w:p w14:paraId="2493634E" w14:textId="77777777" w:rsidR="00D242C2" w:rsidRPr="00D242C2" w:rsidRDefault="00D242C2">
      <w:pPr>
        <w:pStyle w:val="ANormal"/>
      </w:pPr>
    </w:p>
    <w:p w14:paraId="6DDF6119" w14:textId="14CBEE33" w:rsidR="00D242C2" w:rsidRPr="006B07C4" w:rsidRDefault="00D242C2">
      <w:pPr>
        <w:pStyle w:val="ANormal"/>
        <w:rPr>
          <w:i/>
          <w:iCs/>
        </w:rPr>
      </w:pPr>
      <w:r w:rsidRPr="006B07C4">
        <w:rPr>
          <w:i/>
          <w:iCs/>
        </w:rPr>
        <w:t>Sociala effekter</w:t>
      </w:r>
    </w:p>
    <w:p w14:paraId="6E7DC6BC" w14:textId="77777777" w:rsidR="00884B50" w:rsidRPr="00884B50" w:rsidRDefault="00884B50">
      <w:pPr>
        <w:pStyle w:val="ANormal"/>
        <w:rPr>
          <w:i/>
          <w:iCs/>
          <w:sz w:val="10"/>
          <w:szCs w:val="10"/>
        </w:rPr>
      </w:pPr>
    </w:p>
    <w:p w14:paraId="7FDDA108" w14:textId="3F4D3F41" w:rsidR="001B05B4" w:rsidRPr="0044261C" w:rsidRDefault="0081355D">
      <w:pPr>
        <w:pStyle w:val="ANormal"/>
      </w:pPr>
      <w:r>
        <w:t xml:space="preserve">Individuell </w:t>
      </w:r>
      <w:r w:rsidR="00B603E0" w:rsidRPr="004E74C2">
        <w:t xml:space="preserve">mätning av vattenförbrukningen och </w:t>
      </w:r>
      <w:r>
        <w:t xml:space="preserve">en </w:t>
      </w:r>
      <w:r w:rsidR="00B603E0" w:rsidRPr="004E74C2">
        <w:t xml:space="preserve">fakturering som grundar sig på den </w:t>
      </w:r>
      <w:r>
        <w:t>tillförlitligt uppmätta f</w:t>
      </w:r>
      <w:r w:rsidR="00B603E0" w:rsidRPr="004E74C2">
        <w:t>aktiska förbrukningen har konstaterats minska</w:t>
      </w:r>
      <w:r w:rsidR="00861B1A" w:rsidRPr="004E74C2">
        <w:t xml:space="preserve"> </w:t>
      </w:r>
      <w:r w:rsidR="00B603E0" w:rsidRPr="004E74C2">
        <w:t>den genomsnittliga vattenförbrukningen i lägenheterna med 10</w:t>
      </w:r>
      <w:r w:rsidR="00205DBC">
        <w:t xml:space="preserve"> </w:t>
      </w:r>
      <w:r w:rsidR="00B603E0" w:rsidRPr="004E74C2">
        <w:t>–</w:t>
      </w:r>
      <w:r w:rsidR="00205DBC">
        <w:t xml:space="preserve"> </w:t>
      </w:r>
      <w:r w:rsidR="00861B1A" w:rsidRPr="004E74C2">
        <w:t>30</w:t>
      </w:r>
      <w:r w:rsidR="00B603E0" w:rsidRPr="004E74C2">
        <w:t xml:space="preserve"> procent och minska byggnadens förbrukning av uppvärmningsenergi med</w:t>
      </w:r>
      <w:r>
        <w:t xml:space="preserve"> </w:t>
      </w:r>
      <w:r w:rsidR="00B603E0" w:rsidRPr="004E74C2">
        <w:t>3</w:t>
      </w:r>
      <w:r w:rsidR="00205DBC">
        <w:t xml:space="preserve"> </w:t>
      </w:r>
      <w:r w:rsidR="00B603E0" w:rsidRPr="004E74C2">
        <w:t>–</w:t>
      </w:r>
      <w:r w:rsidR="00205DBC">
        <w:t xml:space="preserve"> </w:t>
      </w:r>
      <w:r w:rsidR="00B603E0" w:rsidRPr="004E74C2">
        <w:t>9 procent</w:t>
      </w:r>
      <w:r w:rsidR="00861B1A" w:rsidRPr="004E74C2">
        <w:t>, vilket är positivt</w:t>
      </w:r>
      <w:r w:rsidR="00B603E0" w:rsidRPr="004E74C2">
        <w:t>.</w:t>
      </w:r>
      <w:r w:rsidR="00861B1A" w:rsidRPr="004E74C2">
        <w:t xml:space="preserve"> </w:t>
      </w:r>
      <w:r w:rsidR="00645F94" w:rsidRPr="0044261C">
        <w:t xml:space="preserve">Denna individuella mätning av vattenförbrukningen har därmed visat sig </w:t>
      </w:r>
      <w:r w:rsidR="0044261C" w:rsidRPr="0044261C">
        <w:t>minska</w:t>
      </w:r>
      <w:r w:rsidR="00645F94" w:rsidRPr="0044261C">
        <w:t xml:space="preserve"> hyresgästernas egen förbrukning genom beteendeförändringar. Även om utskottet ser ekonomiska fördelar för hyresgäster med </w:t>
      </w:r>
      <w:r w:rsidR="00685C48" w:rsidRPr="0044261C">
        <w:t>liten</w:t>
      </w:r>
      <w:r w:rsidR="00645F94" w:rsidRPr="0044261C">
        <w:t xml:space="preserve"> vattenförbrukning kan fakturering av den faktiska vattenförbrukningen komma att leda till att exempelvis barnfamiljers hyreskostnader ökar jämfört med idag.</w:t>
      </w:r>
    </w:p>
    <w:p w14:paraId="7461A1FF" w14:textId="77777777" w:rsidR="00645F94" w:rsidRDefault="00645F94">
      <w:pPr>
        <w:pStyle w:val="ANormal"/>
        <w:rPr>
          <w:i/>
          <w:iCs/>
        </w:rPr>
      </w:pPr>
    </w:p>
    <w:p w14:paraId="03DDD2CB" w14:textId="7136ABEB" w:rsidR="00727498" w:rsidRPr="006B07C4" w:rsidRDefault="00884B50">
      <w:pPr>
        <w:pStyle w:val="ANormal"/>
        <w:rPr>
          <w:i/>
          <w:iCs/>
        </w:rPr>
      </w:pPr>
      <w:r w:rsidRPr="006B07C4">
        <w:rPr>
          <w:i/>
          <w:iCs/>
        </w:rPr>
        <w:t>Installationsskyldighet</w:t>
      </w:r>
      <w:r w:rsidR="00515586" w:rsidRPr="006B07C4">
        <w:rPr>
          <w:i/>
          <w:iCs/>
        </w:rPr>
        <w:t xml:space="preserve"> </w:t>
      </w:r>
      <w:r w:rsidR="00F05DA4" w:rsidRPr="006B07C4">
        <w:rPr>
          <w:i/>
          <w:iCs/>
        </w:rPr>
        <w:t xml:space="preserve"> </w:t>
      </w:r>
    </w:p>
    <w:p w14:paraId="596E3CCC" w14:textId="77777777" w:rsidR="00884B50" w:rsidRPr="00884B50" w:rsidRDefault="00884B50">
      <w:pPr>
        <w:pStyle w:val="ANormal"/>
        <w:rPr>
          <w:b/>
          <w:bCs/>
          <w:i/>
          <w:iCs/>
          <w:sz w:val="10"/>
          <w:szCs w:val="10"/>
        </w:rPr>
      </w:pPr>
    </w:p>
    <w:p w14:paraId="3534EFDD" w14:textId="64A4E982" w:rsidR="004074C0" w:rsidRPr="004E74C2" w:rsidRDefault="00837CDF">
      <w:pPr>
        <w:pStyle w:val="ANormal"/>
      </w:pPr>
      <w:r w:rsidRPr="004E74C2">
        <w:t xml:space="preserve">Enligt artikel 9c punkt 2 i ändringsdirektivet ska mätare som inte är fjärravläsbara men som redan installerats göras </w:t>
      </w:r>
      <w:r w:rsidR="00546A63" w:rsidRPr="004E74C2">
        <w:t xml:space="preserve">fjärravläsbara </w:t>
      </w:r>
      <w:r w:rsidRPr="004E74C2">
        <w:t xml:space="preserve">eller ersättas med fjärravläsbara anordningar senast den 1 januari 2027, om inte medlemsstaten i fråga visar att detta inte är kostnadseffektivt. I syfte att ytterligare främja </w:t>
      </w:r>
      <w:r w:rsidR="00E62A5B" w:rsidRPr="004E74C2">
        <w:t xml:space="preserve">energibesparing och energieffektivitet finns </w:t>
      </w:r>
      <w:r w:rsidR="006075C1">
        <w:t xml:space="preserve">det enligt utskottet </w:t>
      </w:r>
      <w:r w:rsidR="00E62A5B" w:rsidRPr="004E74C2">
        <w:t xml:space="preserve">skäl att </w:t>
      </w:r>
      <w:r w:rsidR="006075C1">
        <w:t xml:space="preserve">redan </w:t>
      </w:r>
      <w:r w:rsidR="00546A63" w:rsidRPr="004E74C2">
        <w:t xml:space="preserve">i ett tidigare skede </w:t>
      </w:r>
      <w:r w:rsidR="00E62A5B" w:rsidRPr="004E74C2">
        <w:t xml:space="preserve">överväga </w:t>
      </w:r>
      <w:r w:rsidR="00546A63" w:rsidRPr="004E74C2">
        <w:t xml:space="preserve">om det </w:t>
      </w:r>
      <w:r w:rsidR="006075C1">
        <w:t xml:space="preserve">är kostnadseffektivt </w:t>
      </w:r>
      <w:r w:rsidR="00546A63" w:rsidRPr="004E74C2">
        <w:t>möjligt och motiverat att redan installerade vattenmätare gör</w:t>
      </w:r>
      <w:r w:rsidR="000409A7" w:rsidRPr="004E74C2">
        <w:t>s</w:t>
      </w:r>
      <w:r w:rsidR="00546A63" w:rsidRPr="004E74C2">
        <w:t xml:space="preserve"> fjärravl</w:t>
      </w:r>
      <w:r w:rsidR="0044261C">
        <w:t>ä</w:t>
      </w:r>
      <w:r w:rsidR="00546A63" w:rsidRPr="004E74C2">
        <w:t>sningsbara och därmed möjliggör</w:t>
      </w:r>
      <w:r w:rsidR="006075C1">
        <w:t>a en</w:t>
      </w:r>
      <w:r w:rsidR="00546A63" w:rsidRPr="004E74C2">
        <w:t xml:space="preserve"> fakturering enligt den faktiskt uppmätta vattenförbrukningen.  </w:t>
      </w:r>
      <w:r w:rsidR="00E62A5B" w:rsidRPr="004E74C2">
        <w:t xml:space="preserve"> </w:t>
      </w:r>
      <w:r w:rsidRPr="004E74C2">
        <w:t xml:space="preserve"> </w:t>
      </w:r>
      <w:r w:rsidR="004074C0" w:rsidRPr="004E74C2">
        <w:tab/>
      </w:r>
    </w:p>
    <w:p w14:paraId="456E67A6" w14:textId="77777777" w:rsidR="002401D0" w:rsidRDefault="002401D0">
      <w:pPr>
        <w:pStyle w:val="RubrikA"/>
      </w:pPr>
      <w:bookmarkStart w:id="9" w:name="_Toc529800936"/>
      <w:bookmarkStart w:id="10" w:name="_Toc72755050"/>
      <w:r>
        <w:t>Ärendets behandling</w:t>
      </w:r>
      <w:bookmarkEnd w:id="9"/>
      <w:bookmarkEnd w:id="10"/>
    </w:p>
    <w:p w14:paraId="378B2718" w14:textId="77777777" w:rsidR="002401D0" w:rsidRDefault="002401D0">
      <w:pPr>
        <w:pStyle w:val="Rubrikmellanrum"/>
      </w:pPr>
    </w:p>
    <w:p w14:paraId="0C7924A5" w14:textId="6BE342BE" w:rsidR="00CD0FE1" w:rsidRDefault="00CD0FE1" w:rsidP="00CD0FE1">
      <w:pPr>
        <w:pStyle w:val="ANormal"/>
      </w:pPr>
      <w:r>
        <w:t xml:space="preserve">Lagtinget har den 2 juni 2021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1E7F8D55" w14:textId="751F43A2" w:rsidR="00CD0FE1" w:rsidRDefault="00CD0FE1" w:rsidP="00CD0FE1">
      <w:pPr>
        <w:pStyle w:val="ANormal"/>
      </w:pPr>
      <w:r>
        <w:tab/>
        <w:t>Utskottet har i ärendet hört</w:t>
      </w:r>
      <w:r w:rsidR="002B28F2">
        <w:t xml:space="preserve"> ministern Alfons Röblom, vikarierande byråchefen Gustav Blomberg, </w:t>
      </w:r>
      <w:proofErr w:type="spellStart"/>
      <w:r w:rsidR="002B28F2">
        <w:t>VD:n</w:t>
      </w:r>
      <w:proofErr w:type="spellEnd"/>
      <w:r w:rsidR="002B28F2">
        <w:t xml:space="preserve"> Jan Blomqvist från Fastighetsaktiebolaget </w:t>
      </w:r>
      <w:proofErr w:type="spellStart"/>
      <w:r w:rsidR="002B28F2">
        <w:t>Marstad</w:t>
      </w:r>
      <w:proofErr w:type="spellEnd"/>
      <w:r w:rsidR="002B28F2">
        <w:t xml:space="preserve">, styrelseordföranden Ralf </w:t>
      </w:r>
      <w:proofErr w:type="spellStart"/>
      <w:r w:rsidR="002B28F2">
        <w:t>Enholm</w:t>
      </w:r>
      <w:proofErr w:type="spellEnd"/>
      <w:r w:rsidR="002B28F2">
        <w:t xml:space="preserve"> från Algots Hus Ab, tekniska chefen Aron Lundström från Finströms kommun och lagberedaren Patrik </w:t>
      </w:r>
      <w:proofErr w:type="spellStart"/>
      <w:r w:rsidR="002B28F2">
        <w:t>Lönngren</w:t>
      </w:r>
      <w:proofErr w:type="spellEnd"/>
      <w:r w:rsidR="00884B50">
        <w:t>.</w:t>
      </w:r>
    </w:p>
    <w:p w14:paraId="1E5DC2FC" w14:textId="70C37E20" w:rsidR="00CD0FE1" w:rsidRPr="00CA0EA6" w:rsidRDefault="00CD0FE1" w:rsidP="00CD0FE1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="0044261C">
        <w:rPr>
          <w:color w:val="000000"/>
        </w:rPr>
        <w:t xml:space="preserve">, </w:t>
      </w:r>
      <w:r w:rsidRPr="00CA0EA6">
        <w:rPr>
          <w:color w:val="000000"/>
        </w:rPr>
        <w:t>ledamöterna</w:t>
      </w:r>
      <w:r>
        <w:rPr>
          <w:color w:val="000000"/>
        </w:rPr>
        <w:t xml:space="preserve"> 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 xml:space="preserve">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 w:rsidR="0044261C">
        <w:rPr>
          <w:color w:val="000000"/>
        </w:rPr>
        <w:t xml:space="preserve"> samt ersättaren Marcus </w:t>
      </w:r>
      <w:proofErr w:type="spellStart"/>
      <w:r w:rsidR="0044261C">
        <w:rPr>
          <w:color w:val="000000"/>
        </w:rPr>
        <w:t>Måtar</w:t>
      </w:r>
      <w:proofErr w:type="spellEnd"/>
      <w:r>
        <w:rPr>
          <w:color w:val="000000"/>
        </w:rPr>
        <w:t xml:space="preserve">. </w:t>
      </w:r>
    </w:p>
    <w:p w14:paraId="70678AC0" w14:textId="0E4BC960" w:rsidR="002401D0" w:rsidRDefault="002401D0">
      <w:pPr>
        <w:pStyle w:val="ANormal"/>
      </w:pPr>
    </w:p>
    <w:p w14:paraId="502902AB" w14:textId="77777777" w:rsidR="002401D0" w:rsidRDefault="002401D0">
      <w:pPr>
        <w:pStyle w:val="RubrikA"/>
      </w:pPr>
      <w:bookmarkStart w:id="11" w:name="_Toc529800937"/>
      <w:bookmarkStart w:id="12" w:name="_Toc72755051"/>
      <w:r>
        <w:t>Utskottets förslag</w:t>
      </w:r>
      <w:bookmarkEnd w:id="11"/>
      <w:bookmarkEnd w:id="12"/>
    </w:p>
    <w:p w14:paraId="5058445E" w14:textId="77777777" w:rsidR="002401D0" w:rsidRDefault="002401D0">
      <w:pPr>
        <w:pStyle w:val="Rubrikmellanrum"/>
      </w:pPr>
    </w:p>
    <w:p w14:paraId="6543B9B7" w14:textId="77777777" w:rsidR="002401D0" w:rsidRDefault="002401D0">
      <w:pPr>
        <w:pStyle w:val="ANormal"/>
      </w:pPr>
      <w:r>
        <w:t>Med hänvisning till det anförda föreslår utskottet</w:t>
      </w:r>
    </w:p>
    <w:p w14:paraId="72388D13" w14:textId="77777777" w:rsidR="002401D0" w:rsidRDefault="002401D0">
      <w:pPr>
        <w:pStyle w:val="ANormal"/>
      </w:pPr>
    </w:p>
    <w:p w14:paraId="7E890BCF" w14:textId="39F46950" w:rsidR="002401D0" w:rsidRDefault="002401D0">
      <w:pPr>
        <w:pStyle w:val="Klam"/>
      </w:pPr>
      <w:r>
        <w:t>att lagtinget</w:t>
      </w:r>
      <w:r w:rsidR="00CD0FE1">
        <w:t xml:space="preserve"> antar lagförslagen i </w:t>
      </w:r>
      <w:r w:rsidR="00B36480">
        <w:t xml:space="preserve">oförändrad </w:t>
      </w:r>
      <w:r w:rsidR="00CD0FE1">
        <w:t>lydelse</w:t>
      </w:r>
      <w:r w:rsidR="00B36480">
        <w:t>.</w:t>
      </w:r>
    </w:p>
    <w:p w14:paraId="63484E76" w14:textId="77777777" w:rsidR="00CD0FE1" w:rsidRPr="00CD0FE1" w:rsidRDefault="00CD0FE1" w:rsidP="00CD0FE1">
      <w:pPr>
        <w:pStyle w:val="ANormal"/>
      </w:pPr>
    </w:p>
    <w:p w14:paraId="7CBBBB20" w14:textId="77777777" w:rsidR="00CD0FE1" w:rsidRPr="006530FB" w:rsidRDefault="00CD0FE1" w:rsidP="00CD0FE1">
      <w:pPr>
        <w:pStyle w:val="ANormal"/>
      </w:pPr>
    </w:p>
    <w:p w14:paraId="5A84821A" w14:textId="77777777" w:rsidR="00CD0FE1" w:rsidRPr="00CD0FE1" w:rsidRDefault="00CD0FE1" w:rsidP="00CD0FE1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D46BF82" w14:textId="77777777">
        <w:trPr>
          <w:cantSplit/>
        </w:trPr>
        <w:tc>
          <w:tcPr>
            <w:tcW w:w="7931" w:type="dxa"/>
            <w:gridSpan w:val="2"/>
          </w:tcPr>
          <w:p w14:paraId="323102D7" w14:textId="3DBDC3D3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44261C">
              <w:t>21</w:t>
            </w:r>
            <w:r w:rsidR="00B36480">
              <w:t xml:space="preserve"> september </w:t>
            </w:r>
            <w:r w:rsidR="00CD0FE1">
              <w:t>2021</w:t>
            </w:r>
          </w:p>
        </w:tc>
      </w:tr>
      <w:tr w:rsidR="002401D0" w14:paraId="2F1D156E" w14:textId="77777777">
        <w:tc>
          <w:tcPr>
            <w:tcW w:w="4454" w:type="dxa"/>
            <w:vAlign w:val="bottom"/>
          </w:tcPr>
          <w:p w14:paraId="3E2DAA0E" w14:textId="77777777" w:rsidR="002401D0" w:rsidRDefault="002401D0">
            <w:pPr>
              <w:pStyle w:val="ANormal"/>
              <w:keepNext/>
            </w:pPr>
          </w:p>
          <w:p w14:paraId="78E1AE07" w14:textId="77777777" w:rsidR="002401D0" w:rsidRDefault="002401D0">
            <w:pPr>
              <w:pStyle w:val="ANormal"/>
              <w:keepNext/>
            </w:pPr>
          </w:p>
          <w:p w14:paraId="04DE45A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E23862A" w14:textId="77777777" w:rsidR="002401D0" w:rsidRDefault="002401D0">
            <w:pPr>
              <w:pStyle w:val="ANormal"/>
              <w:keepNext/>
            </w:pPr>
          </w:p>
          <w:p w14:paraId="13DED952" w14:textId="77777777" w:rsidR="002401D0" w:rsidRDefault="002401D0">
            <w:pPr>
              <w:pStyle w:val="ANormal"/>
              <w:keepNext/>
            </w:pPr>
          </w:p>
          <w:p w14:paraId="6743CD05" w14:textId="74021EC5" w:rsidR="002401D0" w:rsidRDefault="00CD0FE1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48A4DB8B" w14:textId="77777777">
        <w:tc>
          <w:tcPr>
            <w:tcW w:w="4454" w:type="dxa"/>
            <w:vAlign w:val="bottom"/>
          </w:tcPr>
          <w:p w14:paraId="09CBE3EC" w14:textId="77777777" w:rsidR="002401D0" w:rsidRDefault="002401D0">
            <w:pPr>
              <w:pStyle w:val="ANormal"/>
              <w:keepNext/>
            </w:pPr>
          </w:p>
          <w:p w14:paraId="6DF388BB" w14:textId="77777777" w:rsidR="002401D0" w:rsidRDefault="002401D0">
            <w:pPr>
              <w:pStyle w:val="ANormal"/>
              <w:keepNext/>
            </w:pPr>
          </w:p>
          <w:p w14:paraId="32D17063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27D14295" w14:textId="77777777" w:rsidR="002401D0" w:rsidRDefault="002401D0">
            <w:pPr>
              <w:pStyle w:val="ANormal"/>
              <w:keepNext/>
            </w:pPr>
          </w:p>
          <w:p w14:paraId="21F425F2" w14:textId="77777777" w:rsidR="002401D0" w:rsidRDefault="002401D0">
            <w:pPr>
              <w:pStyle w:val="ANormal"/>
              <w:keepNext/>
            </w:pPr>
          </w:p>
          <w:p w14:paraId="2E608A42" w14:textId="7E10B97E" w:rsidR="002401D0" w:rsidRDefault="00CD0FE1">
            <w:pPr>
              <w:pStyle w:val="ANormal"/>
              <w:keepNext/>
            </w:pPr>
            <w:r>
              <w:t>Carina Strand</w:t>
            </w:r>
          </w:p>
        </w:tc>
      </w:tr>
    </w:tbl>
    <w:p w14:paraId="77874DF7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B463" w14:textId="77777777" w:rsidR="00FD0FED" w:rsidRDefault="00FD0FED">
      <w:r>
        <w:separator/>
      </w:r>
    </w:p>
  </w:endnote>
  <w:endnote w:type="continuationSeparator" w:id="0">
    <w:p w14:paraId="395FA949" w14:textId="77777777" w:rsidR="00FD0FED" w:rsidRDefault="00F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211B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A98" w14:textId="15D9871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27E8">
      <w:rPr>
        <w:noProof/>
        <w:lang w:val="fi-FI"/>
      </w:rPr>
      <w:t>SMU1320202021.docx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FAB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2B4B" w14:textId="77777777" w:rsidR="00FD0FED" w:rsidRDefault="00FD0FED">
      <w:r>
        <w:separator/>
      </w:r>
    </w:p>
  </w:footnote>
  <w:footnote w:type="continuationSeparator" w:id="0">
    <w:p w14:paraId="25BCEADB" w14:textId="77777777" w:rsidR="00FD0FED" w:rsidRDefault="00FD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1EE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72118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3900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D"/>
    <w:rsid w:val="00015E9C"/>
    <w:rsid w:val="000409A7"/>
    <w:rsid w:val="00051556"/>
    <w:rsid w:val="000B2DC9"/>
    <w:rsid w:val="000D6353"/>
    <w:rsid w:val="000F7417"/>
    <w:rsid w:val="00122259"/>
    <w:rsid w:val="0015337C"/>
    <w:rsid w:val="0018227D"/>
    <w:rsid w:val="001B05B4"/>
    <w:rsid w:val="001C2050"/>
    <w:rsid w:val="001D60AE"/>
    <w:rsid w:val="001D7201"/>
    <w:rsid w:val="001F0EE2"/>
    <w:rsid w:val="00205DBC"/>
    <w:rsid w:val="002401D0"/>
    <w:rsid w:val="00261F68"/>
    <w:rsid w:val="00263ECC"/>
    <w:rsid w:val="002B28F2"/>
    <w:rsid w:val="002D56A3"/>
    <w:rsid w:val="00307B6A"/>
    <w:rsid w:val="00310E03"/>
    <w:rsid w:val="0036359C"/>
    <w:rsid w:val="003B27E8"/>
    <w:rsid w:val="003B311E"/>
    <w:rsid w:val="003E6E59"/>
    <w:rsid w:val="004074C0"/>
    <w:rsid w:val="0044261C"/>
    <w:rsid w:val="0045061B"/>
    <w:rsid w:val="00456C2B"/>
    <w:rsid w:val="004C7F4D"/>
    <w:rsid w:val="004D1B8B"/>
    <w:rsid w:val="004E74C2"/>
    <w:rsid w:val="0051504D"/>
    <w:rsid w:val="00515586"/>
    <w:rsid w:val="00546A63"/>
    <w:rsid w:val="006075C1"/>
    <w:rsid w:val="00622274"/>
    <w:rsid w:val="00642194"/>
    <w:rsid w:val="00645F94"/>
    <w:rsid w:val="00685C48"/>
    <w:rsid w:val="006B07C4"/>
    <w:rsid w:val="006B2E9E"/>
    <w:rsid w:val="00705352"/>
    <w:rsid w:val="00706ABD"/>
    <w:rsid w:val="00723B93"/>
    <w:rsid w:val="00727498"/>
    <w:rsid w:val="0077451F"/>
    <w:rsid w:val="007C2196"/>
    <w:rsid w:val="007C46AF"/>
    <w:rsid w:val="00800DEF"/>
    <w:rsid w:val="00810952"/>
    <w:rsid w:val="00811D50"/>
    <w:rsid w:val="0081355D"/>
    <w:rsid w:val="00817B04"/>
    <w:rsid w:val="00837116"/>
    <w:rsid w:val="00837A33"/>
    <w:rsid w:val="00837CDF"/>
    <w:rsid w:val="00840685"/>
    <w:rsid w:val="00856F99"/>
    <w:rsid w:val="00861B1A"/>
    <w:rsid w:val="00884B50"/>
    <w:rsid w:val="008B13F4"/>
    <w:rsid w:val="009138D5"/>
    <w:rsid w:val="00941DD2"/>
    <w:rsid w:val="00957C36"/>
    <w:rsid w:val="009C5541"/>
    <w:rsid w:val="009D73B2"/>
    <w:rsid w:val="009F7CE2"/>
    <w:rsid w:val="00AC18EF"/>
    <w:rsid w:val="00B00D8A"/>
    <w:rsid w:val="00B32E91"/>
    <w:rsid w:val="00B36480"/>
    <w:rsid w:val="00B36A8F"/>
    <w:rsid w:val="00B4194C"/>
    <w:rsid w:val="00B603E0"/>
    <w:rsid w:val="00B66C1A"/>
    <w:rsid w:val="00B90DEC"/>
    <w:rsid w:val="00C81DB1"/>
    <w:rsid w:val="00CA41E3"/>
    <w:rsid w:val="00CB087E"/>
    <w:rsid w:val="00CC7BBB"/>
    <w:rsid w:val="00CD0FE1"/>
    <w:rsid w:val="00CF5EB9"/>
    <w:rsid w:val="00CF700E"/>
    <w:rsid w:val="00D242C2"/>
    <w:rsid w:val="00D7177F"/>
    <w:rsid w:val="00DC45B2"/>
    <w:rsid w:val="00DF7547"/>
    <w:rsid w:val="00E24D62"/>
    <w:rsid w:val="00E337BD"/>
    <w:rsid w:val="00E47725"/>
    <w:rsid w:val="00E62A5B"/>
    <w:rsid w:val="00E83131"/>
    <w:rsid w:val="00E96FB7"/>
    <w:rsid w:val="00EE6FB8"/>
    <w:rsid w:val="00F05DA4"/>
    <w:rsid w:val="00F845AE"/>
    <w:rsid w:val="00FD0FED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4F3F"/>
  <w15:chartTrackingRefBased/>
  <w15:docId w15:val="{233B5B15-0928-474F-99BA-9B115E95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FE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CD0FE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697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x/2020-2021</vt:lpstr>
    </vt:vector>
  </TitlesOfParts>
  <Company>Ålands lagting</Company>
  <LinksUpToDate>false</LinksUpToDate>
  <CharactersWithSpaces>6121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13/2020-2021</dc:title>
  <dc:subject/>
  <dc:creator>Jessica Laaksonen</dc:creator>
  <cp:keywords/>
  <cp:lastModifiedBy>Jessica Laaksonen</cp:lastModifiedBy>
  <cp:revision>2</cp:revision>
  <cp:lastPrinted>2021-09-21T10:31:00Z</cp:lastPrinted>
  <dcterms:created xsi:type="dcterms:W3CDTF">2021-09-21T10:31:00Z</dcterms:created>
  <dcterms:modified xsi:type="dcterms:W3CDTF">2021-09-21T10:31:00Z</dcterms:modified>
</cp:coreProperties>
</file>