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39AB775" w14:textId="77777777" w:rsidTr="00DA70F5">
        <w:trPr>
          <w:cantSplit/>
          <w:trHeight w:val="20"/>
        </w:trPr>
        <w:tc>
          <w:tcPr>
            <w:tcW w:w="859" w:type="dxa"/>
            <w:vMerge w:val="restart"/>
          </w:tcPr>
          <w:p w14:paraId="5C0CD82F" w14:textId="7898C740" w:rsidR="00AF3004" w:rsidRDefault="00AA42C2">
            <w:pPr>
              <w:pStyle w:val="xLedtext"/>
              <w:keepNext/>
              <w:rPr>
                <w:noProof/>
              </w:rPr>
            </w:pPr>
            <w:r>
              <w:rPr>
                <w:noProof/>
                <w:sz w:val="20"/>
              </w:rPr>
              <w:drawing>
                <wp:anchor distT="0" distB="0" distL="114300" distR="114300" simplePos="0" relativeHeight="251657728" behindDoc="0" locked="0" layoutInCell="1" allowOverlap="1" wp14:anchorId="6F0A6FA8" wp14:editId="1E4CD4FC">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04">
              <w:rPr>
                <w:noProof/>
              </w:rPr>
              <w:t>1doftheWorld</w:t>
            </w:r>
          </w:p>
        </w:tc>
        <w:tc>
          <w:tcPr>
            <w:tcW w:w="8722" w:type="dxa"/>
            <w:gridSpan w:val="3"/>
            <w:vAlign w:val="bottom"/>
          </w:tcPr>
          <w:p w14:paraId="73CE7CE8" w14:textId="14A5CB1B" w:rsidR="00AF3004" w:rsidRDefault="00AA42C2">
            <w:pPr>
              <w:pStyle w:val="xMellanrum"/>
            </w:pPr>
            <w:r>
              <w:rPr>
                <w:noProof/>
              </w:rPr>
              <w:drawing>
                <wp:inline distT="0" distB="0" distL="0" distR="0" wp14:anchorId="7E6A7D28" wp14:editId="7408E77E">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68DBAE3" w14:textId="77777777" w:rsidTr="00DA70F5">
        <w:trPr>
          <w:cantSplit/>
          <w:trHeight w:val="299"/>
        </w:trPr>
        <w:tc>
          <w:tcPr>
            <w:tcW w:w="859" w:type="dxa"/>
            <w:vMerge/>
          </w:tcPr>
          <w:p w14:paraId="717CE1FC" w14:textId="77777777" w:rsidR="00AF3004" w:rsidRDefault="00AF3004">
            <w:pPr>
              <w:pStyle w:val="xLedtext"/>
            </w:pPr>
          </w:p>
        </w:tc>
        <w:tc>
          <w:tcPr>
            <w:tcW w:w="4441" w:type="dxa"/>
            <w:vAlign w:val="bottom"/>
          </w:tcPr>
          <w:p w14:paraId="5EF6829F" w14:textId="77777777" w:rsidR="00AF3004" w:rsidRDefault="00AF3004">
            <w:pPr>
              <w:pStyle w:val="xAvsandare1"/>
            </w:pPr>
          </w:p>
        </w:tc>
        <w:tc>
          <w:tcPr>
            <w:tcW w:w="4281" w:type="dxa"/>
            <w:gridSpan w:val="2"/>
            <w:vAlign w:val="bottom"/>
          </w:tcPr>
          <w:p w14:paraId="31FDF431" w14:textId="1711D91D" w:rsidR="00AF3004" w:rsidRDefault="00AA42C2">
            <w:pPr>
              <w:pStyle w:val="xDokTypNr"/>
            </w:pPr>
            <w:r>
              <w:t>LAGFÖRSLAG</w:t>
            </w:r>
            <w:r w:rsidR="00AF3004">
              <w:t xml:space="preserve"> nr </w:t>
            </w:r>
            <w:r w:rsidR="00C8370B">
              <w:t>15</w:t>
            </w:r>
            <w:r w:rsidR="00AF3004">
              <w:t>/20</w:t>
            </w:r>
            <w:r>
              <w:t>2</w:t>
            </w:r>
            <w:r w:rsidR="00AF3004">
              <w:t>0</w:t>
            </w:r>
            <w:r w:rsidR="00A83942">
              <w:t>–</w:t>
            </w:r>
            <w:r w:rsidR="00AF3004">
              <w:t>20</w:t>
            </w:r>
            <w:r>
              <w:t>21</w:t>
            </w:r>
          </w:p>
        </w:tc>
      </w:tr>
      <w:tr w:rsidR="00AF3004" w14:paraId="2DB83070" w14:textId="77777777" w:rsidTr="00DA70F5">
        <w:trPr>
          <w:cantSplit/>
          <w:trHeight w:val="238"/>
        </w:trPr>
        <w:tc>
          <w:tcPr>
            <w:tcW w:w="859" w:type="dxa"/>
            <w:vMerge/>
          </w:tcPr>
          <w:p w14:paraId="3647946C" w14:textId="77777777" w:rsidR="00AF3004" w:rsidRDefault="00AF3004">
            <w:pPr>
              <w:pStyle w:val="xLedtext"/>
            </w:pPr>
          </w:p>
        </w:tc>
        <w:tc>
          <w:tcPr>
            <w:tcW w:w="4441" w:type="dxa"/>
            <w:vAlign w:val="bottom"/>
          </w:tcPr>
          <w:p w14:paraId="7315B3BF" w14:textId="77777777" w:rsidR="00AF3004" w:rsidRDefault="00AF3004">
            <w:pPr>
              <w:pStyle w:val="xLedtext"/>
            </w:pPr>
          </w:p>
        </w:tc>
        <w:tc>
          <w:tcPr>
            <w:tcW w:w="1722" w:type="dxa"/>
            <w:vAlign w:val="bottom"/>
          </w:tcPr>
          <w:p w14:paraId="229D8F4A" w14:textId="77777777" w:rsidR="00AF3004" w:rsidRDefault="00AF3004">
            <w:pPr>
              <w:pStyle w:val="xLedtext"/>
              <w:rPr>
                <w:lang w:val="de-DE"/>
              </w:rPr>
            </w:pPr>
            <w:r>
              <w:rPr>
                <w:lang w:val="de-DE"/>
              </w:rPr>
              <w:t>Datum</w:t>
            </w:r>
          </w:p>
        </w:tc>
        <w:tc>
          <w:tcPr>
            <w:tcW w:w="2559" w:type="dxa"/>
            <w:vAlign w:val="bottom"/>
          </w:tcPr>
          <w:p w14:paraId="118EC8C0" w14:textId="77777777" w:rsidR="00AF3004" w:rsidRDefault="00AF3004">
            <w:pPr>
              <w:pStyle w:val="xLedtext"/>
              <w:rPr>
                <w:lang w:val="de-DE"/>
              </w:rPr>
            </w:pPr>
          </w:p>
        </w:tc>
      </w:tr>
      <w:tr w:rsidR="00AF3004" w14:paraId="21BC5DB6" w14:textId="77777777" w:rsidTr="00DA70F5">
        <w:trPr>
          <w:cantSplit/>
          <w:trHeight w:val="238"/>
        </w:trPr>
        <w:tc>
          <w:tcPr>
            <w:tcW w:w="859" w:type="dxa"/>
            <w:vMerge/>
          </w:tcPr>
          <w:p w14:paraId="0E27057E" w14:textId="77777777" w:rsidR="00AF3004" w:rsidRDefault="00AF3004">
            <w:pPr>
              <w:pStyle w:val="xAvsandare2"/>
              <w:rPr>
                <w:lang w:val="de-DE"/>
              </w:rPr>
            </w:pPr>
          </w:p>
        </w:tc>
        <w:tc>
          <w:tcPr>
            <w:tcW w:w="4441" w:type="dxa"/>
            <w:vAlign w:val="center"/>
          </w:tcPr>
          <w:p w14:paraId="0A0A6D39" w14:textId="77777777" w:rsidR="00AF3004" w:rsidRDefault="00AF3004">
            <w:pPr>
              <w:pStyle w:val="xAvsandare2"/>
              <w:rPr>
                <w:lang w:val="de-DE"/>
              </w:rPr>
            </w:pPr>
          </w:p>
        </w:tc>
        <w:tc>
          <w:tcPr>
            <w:tcW w:w="1722" w:type="dxa"/>
            <w:vAlign w:val="center"/>
          </w:tcPr>
          <w:p w14:paraId="4D0CCAE5" w14:textId="630983C7" w:rsidR="00AF3004" w:rsidRDefault="00AF3004">
            <w:pPr>
              <w:pStyle w:val="xDatum1"/>
              <w:rPr>
                <w:lang w:val="de-DE"/>
              </w:rPr>
            </w:pPr>
            <w:r>
              <w:rPr>
                <w:lang w:val="de-DE"/>
              </w:rPr>
              <w:t>20</w:t>
            </w:r>
            <w:r w:rsidR="00394271">
              <w:rPr>
                <w:lang w:val="de-DE"/>
              </w:rPr>
              <w:t>21</w:t>
            </w:r>
            <w:r>
              <w:rPr>
                <w:lang w:val="de-DE"/>
              </w:rPr>
              <w:t>-</w:t>
            </w:r>
            <w:r w:rsidR="00C8370B">
              <w:rPr>
                <w:lang w:val="de-DE"/>
              </w:rPr>
              <w:t>03</w:t>
            </w:r>
            <w:r>
              <w:rPr>
                <w:lang w:val="de-DE"/>
              </w:rPr>
              <w:t>-</w:t>
            </w:r>
            <w:r w:rsidR="00C8370B">
              <w:rPr>
                <w:lang w:val="de-DE"/>
              </w:rPr>
              <w:t>04</w:t>
            </w:r>
          </w:p>
        </w:tc>
        <w:tc>
          <w:tcPr>
            <w:tcW w:w="2559" w:type="dxa"/>
            <w:vAlign w:val="center"/>
          </w:tcPr>
          <w:p w14:paraId="7ED08CF4" w14:textId="77777777" w:rsidR="00AF3004" w:rsidRDefault="00AF3004">
            <w:pPr>
              <w:pStyle w:val="xBeteckning1"/>
              <w:rPr>
                <w:lang w:val="de-DE"/>
              </w:rPr>
            </w:pPr>
          </w:p>
        </w:tc>
      </w:tr>
      <w:tr w:rsidR="00AF3004" w14:paraId="317B653E" w14:textId="77777777" w:rsidTr="00DA70F5">
        <w:trPr>
          <w:cantSplit/>
          <w:trHeight w:val="238"/>
        </w:trPr>
        <w:tc>
          <w:tcPr>
            <w:tcW w:w="859" w:type="dxa"/>
            <w:vMerge/>
          </w:tcPr>
          <w:p w14:paraId="5263C657" w14:textId="77777777" w:rsidR="00AF3004" w:rsidRDefault="00AF3004">
            <w:pPr>
              <w:pStyle w:val="xLedtext"/>
              <w:rPr>
                <w:lang w:val="de-DE"/>
              </w:rPr>
            </w:pPr>
          </w:p>
        </w:tc>
        <w:tc>
          <w:tcPr>
            <w:tcW w:w="4441" w:type="dxa"/>
            <w:vAlign w:val="bottom"/>
          </w:tcPr>
          <w:p w14:paraId="58BCCC6C" w14:textId="77777777" w:rsidR="00AF3004" w:rsidRDefault="00AF3004">
            <w:pPr>
              <w:pStyle w:val="xLedtext"/>
              <w:rPr>
                <w:lang w:val="de-DE"/>
              </w:rPr>
            </w:pPr>
          </w:p>
        </w:tc>
        <w:tc>
          <w:tcPr>
            <w:tcW w:w="1722" w:type="dxa"/>
            <w:vAlign w:val="bottom"/>
          </w:tcPr>
          <w:p w14:paraId="5DFB3CC0" w14:textId="77777777" w:rsidR="00AF3004" w:rsidRDefault="00AF3004">
            <w:pPr>
              <w:pStyle w:val="xLedtext"/>
              <w:rPr>
                <w:lang w:val="de-DE"/>
              </w:rPr>
            </w:pPr>
          </w:p>
        </w:tc>
        <w:tc>
          <w:tcPr>
            <w:tcW w:w="2559" w:type="dxa"/>
            <w:vAlign w:val="bottom"/>
          </w:tcPr>
          <w:p w14:paraId="0A5672B6" w14:textId="77777777" w:rsidR="00AF3004" w:rsidRDefault="00AF3004">
            <w:pPr>
              <w:pStyle w:val="xLedtext"/>
              <w:rPr>
                <w:lang w:val="de-DE"/>
              </w:rPr>
            </w:pPr>
          </w:p>
        </w:tc>
      </w:tr>
      <w:tr w:rsidR="00AF3004" w14:paraId="4BD488AA" w14:textId="77777777" w:rsidTr="00DA70F5">
        <w:trPr>
          <w:cantSplit/>
          <w:trHeight w:val="238"/>
        </w:trPr>
        <w:tc>
          <w:tcPr>
            <w:tcW w:w="859" w:type="dxa"/>
            <w:vMerge/>
            <w:tcBorders>
              <w:bottom w:val="single" w:sz="4" w:space="0" w:color="auto"/>
            </w:tcBorders>
          </w:tcPr>
          <w:p w14:paraId="65E7CD0B" w14:textId="77777777" w:rsidR="00AF3004" w:rsidRDefault="00AF3004">
            <w:pPr>
              <w:pStyle w:val="xAvsandare3"/>
              <w:rPr>
                <w:lang w:val="de-DE"/>
              </w:rPr>
            </w:pPr>
          </w:p>
        </w:tc>
        <w:tc>
          <w:tcPr>
            <w:tcW w:w="4441" w:type="dxa"/>
            <w:tcBorders>
              <w:bottom w:val="single" w:sz="4" w:space="0" w:color="auto"/>
            </w:tcBorders>
            <w:vAlign w:val="center"/>
          </w:tcPr>
          <w:p w14:paraId="08B210D1" w14:textId="77777777" w:rsidR="00AF3004" w:rsidRDefault="00AF3004">
            <w:pPr>
              <w:pStyle w:val="xAvsandare3"/>
              <w:rPr>
                <w:lang w:val="de-DE"/>
              </w:rPr>
            </w:pPr>
          </w:p>
        </w:tc>
        <w:tc>
          <w:tcPr>
            <w:tcW w:w="1722" w:type="dxa"/>
            <w:tcBorders>
              <w:bottom w:val="single" w:sz="4" w:space="0" w:color="auto"/>
            </w:tcBorders>
            <w:vAlign w:val="center"/>
          </w:tcPr>
          <w:p w14:paraId="323BD208" w14:textId="77777777" w:rsidR="00AF3004" w:rsidRDefault="00AF3004">
            <w:pPr>
              <w:pStyle w:val="xDatum2"/>
              <w:rPr>
                <w:lang w:val="de-DE"/>
              </w:rPr>
            </w:pPr>
          </w:p>
        </w:tc>
        <w:tc>
          <w:tcPr>
            <w:tcW w:w="2559" w:type="dxa"/>
            <w:tcBorders>
              <w:bottom w:val="single" w:sz="4" w:space="0" w:color="auto"/>
            </w:tcBorders>
            <w:vAlign w:val="center"/>
          </w:tcPr>
          <w:p w14:paraId="3BF547E9" w14:textId="77777777" w:rsidR="00AF3004" w:rsidRDefault="00AF3004">
            <w:pPr>
              <w:pStyle w:val="xBeteckning2"/>
              <w:rPr>
                <w:lang w:val="de-DE"/>
              </w:rPr>
            </w:pPr>
          </w:p>
        </w:tc>
      </w:tr>
      <w:tr w:rsidR="00AF3004" w14:paraId="00EBC85C" w14:textId="77777777" w:rsidTr="00DA70F5">
        <w:trPr>
          <w:cantSplit/>
          <w:trHeight w:val="238"/>
        </w:trPr>
        <w:tc>
          <w:tcPr>
            <w:tcW w:w="859" w:type="dxa"/>
            <w:tcBorders>
              <w:top w:val="single" w:sz="4" w:space="0" w:color="auto"/>
            </w:tcBorders>
            <w:vAlign w:val="bottom"/>
          </w:tcPr>
          <w:p w14:paraId="338BC57D" w14:textId="77777777" w:rsidR="00AF3004" w:rsidRDefault="00AF3004">
            <w:pPr>
              <w:pStyle w:val="xLedtext"/>
              <w:rPr>
                <w:lang w:val="de-DE"/>
              </w:rPr>
            </w:pPr>
          </w:p>
        </w:tc>
        <w:tc>
          <w:tcPr>
            <w:tcW w:w="4441" w:type="dxa"/>
            <w:tcBorders>
              <w:top w:val="single" w:sz="4" w:space="0" w:color="auto"/>
            </w:tcBorders>
            <w:vAlign w:val="bottom"/>
          </w:tcPr>
          <w:p w14:paraId="14241D30" w14:textId="77777777" w:rsidR="00AF3004" w:rsidRDefault="00AF3004">
            <w:pPr>
              <w:pStyle w:val="xLedtext"/>
              <w:rPr>
                <w:lang w:val="de-DE"/>
              </w:rPr>
            </w:pPr>
          </w:p>
        </w:tc>
        <w:tc>
          <w:tcPr>
            <w:tcW w:w="4281" w:type="dxa"/>
            <w:gridSpan w:val="2"/>
            <w:tcBorders>
              <w:top w:val="single" w:sz="4" w:space="0" w:color="auto"/>
            </w:tcBorders>
            <w:vAlign w:val="bottom"/>
          </w:tcPr>
          <w:p w14:paraId="48806692" w14:textId="77777777" w:rsidR="00AF3004" w:rsidRDefault="00AF3004">
            <w:pPr>
              <w:pStyle w:val="xLedtext"/>
              <w:rPr>
                <w:lang w:val="de-DE"/>
              </w:rPr>
            </w:pPr>
          </w:p>
        </w:tc>
      </w:tr>
      <w:tr w:rsidR="00DA70F5" w14:paraId="369A9DE4" w14:textId="77777777" w:rsidTr="00DA70F5">
        <w:trPr>
          <w:cantSplit/>
          <w:trHeight w:val="238"/>
        </w:trPr>
        <w:tc>
          <w:tcPr>
            <w:tcW w:w="859" w:type="dxa"/>
          </w:tcPr>
          <w:p w14:paraId="70721250" w14:textId="77777777" w:rsidR="00DA70F5" w:rsidRDefault="00DA70F5" w:rsidP="00DA70F5">
            <w:pPr>
              <w:pStyle w:val="xCelltext"/>
              <w:rPr>
                <w:lang w:val="de-DE"/>
              </w:rPr>
            </w:pPr>
          </w:p>
        </w:tc>
        <w:tc>
          <w:tcPr>
            <w:tcW w:w="4441" w:type="dxa"/>
            <w:vMerge w:val="restart"/>
          </w:tcPr>
          <w:p w14:paraId="63357D4C" w14:textId="77777777" w:rsidR="00DA70F5" w:rsidRDefault="00DA70F5" w:rsidP="00DA70F5">
            <w:pPr>
              <w:pStyle w:val="xMottagare1"/>
            </w:pPr>
            <w:bookmarkStart w:id="0" w:name="_top"/>
            <w:bookmarkEnd w:id="0"/>
            <w:r>
              <w:t>Till Ålands lagting</w:t>
            </w:r>
          </w:p>
        </w:tc>
        <w:tc>
          <w:tcPr>
            <w:tcW w:w="4281" w:type="dxa"/>
            <w:gridSpan w:val="2"/>
            <w:vMerge w:val="restart"/>
          </w:tcPr>
          <w:p w14:paraId="1614CA1E" w14:textId="4EDC8AF6" w:rsidR="00DA70F5" w:rsidRDefault="00DA70F5" w:rsidP="00DA70F5">
            <w:pPr>
              <w:pStyle w:val="xMottagare1"/>
              <w:tabs>
                <w:tab w:val="left" w:pos="2349"/>
              </w:tabs>
              <w:jc w:val="right"/>
            </w:pPr>
          </w:p>
        </w:tc>
      </w:tr>
      <w:tr w:rsidR="00DA70F5" w14:paraId="6C04E8EF" w14:textId="77777777" w:rsidTr="00DA70F5">
        <w:trPr>
          <w:cantSplit/>
          <w:trHeight w:val="238"/>
        </w:trPr>
        <w:tc>
          <w:tcPr>
            <w:tcW w:w="859" w:type="dxa"/>
          </w:tcPr>
          <w:p w14:paraId="64A8081F" w14:textId="77777777" w:rsidR="00DA70F5" w:rsidRDefault="00DA70F5" w:rsidP="00DA70F5">
            <w:pPr>
              <w:pStyle w:val="xCelltext"/>
            </w:pPr>
          </w:p>
        </w:tc>
        <w:tc>
          <w:tcPr>
            <w:tcW w:w="4441" w:type="dxa"/>
            <w:vMerge/>
            <w:vAlign w:val="center"/>
          </w:tcPr>
          <w:p w14:paraId="1D4C745E" w14:textId="77777777" w:rsidR="00DA70F5" w:rsidRDefault="00DA70F5" w:rsidP="00DA70F5">
            <w:pPr>
              <w:pStyle w:val="xCelltext"/>
            </w:pPr>
          </w:p>
        </w:tc>
        <w:tc>
          <w:tcPr>
            <w:tcW w:w="4281" w:type="dxa"/>
            <w:gridSpan w:val="2"/>
            <w:vMerge/>
            <w:vAlign w:val="center"/>
          </w:tcPr>
          <w:p w14:paraId="1918EB3B" w14:textId="77777777" w:rsidR="00DA70F5" w:rsidRDefault="00DA70F5" w:rsidP="00DA70F5">
            <w:pPr>
              <w:pStyle w:val="xCelltext"/>
            </w:pPr>
          </w:p>
        </w:tc>
      </w:tr>
      <w:tr w:rsidR="00DA70F5" w14:paraId="6C2F7F03" w14:textId="77777777" w:rsidTr="00DA70F5">
        <w:trPr>
          <w:cantSplit/>
          <w:trHeight w:val="238"/>
        </w:trPr>
        <w:tc>
          <w:tcPr>
            <w:tcW w:w="859" w:type="dxa"/>
          </w:tcPr>
          <w:p w14:paraId="13690300" w14:textId="77777777" w:rsidR="00DA70F5" w:rsidRDefault="00DA70F5" w:rsidP="00DA70F5">
            <w:pPr>
              <w:pStyle w:val="xCelltext"/>
            </w:pPr>
          </w:p>
        </w:tc>
        <w:tc>
          <w:tcPr>
            <w:tcW w:w="4441" w:type="dxa"/>
            <w:vMerge/>
            <w:vAlign w:val="center"/>
          </w:tcPr>
          <w:p w14:paraId="3EA4D950" w14:textId="77777777" w:rsidR="00DA70F5" w:rsidRDefault="00DA70F5" w:rsidP="00DA70F5">
            <w:pPr>
              <w:pStyle w:val="xCelltext"/>
            </w:pPr>
          </w:p>
        </w:tc>
        <w:tc>
          <w:tcPr>
            <w:tcW w:w="4281" w:type="dxa"/>
            <w:gridSpan w:val="2"/>
            <w:vMerge/>
            <w:vAlign w:val="center"/>
          </w:tcPr>
          <w:p w14:paraId="5531A262" w14:textId="77777777" w:rsidR="00DA70F5" w:rsidRDefault="00DA70F5" w:rsidP="00DA70F5">
            <w:pPr>
              <w:pStyle w:val="xCelltext"/>
            </w:pPr>
          </w:p>
        </w:tc>
      </w:tr>
      <w:tr w:rsidR="00DA70F5" w14:paraId="266C4065" w14:textId="77777777" w:rsidTr="00DA70F5">
        <w:trPr>
          <w:cantSplit/>
          <w:trHeight w:val="238"/>
        </w:trPr>
        <w:tc>
          <w:tcPr>
            <w:tcW w:w="859" w:type="dxa"/>
          </w:tcPr>
          <w:p w14:paraId="75288821" w14:textId="77777777" w:rsidR="00DA70F5" w:rsidRDefault="00DA70F5" w:rsidP="00DA70F5">
            <w:pPr>
              <w:pStyle w:val="xCelltext"/>
            </w:pPr>
          </w:p>
        </w:tc>
        <w:tc>
          <w:tcPr>
            <w:tcW w:w="4441" w:type="dxa"/>
            <w:vMerge/>
            <w:vAlign w:val="center"/>
          </w:tcPr>
          <w:p w14:paraId="2EFB4583" w14:textId="77777777" w:rsidR="00DA70F5" w:rsidRDefault="00DA70F5" w:rsidP="00DA70F5">
            <w:pPr>
              <w:pStyle w:val="xCelltext"/>
            </w:pPr>
          </w:p>
        </w:tc>
        <w:tc>
          <w:tcPr>
            <w:tcW w:w="4281" w:type="dxa"/>
            <w:gridSpan w:val="2"/>
            <w:vMerge/>
            <w:vAlign w:val="center"/>
          </w:tcPr>
          <w:p w14:paraId="78A67F3D" w14:textId="77777777" w:rsidR="00DA70F5" w:rsidRDefault="00DA70F5" w:rsidP="00DA70F5">
            <w:pPr>
              <w:pStyle w:val="xCelltext"/>
            </w:pPr>
          </w:p>
        </w:tc>
      </w:tr>
      <w:tr w:rsidR="00DA70F5" w14:paraId="7FBB5FC9" w14:textId="77777777" w:rsidTr="00DA70F5">
        <w:trPr>
          <w:cantSplit/>
          <w:trHeight w:val="238"/>
        </w:trPr>
        <w:tc>
          <w:tcPr>
            <w:tcW w:w="859" w:type="dxa"/>
          </w:tcPr>
          <w:p w14:paraId="21EF38A3" w14:textId="77777777" w:rsidR="00DA70F5" w:rsidRDefault="00DA70F5" w:rsidP="00DA70F5">
            <w:pPr>
              <w:pStyle w:val="xCelltext"/>
            </w:pPr>
          </w:p>
        </w:tc>
        <w:tc>
          <w:tcPr>
            <w:tcW w:w="4441" w:type="dxa"/>
            <w:vMerge/>
            <w:vAlign w:val="center"/>
          </w:tcPr>
          <w:p w14:paraId="715C85CD" w14:textId="77777777" w:rsidR="00DA70F5" w:rsidRDefault="00DA70F5" w:rsidP="00DA70F5">
            <w:pPr>
              <w:pStyle w:val="xCelltext"/>
            </w:pPr>
          </w:p>
        </w:tc>
        <w:tc>
          <w:tcPr>
            <w:tcW w:w="4281" w:type="dxa"/>
            <w:gridSpan w:val="2"/>
            <w:vMerge/>
            <w:vAlign w:val="center"/>
          </w:tcPr>
          <w:p w14:paraId="0585F958" w14:textId="77777777" w:rsidR="00DA70F5" w:rsidRDefault="00DA70F5" w:rsidP="00DA70F5">
            <w:pPr>
              <w:pStyle w:val="xCelltext"/>
            </w:pPr>
          </w:p>
        </w:tc>
      </w:tr>
    </w:tbl>
    <w:p w14:paraId="52569269"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5E3BB1AA" w14:textId="36478BEC" w:rsidR="00AF3004" w:rsidRDefault="00A83942">
      <w:pPr>
        <w:pStyle w:val="ArendeRubrik"/>
      </w:pPr>
      <w:r>
        <w:t xml:space="preserve">Ändringar i </w:t>
      </w:r>
      <w:r w:rsidR="00F55C7B">
        <w:t>samfund</w:t>
      </w:r>
      <w:r>
        <w:t>sbeskattningen</w:t>
      </w:r>
    </w:p>
    <w:p w14:paraId="331BB9B3" w14:textId="77777777" w:rsidR="00AF3004" w:rsidRDefault="00AF3004">
      <w:pPr>
        <w:pStyle w:val="ANormal"/>
      </w:pPr>
    </w:p>
    <w:p w14:paraId="49AFD3EE" w14:textId="77777777" w:rsidR="00AF3004" w:rsidRDefault="00AF3004">
      <w:pPr>
        <w:pStyle w:val="ANormal"/>
      </w:pPr>
    </w:p>
    <w:p w14:paraId="79622B5F" w14:textId="77777777" w:rsidR="00AF3004" w:rsidRDefault="00AF3004">
      <w:pPr>
        <w:pStyle w:val="RubrikA"/>
      </w:pPr>
      <w:bookmarkStart w:id="1" w:name="_Toc65663757"/>
      <w:r>
        <w:t>Huvudsakligt innehåll</w:t>
      </w:r>
      <w:bookmarkEnd w:id="1"/>
    </w:p>
    <w:p w14:paraId="4626DA84" w14:textId="77777777" w:rsidR="00AF3004" w:rsidRDefault="00AF3004">
      <w:pPr>
        <w:pStyle w:val="Rubrikmellanrum"/>
      </w:pPr>
    </w:p>
    <w:p w14:paraId="58AA3A54" w14:textId="06E114D2" w:rsidR="00F55C7B" w:rsidRDefault="00F55C7B" w:rsidP="00F55C7B">
      <w:pPr>
        <w:pStyle w:val="ANormal"/>
      </w:pPr>
      <w:r>
        <w:t xml:space="preserve">Landskapsregeringen föreslår att kommunalskattesatserna för samfund och samfällda förmåner höjs från och med skatteåret 2021. En del av höjningen är temporär och </w:t>
      </w:r>
      <w:r w:rsidR="00923894">
        <w:t>avsedd att</w:t>
      </w:r>
      <w:r>
        <w:t xml:space="preserve"> gälla skatteåren 2021–2025. Höjningen</w:t>
      </w:r>
      <w:r w:rsidR="0071419A">
        <w:t xml:space="preserve"> av kommunalskattesatsen för samfund</w:t>
      </w:r>
      <w:r>
        <w:t xml:space="preserve"> för skat</w:t>
      </w:r>
      <w:r w:rsidR="0071419A">
        <w:t xml:space="preserve">teåret 2021 är 2,42 procentenheter, medan höjningen under skatteåren 2022–2025 varierar mellan 0,402 och 0,408 procentenheter. Från och med skatteåret 2026 föreslås en permanent höjning med 0,4 procentenheter. </w:t>
      </w:r>
      <w:r>
        <w:t>Förslaget motiveras av att fördelningen av samfundsskatten mellan skattetagarna ändras i riket, så att kommunernas andel höjs medan statens andel sänks. Landskapsregeringens förslag innebär att de totala skattesatserna för samfund och samfällda förmåner förblir oförändrade, det vill säga 20 respektive 26,5 %.</w:t>
      </w:r>
    </w:p>
    <w:p w14:paraId="3683854E" w14:textId="070D2E3C" w:rsidR="0071419A" w:rsidRDefault="0071419A" w:rsidP="0071419A">
      <w:pPr>
        <w:pStyle w:val="ANormal"/>
      </w:pPr>
      <w:r>
        <w:tab/>
        <w:t>Landskapsregeringen föreslår också att en lag om tilläggsavdrag för forsknings- och utvecklingsverksamhet under skatteåren 2021–2025 görs tillämplig vid kommunalbeskattningen genom en blankettlag. Den föreslagna lagen är tidsbunden</w:t>
      </w:r>
      <w:r w:rsidR="00C03CA5">
        <w:t>.</w:t>
      </w:r>
      <w:r>
        <w:t xml:space="preserve"> </w:t>
      </w:r>
      <w:r w:rsidR="00C03CA5">
        <w:t>Enligt lagen får</w:t>
      </w:r>
      <w:r>
        <w:t xml:space="preserve"> skattskyldiga som bedriver näringsverksamhet eller jordbruk</w:t>
      </w:r>
      <w:r w:rsidRPr="003D1EEC">
        <w:t xml:space="preserve"> </w:t>
      </w:r>
      <w:r>
        <w:t>och som har ett forskningssamarbete med en forskningsorganisation som uppfyller kriterierna i lagen göra ett tilläggsavdrag</w:t>
      </w:r>
      <w:r w:rsidR="00C03CA5">
        <w:t xml:space="preserve"> från inkomsten av näringsverksamhet och jordbruk</w:t>
      </w:r>
      <w:r>
        <w:t xml:space="preserve">. Avdragets belopp </w:t>
      </w:r>
      <w:r w:rsidR="00C03CA5">
        <w:t>motsvarar</w:t>
      </w:r>
      <w:r>
        <w:t xml:space="preserve"> 50 procent av </w:t>
      </w:r>
      <w:r w:rsidR="00C03CA5">
        <w:t xml:space="preserve">företagets fakturor för underentreprenad för forskningsprojekt, och </w:t>
      </w:r>
      <w:r w:rsidR="00923894">
        <w:t>kan</w:t>
      </w:r>
      <w:r w:rsidR="00C03CA5">
        <w:t xml:space="preserve"> maximalt</w:t>
      </w:r>
      <w:r w:rsidR="00923894">
        <w:t xml:space="preserve"> uppgå</w:t>
      </w:r>
      <w:r w:rsidR="00C03CA5">
        <w:t xml:space="preserve"> till 500 000 euro per skatteår.</w:t>
      </w:r>
    </w:p>
    <w:p w14:paraId="0AB7C048" w14:textId="64F78C85" w:rsidR="00F2119D" w:rsidRDefault="00C03CA5" w:rsidP="0071419A">
      <w:pPr>
        <w:pStyle w:val="ANormal"/>
      </w:pPr>
      <w:r>
        <w:tab/>
        <w:t>Slutligen föreslår landskapsregeringen att landskapslagen om koncernbidrag vid kommunalbeskattningen ska ersättas av en blankettlag, enligt vilken rikets lag om koncernbidrag vid beskattningen ska tillämpas vid kommunalbeskattningen på Åland.</w:t>
      </w:r>
      <w:r w:rsidR="00F2119D">
        <w:t xml:space="preserve"> </w:t>
      </w:r>
      <w:r w:rsidR="00C254F2">
        <w:t>Av förslaget följer ett par mindre ändringar</w:t>
      </w:r>
      <w:r w:rsidR="00F2119D">
        <w:t xml:space="preserve"> av lagstiftningen om koncernbidrag</w:t>
      </w:r>
      <w:r w:rsidR="00C254F2">
        <w:t xml:space="preserve">. Ändringarna sammanhänger med tidigare reformer av </w:t>
      </w:r>
      <w:r w:rsidR="00923894">
        <w:t xml:space="preserve">annan </w:t>
      </w:r>
      <w:r w:rsidR="00C254F2">
        <w:t>lagstiftning om samfundsbeskattning, som redan har trätt i kraft.</w:t>
      </w:r>
    </w:p>
    <w:p w14:paraId="7A2146E0" w14:textId="0F76A126" w:rsidR="00C254F2" w:rsidRDefault="00C254F2" w:rsidP="0071419A">
      <w:pPr>
        <w:pStyle w:val="ANormal"/>
      </w:pPr>
      <w:r>
        <w:tab/>
        <w:t>De föreslagna lagarna är avsedda att tillämpas från och med beskattningen för skatteåret 2021, förutom en ändring av lagstiftningen om koncernbidrag som är avsedd att tillämpas även vid beskattningen för skatteåret 2020.</w:t>
      </w:r>
      <w:r w:rsidR="002C687F">
        <w:t xml:space="preserve"> De bör således träda i kraft så snart som möjligt.</w:t>
      </w:r>
    </w:p>
    <w:p w14:paraId="5510DEAF" w14:textId="77777777" w:rsidR="00740664" w:rsidRDefault="00740664" w:rsidP="0071419A">
      <w:pPr>
        <w:pStyle w:val="ANormal"/>
      </w:pPr>
    </w:p>
    <w:p w14:paraId="75ECE4D1" w14:textId="77777777" w:rsidR="00AF3004" w:rsidRDefault="0045600E">
      <w:pPr>
        <w:pStyle w:val="ANormal"/>
        <w:jc w:val="center"/>
      </w:pPr>
      <w:hyperlink w:anchor="_top" w:tooltip="Klicka för att gå till toppen av dokumentet" w:history="1">
        <w:r w:rsidR="00AF3004">
          <w:rPr>
            <w:rStyle w:val="Hyperlnk"/>
          </w:rPr>
          <w:t>__________________</w:t>
        </w:r>
      </w:hyperlink>
    </w:p>
    <w:p w14:paraId="1C132A67" w14:textId="77777777" w:rsidR="00AF3004" w:rsidRDefault="00AF3004">
      <w:pPr>
        <w:pStyle w:val="ANormal"/>
      </w:pPr>
    </w:p>
    <w:p w14:paraId="264E6A4A" w14:textId="77777777" w:rsidR="00AF3004" w:rsidRDefault="00AF3004">
      <w:pPr>
        <w:pStyle w:val="ANormal"/>
      </w:pPr>
      <w:r>
        <w:br w:type="page"/>
      </w:r>
    </w:p>
    <w:p w14:paraId="29506D8E" w14:textId="77777777" w:rsidR="00AF3004" w:rsidRDefault="00AF3004">
      <w:pPr>
        <w:pStyle w:val="Innehll1"/>
      </w:pPr>
      <w:r>
        <w:lastRenderedPageBreak/>
        <w:t>INNEHÅLL</w:t>
      </w:r>
    </w:p>
    <w:p w14:paraId="1CAC7151" w14:textId="0DD50863" w:rsidR="000058DF"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65663757" w:history="1">
        <w:r w:rsidR="000058DF" w:rsidRPr="00B151F5">
          <w:rPr>
            <w:rStyle w:val="Hyperlnk"/>
          </w:rPr>
          <w:t>Huvudsakligt innehåll</w:t>
        </w:r>
        <w:r w:rsidR="000058DF">
          <w:rPr>
            <w:webHidden/>
          </w:rPr>
          <w:tab/>
        </w:r>
        <w:r w:rsidR="000058DF">
          <w:rPr>
            <w:webHidden/>
          </w:rPr>
          <w:fldChar w:fldCharType="begin"/>
        </w:r>
        <w:r w:rsidR="000058DF">
          <w:rPr>
            <w:webHidden/>
          </w:rPr>
          <w:instrText xml:space="preserve"> PAGEREF _Toc65663757 \h </w:instrText>
        </w:r>
        <w:r w:rsidR="000058DF">
          <w:rPr>
            <w:webHidden/>
          </w:rPr>
        </w:r>
        <w:r w:rsidR="000058DF">
          <w:rPr>
            <w:webHidden/>
          </w:rPr>
          <w:fldChar w:fldCharType="separate"/>
        </w:r>
        <w:r w:rsidR="0045600E">
          <w:rPr>
            <w:webHidden/>
          </w:rPr>
          <w:t>1</w:t>
        </w:r>
        <w:r w:rsidR="000058DF">
          <w:rPr>
            <w:webHidden/>
          </w:rPr>
          <w:fldChar w:fldCharType="end"/>
        </w:r>
      </w:hyperlink>
    </w:p>
    <w:p w14:paraId="1E83F0A5" w14:textId="75CC9FAC" w:rsidR="000058DF" w:rsidRDefault="0045600E">
      <w:pPr>
        <w:pStyle w:val="Innehll1"/>
        <w:rPr>
          <w:rFonts w:asciiTheme="minorHAnsi" w:eastAsiaTheme="minorEastAsia" w:hAnsiTheme="minorHAnsi" w:cstheme="minorBidi"/>
          <w:sz w:val="22"/>
          <w:szCs w:val="22"/>
          <w:lang w:val="sv-FI" w:eastAsia="sv-FI"/>
        </w:rPr>
      </w:pPr>
      <w:hyperlink w:anchor="_Toc65663758" w:history="1">
        <w:r w:rsidR="000058DF" w:rsidRPr="00B151F5">
          <w:rPr>
            <w:rStyle w:val="Hyperlnk"/>
          </w:rPr>
          <w:t>Allmän motivering</w:t>
        </w:r>
        <w:r w:rsidR="000058DF">
          <w:rPr>
            <w:webHidden/>
          </w:rPr>
          <w:tab/>
        </w:r>
        <w:r w:rsidR="000058DF">
          <w:rPr>
            <w:webHidden/>
          </w:rPr>
          <w:fldChar w:fldCharType="begin"/>
        </w:r>
        <w:r w:rsidR="000058DF">
          <w:rPr>
            <w:webHidden/>
          </w:rPr>
          <w:instrText xml:space="preserve"> PAGEREF _Toc65663758 \h </w:instrText>
        </w:r>
        <w:r w:rsidR="000058DF">
          <w:rPr>
            <w:webHidden/>
          </w:rPr>
        </w:r>
        <w:r w:rsidR="000058DF">
          <w:rPr>
            <w:webHidden/>
          </w:rPr>
          <w:fldChar w:fldCharType="separate"/>
        </w:r>
        <w:r>
          <w:rPr>
            <w:webHidden/>
          </w:rPr>
          <w:t>3</w:t>
        </w:r>
        <w:r w:rsidR="000058DF">
          <w:rPr>
            <w:webHidden/>
          </w:rPr>
          <w:fldChar w:fldCharType="end"/>
        </w:r>
      </w:hyperlink>
    </w:p>
    <w:p w14:paraId="46B3A79B" w14:textId="678ACF41" w:rsidR="000058DF" w:rsidRDefault="0045600E">
      <w:pPr>
        <w:pStyle w:val="Innehll2"/>
        <w:rPr>
          <w:rFonts w:asciiTheme="minorHAnsi" w:eastAsiaTheme="minorEastAsia" w:hAnsiTheme="minorHAnsi" w:cstheme="minorBidi"/>
          <w:sz w:val="22"/>
          <w:szCs w:val="22"/>
          <w:lang w:val="sv-FI" w:eastAsia="sv-FI"/>
        </w:rPr>
      </w:pPr>
      <w:hyperlink w:anchor="_Toc65663759" w:history="1">
        <w:r w:rsidR="000058DF" w:rsidRPr="00B151F5">
          <w:rPr>
            <w:rStyle w:val="Hyperlnk"/>
          </w:rPr>
          <w:t>1. Bakgrund</w:t>
        </w:r>
        <w:r w:rsidR="000058DF">
          <w:rPr>
            <w:webHidden/>
          </w:rPr>
          <w:tab/>
        </w:r>
        <w:r w:rsidR="000058DF">
          <w:rPr>
            <w:webHidden/>
          </w:rPr>
          <w:fldChar w:fldCharType="begin"/>
        </w:r>
        <w:r w:rsidR="000058DF">
          <w:rPr>
            <w:webHidden/>
          </w:rPr>
          <w:instrText xml:space="preserve"> PAGEREF _Toc65663759 \h </w:instrText>
        </w:r>
        <w:r w:rsidR="000058DF">
          <w:rPr>
            <w:webHidden/>
          </w:rPr>
        </w:r>
        <w:r w:rsidR="000058DF">
          <w:rPr>
            <w:webHidden/>
          </w:rPr>
          <w:fldChar w:fldCharType="separate"/>
        </w:r>
        <w:r>
          <w:rPr>
            <w:webHidden/>
          </w:rPr>
          <w:t>3</w:t>
        </w:r>
        <w:r w:rsidR="000058DF">
          <w:rPr>
            <w:webHidden/>
          </w:rPr>
          <w:fldChar w:fldCharType="end"/>
        </w:r>
      </w:hyperlink>
    </w:p>
    <w:p w14:paraId="7531D1F4" w14:textId="07E24F68" w:rsidR="000058DF" w:rsidRDefault="0045600E">
      <w:pPr>
        <w:pStyle w:val="Innehll3"/>
        <w:rPr>
          <w:rFonts w:asciiTheme="minorHAnsi" w:eastAsiaTheme="minorEastAsia" w:hAnsiTheme="minorHAnsi" w:cstheme="minorBidi"/>
          <w:sz w:val="22"/>
          <w:szCs w:val="22"/>
          <w:lang w:val="sv-FI" w:eastAsia="sv-FI"/>
        </w:rPr>
      </w:pPr>
      <w:hyperlink w:anchor="_Toc65663760" w:history="1">
        <w:r w:rsidR="000058DF" w:rsidRPr="00B151F5">
          <w:rPr>
            <w:rStyle w:val="Hyperlnk"/>
          </w:rPr>
          <w:t>1.1 Kommunalbeskattning av samfund</w:t>
        </w:r>
        <w:r w:rsidR="000058DF">
          <w:rPr>
            <w:webHidden/>
          </w:rPr>
          <w:tab/>
        </w:r>
        <w:r w:rsidR="000058DF">
          <w:rPr>
            <w:webHidden/>
          </w:rPr>
          <w:fldChar w:fldCharType="begin"/>
        </w:r>
        <w:r w:rsidR="000058DF">
          <w:rPr>
            <w:webHidden/>
          </w:rPr>
          <w:instrText xml:space="preserve"> PAGEREF _Toc65663760 \h </w:instrText>
        </w:r>
        <w:r w:rsidR="000058DF">
          <w:rPr>
            <w:webHidden/>
          </w:rPr>
        </w:r>
        <w:r w:rsidR="000058DF">
          <w:rPr>
            <w:webHidden/>
          </w:rPr>
          <w:fldChar w:fldCharType="separate"/>
        </w:r>
        <w:r>
          <w:rPr>
            <w:webHidden/>
          </w:rPr>
          <w:t>3</w:t>
        </w:r>
        <w:r w:rsidR="000058DF">
          <w:rPr>
            <w:webHidden/>
          </w:rPr>
          <w:fldChar w:fldCharType="end"/>
        </w:r>
      </w:hyperlink>
    </w:p>
    <w:p w14:paraId="13506605" w14:textId="5DB1DC16" w:rsidR="000058DF" w:rsidRDefault="0045600E">
      <w:pPr>
        <w:pStyle w:val="Innehll3"/>
        <w:rPr>
          <w:rFonts w:asciiTheme="minorHAnsi" w:eastAsiaTheme="minorEastAsia" w:hAnsiTheme="minorHAnsi" w:cstheme="minorBidi"/>
          <w:sz w:val="22"/>
          <w:szCs w:val="22"/>
          <w:lang w:val="sv-FI" w:eastAsia="sv-FI"/>
        </w:rPr>
      </w:pPr>
      <w:hyperlink w:anchor="_Toc65663761" w:history="1">
        <w:r w:rsidR="000058DF" w:rsidRPr="00B151F5">
          <w:rPr>
            <w:rStyle w:val="Hyperlnk"/>
          </w:rPr>
          <w:t>1.2. Åtgärder som vidtagits i riket för skatteåret 2021</w:t>
        </w:r>
        <w:r w:rsidR="000058DF">
          <w:rPr>
            <w:webHidden/>
          </w:rPr>
          <w:tab/>
        </w:r>
        <w:r w:rsidR="000058DF">
          <w:rPr>
            <w:webHidden/>
          </w:rPr>
          <w:fldChar w:fldCharType="begin"/>
        </w:r>
        <w:r w:rsidR="000058DF">
          <w:rPr>
            <w:webHidden/>
          </w:rPr>
          <w:instrText xml:space="preserve"> PAGEREF _Toc65663761 \h </w:instrText>
        </w:r>
        <w:r w:rsidR="000058DF">
          <w:rPr>
            <w:webHidden/>
          </w:rPr>
        </w:r>
        <w:r w:rsidR="000058DF">
          <w:rPr>
            <w:webHidden/>
          </w:rPr>
          <w:fldChar w:fldCharType="separate"/>
        </w:r>
        <w:r>
          <w:rPr>
            <w:webHidden/>
          </w:rPr>
          <w:t>4</w:t>
        </w:r>
        <w:r w:rsidR="000058DF">
          <w:rPr>
            <w:webHidden/>
          </w:rPr>
          <w:fldChar w:fldCharType="end"/>
        </w:r>
      </w:hyperlink>
    </w:p>
    <w:p w14:paraId="0E668258" w14:textId="5BB9319B" w:rsidR="000058DF" w:rsidRDefault="0045600E">
      <w:pPr>
        <w:pStyle w:val="Innehll2"/>
        <w:rPr>
          <w:rFonts w:asciiTheme="minorHAnsi" w:eastAsiaTheme="minorEastAsia" w:hAnsiTheme="minorHAnsi" w:cstheme="minorBidi"/>
          <w:sz w:val="22"/>
          <w:szCs w:val="22"/>
          <w:lang w:val="sv-FI" w:eastAsia="sv-FI"/>
        </w:rPr>
      </w:pPr>
      <w:hyperlink w:anchor="_Toc65663762" w:history="1">
        <w:r w:rsidR="000058DF" w:rsidRPr="00B151F5">
          <w:rPr>
            <w:rStyle w:val="Hyperlnk"/>
          </w:rPr>
          <w:t>2. Behov av ändring</w:t>
        </w:r>
        <w:r w:rsidR="000058DF">
          <w:rPr>
            <w:webHidden/>
          </w:rPr>
          <w:tab/>
        </w:r>
        <w:r w:rsidR="000058DF">
          <w:rPr>
            <w:webHidden/>
          </w:rPr>
          <w:fldChar w:fldCharType="begin"/>
        </w:r>
        <w:r w:rsidR="000058DF">
          <w:rPr>
            <w:webHidden/>
          </w:rPr>
          <w:instrText xml:space="preserve"> PAGEREF _Toc65663762 \h </w:instrText>
        </w:r>
        <w:r w:rsidR="000058DF">
          <w:rPr>
            <w:webHidden/>
          </w:rPr>
        </w:r>
        <w:r w:rsidR="000058DF">
          <w:rPr>
            <w:webHidden/>
          </w:rPr>
          <w:fldChar w:fldCharType="separate"/>
        </w:r>
        <w:r>
          <w:rPr>
            <w:webHidden/>
          </w:rPr>
          <w:t>5</w:t>
        </w:r>
        <w:r w:rsidR="000058DF">
          <w:rPr>
            <w:webHidden/>
          </w:rPr>
          <w:fldChar w:fldCharType="end"/>
        </w:r>
      </w:hyperlink>
    </w:p>
    <w:p w14:paraId="0DA32A1C" w14:textId="22AB3316" w:rsidR="000058DF" w:rsidRDefault="0045600E">
      <w:pPr>
        <w:pStyle w:val="Innehll2"/>
        <w:rPr>
          <w:rFonts w:asciiTheme="minorHAnsi" w:eastAsiaTheme="minorEastAsia" w:hAnsiTheme="minorHAnsi" w:cstheme="minorBidi"/>
          <w:sz w:val="22"/>
          <w:szCs w:val="22"/>
          <w:lang w:val="sv-FI" w:eastAsia="sv-FI"/>
        </w:rPr>
      </w:pPr>
      <w:hyperlink w:anchor="_Toc65663763" w:history="1">
        <w:r w:rsidR="000058DF" w:rsidRPr="00B151F5">
          <w:rPr>
            <w:rStyle w:val="Hyperlnk"/>
          </w:rPr>
          <w:t>3. Landskapsregeringens förslag</w:t>
        </w:r>
        <w:r w:rsidR="000058DF">
          <w:rPr>
            <w:webHidden/>
          </w:rPr>
          <w:tab/>
        </w:r>
        <w:r w:rsidR="000058DF">
          <w:rPr>
            <w:webHidden/>
          </w:rPr>
          <w:fldChar w:fldCharType="begin"/>
        </w:r>
        <w:r w:rsidR="000058DF">
          <w:rPr>
            <w:webHidden/>
          </w:rPr>
          <w:instrText xml:space="preserve"> PAGEREF _Toc65663763 \h </w:instrText>
        </w:r>
        <w:r w:rsidR="000058DF">
          <w:rPr>
            <w:webHidden/>
          </w:rPr>
        </w:r>
        <w:r w:rsidR="000058DF">
          <w:rPr>
            <w:webHidden/>
          </w:rPr>
          <w:fldChar w:fldCharType="separate"/>
        </w:r>
        <w:r>
          <w:rPr>
            <w:webHidden/>
          </w:rPr>
          <w:t>6</w:t>
        </w:r>
        <w:r w:rsidR="000058DF">
          <w:rPr>
            <w:webHidden/>
          </w:rPr>
          <w:fldChar w:fldCharType="end"/>
        </w:r>
      </w:hyperlink>
    </w:p>
    <w:p w14:paraId="47933A3B" w14:textId="7B7B4883" w:rsidR="000058DF" w:rsidRDefault="0045600E">
      <w:pPr>
        <w:pStyle w:val="Innehll2"/>
        <w:rPr>
          <w:rFonts w:asciiTheme="minorHAnsi" w:eastAsiaTheme="minorEastAsia" w:hAnsiTheme="minorHAnsi" w:cstheme="minorBidi"/>
          <w:sz w:val="22"/>
          <w:szCs w:val="22"/>
          <w:lang w:val="sv-FI" w:eastAsia="sv-FI"/>
        </w:rPr>
      </w:pPr>
      <w:hyperlink w:anchor="_Toc65663764" w:history="1">
        <w:r w:rsidR="000058DF" w:rsidRPr="00B151F5">
          <w:rPr>
            <w:rStyle w:val="Hyperlnk"/>
          </w:rPr>
          <w:t>4. Förslagets konsekvenser</w:t>
        </w:r>
        <w:r w:rsidR="000058DF">
          <w:rPr>
            <w:webHidden/>
          </w:rPr>
          <w:tab/>
        </w:r>
        <w:r w:rsidR="000058DF">
          <w:rPr>
            <w:webHidden/>
          </w:rPr>
          <w:fldChar w:fldCharType="begin"/>
        </w:r>
        <w:r w:rsidR="000058DF">
          <w:rPr>
            <w:webHidden/>
          </w:rPr>
          <w:instrText xml:space="preserve"> PAGEREF _Toc65663764 \h </w:instrText>
        </w:r>
        <w:r w:rsidR="000058DF">
          <w:rPr>
            <w:webHidden/>
          </w:rPr>
        </w:r>
        <w:r w:rsidR="000058DF">
          <w:rPr>
            <w:webHidden/>
          </w:rPr>
          <w:fldChar w:fldCharType="separate"/>
        </w:r>
        <w:r>
          <w:rPr>
            <w:webHidden/>
          </w:rPr>
          <w:t>7</w:t>
        </w:r>
        <w:r w:rsidR="000058DF">
          <w:rPr>
            <w:webHidden/>
          </w:rPr>
          <w:fldChar w:fldCharType="end"/>
        </w:r>
      </w:hyperlink>
    </w:p>
    <w:p w14:paraId="762DBCE7" w14:textId="7A7E097E" w:rsidR="000058DF" w:rsidRDefault="0045600E">
      <w:pPr>
        <w:pStyle w:val="Innehll2"/>
        <w:rPr>
          <w:rFonts w:asciiTheme="minorHAnsi" w:eastAsiaTheme="minorEastAsia" w:hAnsiTheme="minorHAnsi" w:cstheme="minorBidi"/>
          <w:sz w:val="22"/>
          <w:szCs w:val="22"/>
          <w:lang w:val="sv-FI" w:eastAsia="sv-FI"/>
        </w:rPr>
      </w:pPr>
      <w:hyperlink w:anchor="_Toc65663765" w:history="1">
        <w:r w:rsidR="000058DF" w:rsidRPr="00B151F5">
          <w:rPr>
            <w:rStyle w:val="Hyperlnk"/>
          </w:rPr>
          <w:t>5. Beredning och ikraftträdande</w:t>
        </w:r>
        <w:r w:rsidR="000058DF">
          <w:rPr>
            <w:webHidden/>
          </w:rPr>
          <w:tab/>
        </w:r>
        <w:r w:rsidR="000058DF">
          <w:rPr>
            <w:webHidden/>
          </w:rPr>
          <w:fldChar w:fldCharType="begin"/>
        </w:r>
        <w:r w:rsidR="000058DF">
          <w:rPr>
            <w:webHidden/>
          </w:rPr>
          <w:instrText xml:space="preserve"> PAGEREF _Toc65663765 \h </w:instrText>
        </w:r>
        <w:r w:rsidR="000058DF">
          <w:rPr>
            <w:webHidden/>
          </w:rPr>
        </w:r>
        <w:r w:rsidR="000058DF">
          <w:rPr>
            <w:webHidden/>
          </w:rPr>
          <w:fldChar w:fldCharType="separate"/>
        </w:r>
        <w:r>
          <w:rPr>
            <w:webHidden/>
          </w:rPr>
          <w:t>8</w:t>
        </w:r>
        <w:r w:rsidR="000058DF">
          <w:rPr>
            <w:webHidden/>
          </w:rPr>
          <w:fldChar w:fldCharType="end"/>
        </w:r>
      </w:hyperlink>
    </w:p>
    <w:p w14:paraId="53B4D118" w14:textId="1FF84B77" w:rsidR="000058DF" w:rsidRDefault="0045600E">
      <w:pPr>
        <w:pStyle w:val="Innehll1"/>
        <w:rPr>
          <w:rFonts w:asciiTheme="minorHAnsi" w:eastAsiaTheme="minorEastAsia" w:hAnsiTheme="minorHAnsi" w:cstheme="minorBidi"/>
          <w:sz w:val="22"/>
          <w:szCs w:val="22"/>
          <w:lang w:val="sv-FI" w:eastAsia="sv-FI"/>
        </w:rPr>
      </w:pPr>
      <w:hyperlink w:anchor="_Toc65663766" w:history="1">
        <w:r w:rsidR="000058DF" w:rsidRPr="00B151F5">
          <w:rPr>
            <w:rStyle w:val="Hyperlnk"/>
          </w:rPr>
          <w:t>Detaljmotivering</w:t>
        </w:r>
        <w:r w:rsidR="000058DF">
          <w:rPr>
            <w:webHidden/>
          </w:rPr>
          <w:tab/>
        </w:r>
        <w:r w:rsidR="000058DF">
          <w:rPr>
            <w:webHidden/>
          </w:rPr>
          <w:fldChar w:fldCharType="begin"/>
        </w:r>
        <w:r w:rsidR="000058DF">
          <w:rPr>
            <w:webHidden/>
          </w:rPr>
          <w:instrText xml:space="preserve"> PAGEREF _Toc65663766 \h </w:instrText>
        </w:r>
        <w:r w:rsidR="000058DF">
          <w:rPr>
            <w:webHidden/>
          </w:rPr>
        </w:r>
        <w:r w:rsidR="000058DF">
          <w:rPr>
            <w:webHidden/>
          </w:rPr>
          <w:fldChar w:fldCharType="separate"/>
        </w:r>
        <w:r>
          <w:rPr>
            <w:webHidden/>
          </w:rPr>
          <w:t>9</w:t>
        </w:r>
        <w:r w:rsidR="000058DF">
          <w:rPr>
            <w:webHidden/>
          </w:rPr>
          <w:fldChar w:fldCharType="end"/>
        </w:r>
      </w:hyperlink>
    </w:p>
    <w:p w14:paraId="5AC66434" w14:textId="5F78B19E" w:rsidR="000058DF" w:rsidRDefault="0045600E">
      <w:pPr>
        <w:pStyle w:val="Innehll2"/>
        <w:rPr>
          <w:rFonts w:asciiTheme="minorHAnsi" w:eastAsiaTheme="minorEastAsia" w:hAnsiTheme="minorHAnsi" w:cstheme="minorBidi"/>
          <w:sz w:val="22"/>
          <w:szCs w:val="22"/>
          <w:lang w:val="sv-FI" w:eastAsia="sv-FI"/>
        </w:rPr>
      </w:pPr>
      <w:hyperlink w:anchor="_Toc65663767" w:history="1">
        <w:r w:rsidR="000058DF" w:rsidRPr="00B151F5">
          <w:rPr>
            <w:rStyle w:val="Hyperlnk"/>
          </w:rPr>
          <w:t>1. Ändring av 29 och 29f §§ kommunalskattelagen för landskapet Åland</w:t>
        </w:r>
        <w:r w:rsidR="000058DF">
          <w:rPr>
            <w:webHidden/>
          </w:rPr>
          <w:tab/>
        </w:r>
        <w:r w:rsidR="000058DF">
          <w:rPr>
            <w:webHidden/>
          </w:rPr>
          <w:fldChar w:fldCharType="begin"/>
        </w:r>
        <w:r w:rsidR="000058DF">
          <w:rPr>
            <w:webHidden/>
          </w:rPr>
          <w:instrText xml:space="preserve"> PAGEREF _Toc65663767 \h </w:instrText>
        </w:r>
        <w:r w:rsidR="000058DF">
          <w:rPr>
            <w:webHidden/>
          </w:rPr>
        </w:r>
        <w:r w:rsidR="000058DF">
          <w:rPr>
            <w:webHidden/>
          </w:rPr>
          <w:fldChar w:fldCharType="separate"/>
        </w:r>
        <w:r>
          <w:rPr>
            <w:webHidden/>
          </w:rPr>
          <w:t>9</w:t>
        </w:r>
        <w:r w:rsidR="000058DF">
          <w:rPr>
            <w:webHidden/>
          </w:rPr>
          <w:fldChar w:fldCharType="end"/>
        </w:r>
      </w:hyperlink>
    </w:p>
    <w:p w14:paraId="07FEFA9B" w14:textId="05503D41" w:rsidR="000058DF" w:rsidRDefault="0045600E">
      <w:pPr>
        <w:pStyle w:val="Innehll2"/>
        <w:rPr>
          <w:rFonts w:asciiTheme="minorHAnsi" w:eastAsiaTheme="minorEastAsia" w:hAnsiTheme="minorHAnsi" w:cstheme="minorBidi"/>
          <w:sz w:val="22"/>
          <w:szCs w:val="22"/>
          <w:lang w:val="sv-FI" w:eastAsia="sv-FI"/>
        </w:rPr>
      </w:pPr>
      <w:hyperlink w:anchor="_Toc65663768" w:history="1">
        <w:r w:rsidR="000058DF" w:rsidRPr="00B151F5">
          <w:rPr>
            <w:rStyle w:val="Hyperlnk"/>
          </w:rPr>
          <w:t>2. LL om tilläggsavdrag för forsknings- och utvecklingsverksamhet under skatteåren 2021–2025</w:t>
        </w:r>
        <w:r w:rsidR="000058DF">
          <w:rPr>
            <w:webHidden/>
          </w:rPr>
          <w:tab/>
        </w:r>
        <w:r w:rsidR="000058DF">
          <w:rPr>
            <w:webHidden/>
          </w:rPr>
          <w:fldChar w:fldCharType="begin"/>
        </w:r>
        <w:r w:rsidR="000058DF">
          <w:rPr>
            <w:webHidden/>
          </w:rPr>
          <w:instrText xml:space="preserve"> PAGEREF _Toc65663768 \h </w:instrText>
        </w:r>
        <w:r w:rsidR="000058DF">
          <w:rPr>
            <w:webHidden/>
          </w:rPr>
        </w:r>
        <w:r w:rsidR="000058DF">
          <w:rPr>
            <w:webHidden/>
          </w:rPr>
          <w:fldChar w:fldCharType="separate"/>
        </w:r>
        <w:r>
          <w:rPr>
            <w:webHidden/>
          </w:rPr>
          <w:t>10</w:t>
        </w:r>
        <w:r w:rsidR="000058DF">
          <w:rPr>
            <w:webHidden/>
          </w:rPr>
          <w:fldChar w:fldCharType="end"/>
        </w:r>
      </w:hyperlink>
    </w:p>
    <w:p w14:paraId="5BE0CC5F" w14:textId="3473459B" w:rsidR="000058DF" w:rsidRDefault="0045600E">
      <w:pPr>
        <w:pStyle w:val="Innehll2"/>
        <w:rPr>
          <w:rFonts w:asciiTheme="minorHAnsi" w:eastAsiaTheme="minorEastAsia" w:hAnsiTheme="minorHAnsi" w:cstheme="minorBidi"/>
          <w:sz w:val="22"/>
          <w:szCs w:val="22"/>
          <w:lang w:val="sv-FI" w:eastAsia="sv-FI"/>
        </w:rPr>
      </w:pPr>
      <w:hyperlink w:anchor="_Toc65663769" w:history="1">
        <w:r w:rsidR="000058DF" w:rsidRPr="00B151F5">
          <w:rPr>
            <w:rStyle w:val="Hyperlnk"/>
          </w:rPr>
          <w:t>3. LL om koncernbidrag vid kommunalbeskattningen</w:t>
        </w:r>
        <w:r w:rsidR="000058DF">
          <w:rPr>
            <w:webHidden/>
          </w:rPr>
          <w:tab/>
        </w:r>
        <w:r w:rsidR="000058DF">
          <w:rPr>
            <w:webHidden/>
          </w:rPr>
          <w:fldChar w:fldCharType="begin"/>
        </w:r>
        <w:r w:rsidR="000058DF">
          <w:rPr>
            <w:webHidden/>
          </w:rPr>
          <w:instrText xml:space="preserve"> PAGEREF _Toc65663769 \h </w:instrText>
        </w:r>
        <w:r w:rsidR="000058DF">
          <w:rPr>
            <w:webHidden/>
          </w:rPr>
        </w:r>
        <w:r w:rsidR="000058DF">
          <w:rPr>
            <w:webHidden/>
          </w:rPr>
          <w:fldChar w:fldCharType="separate"/>
        </w:r>
        <w:r>
          <w:rPr>
            <w:webHidden/>
          </w:rPr>
          <w:t>11</w:t>
        </w:r>
        <w:r w:rsidR="000058DF">
          <w:rPr>
            <w:webHidden/>
          </w:rPr>
          <w:fldChar w:fldCharType="end"/>
        </w:r>
      </w:hyperlink>
    </w:p>
    <w:p w14:paraId="5A0D3DF7" w14:textId="11D7DFAD" w:rsidR="000058DF" w:rsidRDefault="0045600E">
      <w:pPr>
        <w:pStyle w:val="Innehll1"/>
        <w:rPr>
          <w:rFonts w:asciiTheme="minorHAnsi" w:eastAsiaTheme="minorEastAsia" w:hAnsiTheme="minorHAnsi" w:cstheme="minorBidi"/>
          <w:sz w:val="22"/>
          <w:szCs w:val="22"/>
          <w:lang w:val="sv-FI" w:eastAsia="sv-FI"/>
        </w:rPr>
      </w:pPr>
      <w:hyperlink w:anchor="_Toc65663770" w:history="1">
        <w:r w:rsidR="000058DF" w:rsidRPr="00B151F5">
          <w:rPr>
            <w:rStyle w:val="Hyperlnk"/>
          </w:rPr>
          <w:t>Lagtext</w:t>
        </w:r>
        <w:r w:rsidR="000058DF">
          <w:rPr>
            <w:webHidden/>
          </w:rPr>
          <w:tab/>
        </w:r>
        <w:r w:rsidR="000058DF">
          <w:rPr>
            <w:webHidden/>
          </w:rPr>
          <w:fldChar w:fldCharType="begin"/>
        </w:r>
        <w:r w:rsidR="000058DF">
          <w:rPr>
            <w:webHidden/>
          </w:rPr>
          <w:instrText xml:space="preserve"> PAGEREF _Toc65663770 \h </w:instrText>
        </w:r>
        <w:r w:rsidR="000058DF">
          <w:rPr>
            <w:webHidden/>
          </w:rPr>
        </w:r>
        <w:r w:rsidR="000058DF">
          <w:rPr>
            <w:webHidden/>
          </w:rPr>
          <w:fldChar w:fldCharType="separate"/>
        </w:r>
        <w:r>
          <w:rPr>
            <w:webHidden/>
          </w:rPr>
          <w:t>13</w:t>
        </w:r>
        <w:r w:rsidR="000058DF">
          <w:rPr>
            <w:webHidden/>
          </w:rPr>
          <w:fldChar w:fldCharType="end"/>
        </w:r>
      </w:hyperlink>
    </w:p>
    <w:p w14:paraId="490F0452" w14:textId="763F019E" w:rsidR="000058DF" w:rsidRDefault="0045600E">
      <w:pPr>
        <w:pStyle w:val="Innehll2"/>
        <w:rPr>
          <w:rFonts w:asciiTheme="minorHAnsi" w:eastAsiaTheme="minorEastAsia" w:hAnsiTheme="minorHAnsi" w:cstheme="minorBidi"/>
          <w:sz w:val="22"/>
          <w:szCs w:val="22"/>
          <w:lang w:val="sv-FI" w:eastAsia="sv-FI"/>
        </w:rPr>
      </w:pPr>
      <w:hyperlink w:anchor="_Toc65663771" w:history="1">
        <w:r w:rsidR="000058DF" w:rsidRPr="00B151F5">
          <w:rPr>
            <w:rStyle w:val="Hyperlnk"/>
          </w:rPr>
          <w:t>L A N D S K A P S L A G om ändring av 29 och 29f §§ kommunalskattelagen för landskapet Åland</w:t>
        </w:r>
        <w:r w:rsidR="000058DF">
          <w:rPr>
            <w:webHidden/>
          </w:rPr>
          <w:tab/>
        </w:r>
        <w:r w:rsidR="000058DF">
          <w:rPr>
            <w:webHidden/>
          </w:rPr>
          <w:fldChar w:fldCharType="begin"/>
        </w:r>
        <w:r w:rsidR="000058DF">
          <w:rPr>
            <w:webHidden/>
          </w:rPr>
          <w:instrText xml:space="preserve"> PAGEREF _Toc65663771 \h </w:instrText>
        </w:r>
        <w:r w:rsidR="000058DF">
          <w:rPr>
            <w:webHidden/>
          </w:rPr>
        </w:r>
        <w:r w:rsidR="000058DF">
          <w:rPr>
            <w:webHidden/>
          </w:rPr>
          <w:fldChar w:fldCharType="separate"/>
        </w:r>
        <w:r>
          <w:rPr>
            <w:webHidden/>
          </w:rPr>
          <w:t>13</w:t>
        </w:r>
        <w:r w:rsidR="000058DF">
          <w:rPr>
            <w:webHidden/>
          </w:rPr>
          <w:fldChar w:fldCharType="end"/>
        </w:r>
      </w:hyperlink>
    </w:p>
    <w:p w14:paraId="6025A497" w14:textId="7F48F681" w:rsidR="000058DF" w:rsidRDefault="0045600E">
      <w:pPr>
        <w:pStyle w:val="Innehll2"/>
        <w:rPr>
          <w:rFonts w:asciiTheme="minorHAnsi" w:eastAsiaTheme="minorEastAsia" w:hAnsiTheme="minorHAnsi" w:cstheme="minorBidi"/>
          <w:sz w:val="22"/>
          <w:szCs w:val="22"/>
          <w:lang w:val="sv-FI" w:eastAsia="sv-FI"/>
        </w:rPr>
      </w:pPr>
      <w:hyperlink w:anchor="_Toc65663772" w:history="1">
        <w:r w:rsidR="000058DF" w:rsidRPr="00B151F5">
          <w:rPr>
            <w:rStyle w:val="Hyperlnk"/>
            <w:lang w:val="en-GB"/>
          </w:rPr>
          <w:t>L A N D S K A P S L A G om tilläggsavdrag för forsknings- och utvecklingsverksamhet under skatteåren 2021–2025</w:t>
        </w:r>
        <w:r w:rsidR="000058DF">
          <w:rPr>
            <w:webHidden/>
          </w:rPr>
          <w:tab/>
        </w:r>
        <w:r w:rsidR="000058DF">
          <w:rPr>
            <w:webHidden/>
          </w:rPr>
          <w:fldChar w:fldCharType="begin"/>
        </w:r>
        <w:r w:rsidR="000058DF">
          <w:rPr>
            <w:webHidden/>
          </w:rPr>
          <w:instrText xml:space="preserve"> PAGEREF _Toc65663772 \h </w:instrText>
        </w:r>
        <w:r w:rsidR="000058DF">
          <w:rPr>
            <w:webHidden/>
          </w:rPr>
        </w:r>
        <w:r w:rsidR="000058DF">
          <w:rPr>
            <w:webHidden/>
          </w:rPr>
          <w:fldChar w:fldCharType="separate"/>
        </w:r>
        <w:r>
          <w:rPr>
            <w:webHidden/>
          </w:rPr>
          <w:t>14</w:t>
        </w:r>
        <w:r w:rsidR="000058DF">
          <w:rPr>
            <w:webHidden/>
          </w:rPr>
          <w:fldChar w:fldCharType="end"/>
        </w:r>
      </w:hyperlink>
    </w:p>
    <w:p w14:paraId="1F2816CA" w14:textId="1AA6C11A" w:rsidR="000058DF" w:rsidRDefault="0045600E">
      <w:pPr>
        <w:pStyle w:val="Innehll2"/>
        <w:rPr>
          <w:rFonts w:asciiTheme="minorHAnsi" w:eastAsiaTheme="minorEastAsia" w:hAnsiTheme="minorHAnsi" w:cstheme="minorBidi"/>
          <w:sz w:val="22"/>
          <w:szCs w:val="22"/>
          <w:lang w:val="sv-FI" w:eastAsia="sv-FI"/>
        </w:rPr>
      </w:pPr>
      <w:hyperlink w:anchor="_Toc65663773" w:history="1">
        <w:r w:rsidR="000058DF" w:rsidRPr="00B151F5">
          <w:rPr>
            <w:rStyle w:val="Hyperlnk"/>
            <w:lang w:val="en-GB"/>
          </w:rPr>
          <w:t>L A N D S K A P S L A G om koncernbidrag vid kommunalbeskattningen</w:t>
        </w:r>
        <w:r w:rsidR="000058DF">
          <w:rPr>
            <w:webHidden/>
          </w:rPr>
          <w:tab/>
        </w:r>
        <w:r w:rsidR="000058DF">
          <w:rPr>
            <w:webHidden/>
          </w:rPr>
          <w:fldChar w:fldCharType="begin"/>
        </w:r>
        <w:r w:rsidR="000058DF">
          <w:rPr>
            <w:webHidden/>
          </w:rPr>
          <w:instrText xml:space="preserve"> PAGEREF _Toc65663773 \h </w:instrText>
        </w:r>
        <w:r w:rsidR="000058DF">
          <w:rPr>
            <w:webHidden/>
          </w:rPr>
        </w:r>
        <w:r w:rsidR="000058DF">
          <w:rPr>
            <w:webHidden/>
          </w:rPr>
          <w:fldChar w:fldCharType="separate"/>
        </w:r>
        <w:r>
          <w:rPr>
            <w:webHidden/>
          </w:rPr>
          <w:t>14</w:t>
        </w:r>
        <w:r w:rsidR="000058DF">
          <w:rPr>
            <w:webHidden/>
          </w:rPr>
          <w:fldChar w:fldCharType="end"/>
        </w:r>
      </w:hyperlink>
    </w:p>
    <w:p w14:paraId="5FFF065E" w14:textId="6E7718CF" w:rsidR="000058DF" w:rsidRDefault="0045600E">
      <w:pPr>
        <w:pStyle w:val="Innehll1"/>
        <w:rPr>
          <w:rFonts w:asciiTheme="minorHAnsi" w:eastAsiaTheme="minorEastAsia" w:hAnsiTheme="minorHAnsi" w:cstheme="minorBidi"/>
          <w:sz w:val="22"/>
          <w:szCs w:val="22"/>
          <w:lang w:val="sv-FI" w:eastAsia="sv-FI"/>
        </w:rPr>
      </w:pPr>
      <w:hyperlink w:anchor="_Toc65663774" w:history="1">
        <w:r w:rsidR="000058DF" w:rsidRPr="00B151F5">
          <w:rPr>
            <w:rStyle w:val="Hyperlnk"/>
          </w:rPr>
          <w:t>Bilaga: FFS 1078/2020</w:t>
        </w:r>
        <w:r w:rsidR="000058DF">
          <w:rPr>
            <w:webHidden/>
          </w:rPr>
          <w:tab/>
        </w:r>
        <w:r w:rsidR="000058DF">
          <w:rPr>
            <w:webHidden/>
          </w:rPr>
          <w:fldChar w:fldCharType="begin"/>
        </w:r>
        <w:r w:rsidR="000058DF">
          <w:rPr>
            <w:webHidden/>
          </w:rPr>
          <w:instrText xml:space="preserve"> PAGEREF _Toc65663774 \h </w:instrText>
        </w:r>
        <w:r w:rsidR="000058DF">
          <w:rPr>
            <w:webHidden/>
          </w:rPr>
        </w:r>
        <w:r w:rsidR="000058DF">
          <w:rPr>
            <w:webHidden/>
          </w:rPr>
          <w:fldChar w:fldCharType="separate"/>
        </w:r>
        <w:r>
          <w:rPr>
            <w:webHidden/>
          </w:rPr>
          <w:t>16</w:t>
        </w:r>
        <w:r w:rsidR="000058DF">
          <w:rPr>
            <w:webHidden/>
          </w:rPr>
          <w:fldChar w:fldCharType="end"/>
        </w:r>
      </w:hyperlink>
    </w:p>
    <w:p w14:paraId="55A42CD2" w14:textId="12E6CC08" w:rsidR="000058DF" w:rsidRDefault="0045600E">
      <w:pPr>
        <w:pStyle w:val="Innehll2"/>
        <w:rPr>
          <w:rFonts w:asciiTheme="minorHAnsi" w:eastAsiaTheme="minorEastAsia" w:hAnsiTheme="minorHAnsi" w:cstheme="minorBidi"/>
          <w:sz w:val="22"/>
          <w:szCs w:val="22"/>
          <w:lang w:val="sv-FI" w:eastAsia="sv-FI"/>
        </w:rPr>
      </w:pPr>
      <w:hyperlink w:anchor="_Toc65663775" w:history="1">
        <w:r w:rsidR="000058DF" w:rsidRPr="00B151F5">
          <w:rPr>
            <w:rStyle w:val="Hyperlnk"/>
          </w:rPr>
          <w:t>Lag om ett tilläggsavdrag för forsknings- och utvecklingsverksamhet under skatteåren 2021–2025</w:t>
        </w:r>
        <w:r w:rsidR="000058DF">
          <w:rPr>
            <w:webHidden/>
          </w:rPr>
          <w:tab/>
        </w:r>
        <w:r w:rsidR="000058DF">
          <w:rPr>
            <w:webHidden/>
          </w:rPr>
          <w:fldChar w:fldCharType="begin"/>
        </w:r>
        <w:r w:rsidR="000058DF">
          <w:rPr>
            <w:webHidden/>
          </w:rPr>
          <w:instrText xml:space="preserve"> PAGEREF _Toc65663775 \h </w:instrText>
        </w:r>
        <w:r w:rsidR="000058DF">
          <w:rPr>
            <w:webHidden/>
          </w:rPr>
        </w:r>
        <w:r w:rsidR="000058DF">
          <w:rPr>
            <w:webHidden/>
          </w:rPr>
          <w:fldChar w:fldCharType="separate"/>
        </w:r>
        <w:r>
          <w:rPr>
            <w:webHidden/>
          </w:rPr>
          <w:t>16</w:t>
        </w:r>
        <w:r w:rsidR="000058DF">
          <w:rPr>
            <w:webHidden/>
          </w:rPr>
          <w:fldChar w:fldCharType="end"/>
        </w:r>
      </w:hyperlink>
    </w:p>
    <w:p w14:paraId="16586AFA" w14:textId="7290B391" w:rsidR="000058DF" w:rsidRDefault="0045600E">
      <w:pPr>
        <w:pStyle w:val="Innehll1"/>
        <w:rPr>
          <w:rFonts w:asciiTheme="minorHAnsi" w:eastAsiaTheme="minorEastAsia" w:hAnsiTheme="minorHAnsi" w:cstheme="minorBidi"/>
          <w:sz w:val="22"/>
          <w:szCs w:val="22"/>
          <w:lang w:val="sv-FI" w:eastAsia="sv-FI"/>
        </w:rPr>
      </w:pPr>
      <w:hyperlink w:anchor="_Toc65663776" w:history="1">
        <w:r w:rsidR="000058DF" w:rsidRPr="00B151F5">
          <w:rPr>
            <w:rStyle w:val="Hyperlnk"/>
          </w:rPr>
          <w:t>Bilaga: FFS 825/1986</w:t>
        </w:r>
        <w:r w:rsidR="000058DF">
          <w:rPr>
            <w:webHidden/>
          </w:rPr>
          <w:tab/>
        </w:r>
        <w:r w:rsidR="000058DF">
          <w:rPr>
            <w:webHidden/>
          </w:rPr>
          <w:fldChar w:fldCharType="begin"/>
        </w:r>
        <w:r w:rsidR="000058DF">
          <w:rPr>
            <w:webHidden/>
          </w:rPr>
          <w:instrText xml:space="preserve"> PAGEREF _Toc65663776 \h </w:instrText>
        </w:r>
        <w:r w:rsidR="000058DF">
          <w:rPr>
            <w:webHidden/>
          </w:rPr>
        </w:r>
        <w:r w:rsidR="000058DF">
          <w:rPr>
            <w:webHidden/>
          </w:rPr>
          <w:fldChar w:fldCharType="separate"/>
        </w:r>
        <w:r>
          <w:rPr>
            <w:webHidden/>
          </w:rPr>
          <w:t>18</w:t>
        </w:r>
        <w:r w:rsidR="000058DF">
          <w:rPr>
            <w:webHidden/>
          </w:rPr>
          <w:fldChar w:fldCharType="end"/>
        </w:r>
      </w:hyperlink>
    </w:p>
    <w:p w14:paraId="590CC7DE" w14:textId="733A05C3" w:rsidR="000058DF" w:rsidRDefault="0045600E">
      <w:pPr>
        <w:pStyle w:val="Innehll2"/>
        <w:rPr>
          <w:rFonts w:asciiTheme="minorHAnsi" w:eastAsiaTheme="minorEastAsia" w:hAnsiTheme="minorHAnsi" w:cstheme="minorBidi"/>
          <w:sz w:val="22"/>
          <w:szCs w:val="22"/>
          <w:lang w:val="sv-FI" w:eastAsia="sv-FI"/>
        </w:rPr>
      </w:pPr>
      <w:hyperlink w:anchor="_Toc65663777" w:history="1">
        <w:r w:rsidR="000058DF" w:rsidRPr="00B151F5">
          <w:rPr>
            <w:rStyle w:val="Hyperlnk"/>
          </w:rPr>
          <w:t>Lag om koncernbidrag vid beskattningen</w:t>
        </w:r>
        <w:r w:rsidR="000058DF">
          <w:rPr>
            <w:webHidden/>
          </w:rPr>
          <w:tab/>
        </w:r>
        <w:r w:rsidR="000058DF">
          <w:rPr>
            <w:webHidden/>
          </w:rPr>
          <w:fldChar w:fldCharType="begin"/>
        </w:r>
        <w:r w:rsidR="000058DF">
          <w:rPr>
            <w:webHidden/>
          </w:rPr>
          <w:instrText xml:space="preserve"> PAGEREF _Toc65663777 \h </w:instrText>
        </w:r>
        <w:r w:rsidR="000058DF">
          <w:rPr>
            <w:webHidden/>
          </w:rPr>
        </w:r>
        <w:r w:rsidR="000058DF">
          <w:rPr>
            <w:webHidden/>
          </w:rPr>
          <w:fldChar w:fldCharType="separate"/>
        </w:r>
        <w:r>
          <w:rPr>
            <w:webHidden/>
          </w:rPr>
          <w:t>18</w:t>
        </w:r>
        <w:r w:rsidR="000058DF">
          <w:rPr>
            <w:webHidden/>
          </w:rPr>
          <w:fldChar w:fldCharType="end"/>
        </w:r>
      </w:hyperlink>
    </w:p>
    <w:p w14:paraId="5A5C81B0" w14:textId="43F25E29" w:rsidR="000058DF" w:rsidRDefault="0045600E">
      <w:pPr>
        <w:pStyle w:val="Innehll1"/>
        <w:rPr>
          <w:rFonts w:asciiTheme="minorHAnsi" w:eastAsiaTheme="minorEastAsia" w:hAnsiTheme="minorHAnsi" w:cstheme="minorBidi"/>
          <w:sz w:val="22"/>
          <w:szCs w:val="22"/>
          <w:lang w:val="sv-FI" w:eastAsia="sv-FI"/>
        </w:rPr>
      </w:pPr>
      <w:hyperlink w:anchor="_Toc65663778" w:history="1">
        <w:r w:rsidR="000058DF" w:rsidRPr="00B151F5">
          <w:rPr>
            <w:rStyle w:val="Hyperlnk"/>
          </w:rPr>
          <w:t>Parallelltexter</w:t>
        </w:r>
        <w:r w:rsidR="000058DF">
          <w:rPr>
            <w:webHidden/>
          </w:rPr>
          <w:tab/>
        </w:r>
        <w:r w:rsidR="000058DF">
          <w:rPr>
            <w:webHidden/>
          </w:rPr>
          <w:fldChar w:fldCharType="begin"/>
        </w:r>
        <w:r w:rsidR="000058DF">
          <w:rPr>
            <w:webHidden/>
          </w:rPr>
          <w:instrText xml:space="preserve"> PAGEREF _Toc65663778 \h </w:instrText>
        </w:r>
        <w:r w:rsidR="000058DF">
          <w:rPr>
            <w:webHidden/>
          </w:rPr>
        </w:r>
        <w:r w:rsidR="000058DF">
          <w:rPr>
            <w:webHidden/>
          </w:rPr>
          <w:fldChar w:fldCharType="separate"/>
        </w:r>
        <w:r>
          <w:rPr>
            <w:webHidden/>
          </w:rPr>
          <w:t>20</w:t>
        </w:r>
        <w:r w:rsidR="000058DF">
          <w:rPr>
            <w:webHidden/>
          </w:rPr>
          <w:fldChar w:fldCharType="end"/>
        </w:r>
      </w:hyperlink>
    </w:p>
    <w:p w14:paraId="21456469" w14:textId="29E82850" w:rsidR="00AF3004" w:rsidRDefault="00AF3004">
      <w:pPr>
        <w:pStyle w:val="ANormal"/>
        <w:rPr>
          <w:noProof/>
        </w:rPr>
      </w:pPr>
      <w:r>
        <w:rPr>
          <w:rFonts w:ascii="Verdana" w:hAnsi="Verdana"/>
          <w:noProof/>
          <w:sz w:val="16"/>
          <w:szCs w:val="36"/>
        </w:rPr>
        <w:fldChar w:fldCharType="end"/>
      </w:r>
    </w:p>
    <w:p w14:paraId="7E29CDCF" w14:textId="77777777" w:rsidR="00AF3004" w:rsidRDefault="00AF3004">
      <w:pPr>
        <w:pStyle w:val="ANormal"/>
      </w:pPr>
      <w:r>
        <w:br w:type="page"/>
      </w:r>
    </w:p>
    <w:p w14:paraId="24C96AD9" w14:textId="77777777" w:rsidR="00AF3004" w:rsidRDefault="00AF3004">
      <w:pPr>
        <w:pStyle w:val="RubrikA"/>
      </w:pPr>
      <w:bookmarkStart w:id="2" w:name="_Toc65663758"/>
      <w:r>
        <w:lastRenderedPageBreak/>
        <w:t>Allmän motivering</w:t>
      </w:r>
      <w:bookmarkEnd w:id="2"/>
    </w:p>
    <w:p w14:paraId="5E14C8FE" w14:textId="77777777" w:rsidR="00AF3004" w:rsidRDefault="00AF3004">
      <w:pPr>
        <w:pStyle w:val="Rubrikmellanrum"/>
      </w:pPr>
    </w:p>
    <w:p w14:paraId="5E6FA106" w14:textId="3890AFDD" w:rsidR="00AF3004" w:rsidRDefault="00AF3004">
      <w:pPr>
        <w:pStyle w:val="RubrikB"/>
      </w:pPr>
      <w:bookmarkStart w:id="3" w:name="_Toc65663759"/>
      <w:r>
        <w:t xml:space="preserve">1. </w:t>
      </w:r>
      <w:r w:rsidR="002D1CC1">
        <w:t>Bakgrund</w:t>
      </w:r>
      <w:bookmarkEnd w:id="3"/>
    </w:p>
    <w:p w14:paraId="7B813A78" w14:textId="77777777" w:rsidR="00AF3004" w:rsidRDefault="00AF3004">
      <w:pPr>
        <w:pStyle w:val="Rubrikmellanrum"/>
      </w:pPr>
    </w:p>
    <w:p w14:paraId="27ACFEE3" w14:textId="1A68FE6E" w:rsidR="00AF3004" w:rsidRDefault="00AF3004">
      <w:pPr>
        <w:pStyle w:val="RubrikC"/>
      </w:pPr>
      <w:bookmarkStart w:id="4" w:name="_Toc65663760"/>
      <w:r>
        <w:t xml:space="preserve">1.1 </w:t>
      </w:r>
      <w:r w:rsidR="002D1CC1">
        <w:t>K</w:t>
      </w:r>
      <w:r w:rsidR="00765712">
        <w:t>ommunalbeskattning av samfund</w:t>
      </w:r>
      <w:bookmarkEnd w:id="4"/>
    </w:p>
    <w:p w14:paraId="32BB1685" w14:textId="48F585B3" w:rsidR="00AF3004" w:rsidRDefault="00AF3004">
      <w:pPr>
        <w:pStyle w:val="Rubrikmellanrum"/>
      </w:pPr>
    </w:p>
    <w:p w14:paraId="0E16ED20" w14:textId="7E1FB43F" w:rsidR="002D1CC1" w:rsidRDefault="002D1CC1" w:rsidP="002D1CC1">
      <w:pPr>
        <w:pStyle w:val="RubrikD"/>
      </w:pPr>
      <w:r>
        <w:t>Gällande lagstiftning</w:t>
      </w:r>
    </w:p>
    <w:p w14:paraId="2152CEF2" w14:textId="77777777" w:rsidR="002D1CC1" w:rsidRPr="002D1CC1" w:rsidRDefault="002D1CC1" w:rsidP="002D1CC1">
      <w:pPr>
        <w:pStyle w:val="Rubrikmellanrum"/>
      </w:pPr>
    </w:p>
    <w:p w14:paraId="0E913D25" w14:textId="2CF23A48" w:rsidR="003C7CAA" w:rsidRDefault="00CD48CE" w:rsidP="003C7CAA">
      <w:pPr>
        <w:pStyle w:val="ANormal"/>
      </w:pPr>
      <w:r>
        <w:t>B</w:t>
      </w:r>
      <w:r w:rsidR="003C7CAA">
        <w:t xml:space="preserve">ehörigheten att lagstifta om beskattning av </w:t>
      </w:r>
      <w:r>
        <w:t>företag</w:t>
      </w:r>
      <w:r w:rsidR="003C7CAA">
        <w:t xml:space="preserve"> och samfäll</w:t>
      </w:r>
      <w:r>
        <w:t>igheter (samfundsbeskattning)</w:t>
      </w:r>
      <w:r w:rsidR="003C7CAA">
        <w:t xml:space="preserve"> är delad mellan </w:t>
      </w:r>
      <w:r w:rsidR="002C687F">
        <w:t>landskapet</w:t>
      </w:r>
      <w:r w:rsidR="003C7CAA">
        <w:t xml:space="preserve"> och rike</w:t>
      </w:r>
      <w:r w:rsidR="002C687F">
        <w:t>t</w:t>
      </w:r>
      <w:r w:rsidR="003C7CAA">
        <w:t>.</w:t>
      </w:r>
      <w:r w:rsidR="003C7CAA" w:rsidRPr="003C7CAA">
        <w:t xml:space="preserve"> </w:t>
      </w:r>
      <w:r w:rsidR="003C7CAA">
        <w:t xml:space="preserve">Skatt till kommunerna hör </w:t>
      </w:r>
      <w:r w:rsidR="007A18B3">
        <w:t xml:space="preserve">till området för </w:t>
      </w:r>
      <w:r w:rsidR="002C687F">
        <w:t>landskapets</w:t>
      </w:r>
      <w:r w:rsidR="007A18B3">
        <w:t xml:space="preserve"> </w:t>
      </w:r>
      <w:r w:rsidR="003C7CAA">
        <w:t>lagstiftningsbehörighet enligt 18</w:t>
      </w:r>
      <w:r w:rsidR="00740664">
        <w:t> §</w:t>
      </w:r>
      <w:r w:rsidR="003C7CAA">
        <w:t xml:space="preserve"> 5</w:t>
      </w:r>
      <w:r w:rsidR="002C687F">
        <w:t> </w:t>
      </w:r>
      <w:r w:rsidR="003C7CAA">
        <w:t>p. självstyrelselagen</w:t>
      </w:r>
      <w:r w:rsidR="007A18B3">
        <w:t>,</w:t>
      </w:r>
      <w:r w:rsidR="003C7CAA" w:rsidRPr="00226DA0">
        <w:t xml:space="preserve"> </w:t>
      </w:r>
      <w:r w:rsidR="003C7CAA">
        <w:t xml:space="preserve">medan </w:t>
      </w:r>
      <w:r w:rsidR="007A18B3">
        <w:t>skatt till staten hör till rike</w:t>
      </w:r>
      <w:r w:rsidR="002C687F">
        <w:t>t</w:t>
      </w:r>
      <w:r w:rsidR="007A18B3">
        <w:t xml:space="preserve">s </w:t>
      </w:r>
      <w:r w:rsidR="003C7CAA">
        <w:t>behörighet enligt 27</w:t>
      </w:r>
      <w:r w:rsidR="00740664">
        <w:t> §</w:t>
      </w:r>
      <w:r w:rsidR="003C7CAA">
        <w:t xml:space="preserve"> 36 p.</w:t>
      </w:r>
      <w:r w:rsidR="001A7641">
        <w:t xml:space="preserve"> Trots detta betraktas</w:t>
      </w:r>
      <w:r w:rsidR="001A7641" w:rsidRPr="001A7641">
        <w:t xml:space="preserve"> </w:t>
      </w:r>
      <w:r w:rsidR="001A7641">
        <w:t>samfundsskatten</w:t>
      </w:r>
      <w:r w:rsidR="001A7641" w:rsidRPr="001A7641">
        <w:t xml:space="preserve"> </w:t>
      </w:r>
      <w:r w:rsidR="001A7641">
        <w:t>i riket som en enhetlig skatt som fördelas mellan de båda skattetagarna staten och kommunerna. De enhetliga skattesatserna anges i 124</w:t>
      </w:r>
      <w:r w:rsidR="00740664">
        <w:t> §</w:t>
      </w:r>
      <w:r w:rsidR="001A7641">
        <w:t xml:space="preserve"> </w:t>
      </w:r>
      <w:r w:rsidR="00227078">
        <w:t xml:space="preserve">i </w:t>
      </w:r>
      <w:r w:rsidR="001A7641">
        <w:t xml:space="preserve">inkomstskattelagen (FFS 1535/1992) och för närvarande är de 20 % för samfund och 26,5 % för samfällda förmåner. Bestämmelserna om hur skatterna fördelas mellan </w:t>
      </w:r>
      <w:proofErr w:type="spellStart"/>
      <w:r w:rsidR="001A7641">
        <w:t>skattetagarna</w:t>
      </w:r>
      <w:proofErr w:type="spellEnd"/>
      <w:r w:rsidR="001A7641">
        <w:t xml:space="preserve"> finns i 12</w:t>
      </w:r>
      <w:r w:rsidR="00740664">
        <w:t> §</w:t>
      </w:r>
      <w:r w:rsidR="001A7641">
        <w:t xml:space="preserve"> </w:t>
      </w:r>
      <w:r w:rsidR="00227078">
        <w:t xml:space="preserve">i </w:t>
      </w:r>
      <w:r w:rsidR="001A7641">
        <w:t xml:space="preserve">lagen om skatteredovisning (FFS 532/1998). </w:t>
      </w:r>
      <w:r w:rsidR="003C7CAA">
        <w:t xml:space="preserve">Till den del samfundsskatten uppbärs till staten </w:t>
      </w:r>
      <w:r w:rsidR="001A7641">
        <w:t>gäller</w:t>
      </w:r>
      <w:r w:rsidR="003C7CAA">
        <w:t xml:space="preserve"> bestämmelserna i rikslagstiftningen även </w:t>
      </w:r>
      <w:r w:rsidR="001A7641">
        <w:t>för</w:t>
      </w:r>
      <w:r w:rsidR="003C7CAA">
        <w:t xml:space="preserve"> företag och samfälligheter på Åland.</w:t>
      </w:r>
      <w:r w:rsidR="003C7CAA" w:rsidRPr="00A35A24">
        <w:t xml:space="preserve"> </w:t>
      </w:r>
      <w:r w:rsidR="003C7CAA">
        <w:t>När det gäller den kommunala andelen regleras</w:t>
      </w:r>
      <w:r w:rsidR="001A7641">
        <w:t xml:space="preserve"> den</w:t>
      </w:r>
      <w:r w:rsidR="003C7CAA">
        <w:t xml:space="preserve"> i kommunalskattelagen (2011:119) för landskapet Åland. </w:t>
      </w:r>
      <w:bookmarkStart w:id="5" w:name="_Hlk57715359"/>
      <w:r w:rsidR="003C7CAA">
        <w:t>Formellt sett är kommunalskattesatserna inte beroende av bestämmelserna i rikslagstiftningen, men lagtinget har hittills valt att sätta procentsatserna så att de totala skattesatserna är desamma på Åland som i riket.</w:t>
      </w:r>
    </w:p>
    <w:bookmarkEnd w:id="5"/>
    <w:p w14:paraId="34C7B5B0" w14:textId="5966EDC9" w:rsidR="00037A58" w:rsidRDefault="00830F2D">
      <w:pPr>
        <w:pStyle w:val="ANormal"/>
      </w:pPr>
      <w:r>
        <w:tab/>
        <w:t xml:space="preserve">Kommunalskattelagen är en blankettlag som anger att inkomstskattelagen och lagen om skatteredovisning med vissa undantag ska tillämpas i landskapet. Sådana undantag är till exempel kommunalskattesatsen för samfund och fördelningen av samfundsskatten mellan de enskilda kommunerna. Kommunalbeskattningen av näringsverksamhet och jordbruk regleras dessutom i </w:t>
      </w:r>
      <w:bookmarkStart w:id="6" w:name="_Hlk61007018"/>
      <w:r>
        <w:t xml:space="preserve">landskapslagen (1993:42) om kommunalskatt för näringsverksamhet </w:t>
      </w:r>
      <w:bookmarkEnd w:id="6"/>
      <w:r>
        <w:t>respektive landskapslagen (1993:41) om kommunalskatt för gårdsbruk.</w:t>
      </w:r>
      <w:r w:rsidRPr="00023D9B">
        <w:t xml:space="preserve"> </w:t>
      </w:r>
      <w:r>
        <w:t>Även dessa lagar är blankettlagar. Den förstnämnda anger att resultatet av näringsverksamhet beräknas i enlighet med lagen om beskattning av inkomst av näringsverksamhet (FFS 360/1968), medan den sistnämnda anger att resultatet av jordbruk beräknas i enlighet med inkomstskattelagen för gårdsbruk (FFS 543/1967).</w:t>
      </w:r>
      <w:r w:rsidRPr="00830F2D">
        <w:t xml:space="preserve"> </w:t>
      </w:r>
      <w:r>
        <w:t>För alla dessa landskapslagar gäller att ändringar i riksförfattningarna träder i kraft automatiskt i landskapet samtidigt som i riket, förutom när det gäller bestämmelser som utgör undantag från rikslagstiftningen.</w:t>
      </w:r>
    </w:p>
    <w:p w14:paraId="3147A193" w14:textId="63B2B1A6" w:rsidR="004063B0" w:rsidRDefault="00F477D7">
      <w:pPr>
        <w:pStyle w:val="ANormal"/>
      </w:pPr>
      <w:r>
        <w:tab/>
        <w:t xml:space="preserve">All landskapslagstiftning på skatteområdet är dock inte blankettlagstiftning. </w:t>
      </w:r>
      <w:r w:rsidR="00CD48CE">
        <w:t>I la</w:t>
      </w:r>
      <w:r>
        <w:t xml:space="preserve">ndskapslagen (1989:23) om koncernbidrag vid kommunalbeskattningen </w:t>
      </w:r>
      <w:r w:rsidR="00ED0D64">
        <w:t xml:space="preserve">regleras hur koncernbidrag som överförs mellan moderbolag och dotterbolag inom en koncern </w:t>
      </w:r>
      <w:r w:rsidR="00C841F7">
        <w:t>behandlas</w:t>
      </w:r>
      <w:r w:rsidR="00ED0D64">
        <w:t xml:space="preserve"> vid kommunalbeskattningen. </w:t>
      </w:r>
      <w:r w:rsidR="009265D2">
        <w:t xml:space="preserve">Lagstiftningen möjliggör öppen resultatutjämning inom en koncern genom att en förlust för ett koncernbolag kan ställas mot vinsten för ett annat koncernbolag. Om villkoren enligt lagstiftningen uppfylls kan således koncernbolag påverka i vilket bolag inkomst beskattas. Givaren av koncernbidrag får dra av bidraget vid beskattningen och det räknas som skattepliktig inkomst för mottagaren. </w:t>
      </w:r>
      <w:r w:rsidR="00306CAF">
        <w:t>Rätten att ge och ta emot</w:t>
      </w:r>
      <w:r w:rsidR="00ED0D64">
        <w:t xml:space="preserve"> koncernbidrag </w:t>
      </w:r>
      <w:r w:rsidR="00306CAF">
        <w:t>gäller enligt lagen</w:t>
      </w:r>
      <w:r w:rsidR="00ED0D64">
        <w:t xml:space="preserve"> </w:t>
      </w:r>
      <w:r w:rsidR="004063B0">
        <w:t>aktiebolag och andelslag som bedriver rörelse</w:t>
      </w:r>
      <w:r w:rsidR="00C841F7">
        <w:t>, förutsatt att bidraget inte får avdras enligt landskapslagen om kommunalskatt för näringsverksamhet</w:t>
      </w:r>
      <w:r w:rsidR="004063B0">
        <w:t xml:space="preserve">. </w:t>
      </w:r>
      <w:r w:rsidR="00ED0D64">
        <w:t xml:space="preserve">Landskapslagen är </w:t>
      </w:r>
      <w:r w:rsidR="00CD48CE">
        <w:t xml:space="preserve">ingen blankettlag utan var ursprungligen </w:t>
      </w:r>
      <w:r w:rsidR="00ED0D64">
        <w:t>en kopia av lag</w:t>
      </w:r>
      <w:r w:rsidR="004063B0">
        <w:t>en</w:t>
      </w:r>
      <w:r w:rsidR="00ED0D64">
        <w:t xml:space="preserve"> om koncernbidrag vid beskattningen (FFS 825/1986), som för övrigt tillämpas vid statsbeskattningen även på Åland.</w:t>
      </w:r>
    </w:p>
    <w:p w14:paraId="3D3AABC6" w14:textId="77777777" w:rsidR="00500B72" w:rsidRPr="00500B72" w:rsidRDefault="00500B72" w:rsidP="00500B72">
      <w:pPr>
        <w:pStyle w:val="ANormal"/>
      </w:pPr>
    </w:p>
    <w:p w14:paraId="0EDC9124" w14:textId="728189F4" w:rsidR="00500B72" w:rsidRDefault="000E62D7" w:rsidP="000E62D7">
      <w:pPr>
        <w:pStyle w:val="RubrikD"/>
      </w:pPr>
      <w:r>
        <w:t>Änd</w:t>
      </w:r>
      <w:r w:rsidR="00500B72">
        <w:t>ringar i samfundsbeskattningen under skatteåret 2020</w:t>
      </w:r>
    </w:p>
    <w:p w14:paraId="3EB8CD1F" w14:textId="77777777" w:rsidR="00500B72" w:rsidRDefault="00500B72" w:rsidP="00500B72">
      <w:pPr>
        <w:pStyle w:val="Rubrikmellanrum"/>
      </w:pPr>
    </w:p>
    <w:p w14:paraId="52A1FD32" w14:textId="10E04F88" w:rsidR="00500B72" w:rsidRDefault="00500B72" w:rsidP="00500B72">
      <w:pPr>
        <w:pStyle w:val="ANormal"/>
      </w:pPr>
      <w:r>
        <w:t xml:space="preserve">Genom en temporär lagändring </w:t>
      </w:r>
      <w:r w:rsidR="002C687F">
        <w:t xml:space="preserve">(2020/93) </w:t>
      </w:r>
      <w:r>
        <w:t xml:space="preserve">som trädde i kraft den 1 oktober höjdes kommunalskattesatsen för samfund med 2 procentenheter för </w:t>
      </w:r>
      <w:r>
        <w:lastRenderedPageBreak/>
        <w:t>skatteåret 2020. Höjningen var en del i ett åtgärdspaket för att stödja kommunerna i det ekonomiska läge som förorsakades av den undantagssituation som rådde under våren. Samtidigt var den också en följd av en ändring av lagen om skatteredovisning i riket</w:t>
      </w:r>
      <w:r w:rsidR="002C687F">
        <w:t>.</w:t>
      </w:r>
      <w:r>
        <w:t xml:space="preserve"> </w:t>
      </w:r>
      <w:r w:rsidR="002C687F">
        <w:t>Ändringen</w:t>
      </w:r>
      <w:r>
        <w:t xml:space="preserve"> innebar att kommunernas andel av samfundsskatten höjdes med 10 procentenheter, från 32,13 till 42,13 procent, samtidigt som statens andel sänktes från 67,87 till 57,87 procent.</w:t>
      </w:r>
      <w:r w:rsidRPr="00810CA6">
        <w:t xml:space="preserve"> </w:t>
      </w:r>
      <w:r>
        <w:t>Den ändrade fördelningen gäll</w:t>
      </w:r>
      <w:r w:rsidR="002C687F">
        <w:t>de</w:t>
      </w:r>
      <w:r>
        <w:t xml:space="preserve"> temporärt för skatteåret 2020 (se FFS 559/2020). För att de åländska kommunerna skulle stödjas på motsvarande sätt höjdes kommunalskattesatsen för samfund från 6,426 till 8,426 procent. För företagen och samfälligheterna på Åland </w:t>
      </w:r>
      <w:r w:rsidR="002C687F">
        <w:t>v</w:t>
      </w:r>
      <w:r>
        <w:t>ar de totala skattesatserna under hela året oförändrade 20 procent och 26,5 procent.</w:t>
      </w:r>
    </w:p>
    <w:p w14:paraId="22AD8E5E" w14:textId="48C9178A" w:rsidR="00500B72" w:rsidRDefault="00500B72" w:rsidP="00500B72">
      <w:pPr>
        <w:pStyle w:val="ANormal"/>
      </w:pPr>
    </w:p>
    <w:p w14:paraId="652244BA" w14:textId="3E10815E" w:rsidR="002F23F8" w:rsidRDefault="002F23F8" w:rsidP="002F23F8">
      <w:pPr>
        <w:pStyle w:val="RubrikC"/>
      </w:pPr>
      <w:bookmarkStart w:id="7" w:name="_Toc65663761"/>
      <w:bookmarkStart w:id="8" w:name="_Hlk61528537"/>
      <w:r>
        <w:t>1.</w:t>
      </w:r>
      <w:r w:rsidR="007C79AA">
        <w:t>2</w:t>
      </w:r>
      <w:r>
        <w:t xml:space="preserve">. </w:t>
      </w:r>
      <w:r w:rsidR="002061FD">
        <w:t>Å</w:t>
      </w:r>
      <w:r>
        <w:t>tgärder</w:t>
      </w:r>
      <w:r w:rsidR="002061FD">
        <w:t xml:space="preserve"> som vidta</w:t>
      </w:r>
      <w:r w:rsidR="006A4F0D">
        <w:t>git</w:t>
      </w:r>
      <w:r w:rsidR="002061FD">
        <w:t>s</w:t>
      </w:r>
      <w:r>
        <w:t xml:space="preserve"> i riket för skatteåret 2021</w:t>
      </w:r>
      <w:bookmarkEnd w:id="7"/>
    </w:p>
    <w:p w14:paraId="446C5F4C" w14:textId="0C90B80F" w:rsidR="002F23F8" w:rsidRDefault="002F23F8" w:rsidP="002F23F8">
      <w:pPr>
        <w:pStyle w:val="Rubrikmellanrum"/>
      </w:pPr>
    </w:p>
    <w:bookmarkEnd w:id="8"/>
    <w:p w14:paraId="26F1DBEF" w14:textId="0857D406" w:rsidR="002F23F8" w:rsidRDefault="002061FD" w:rsidP="002F23F8">
      <w:pPr>
        <w:pStyle w:val="ANormal"/>
      </w:pPr>
      <w:r>
        <w:t>I slutet av förra året överlämnade regeringen i riket</w:t>
      </w:r>
      <w:r w:rsidR="000F59B6">
        <w:t xml:space="preserve"> tre olika propositioner som rör samfundsbeskattningen</w:t>
      </w:r>
      <w:r>
        <w:t xml:space="preserve"> till riksdagen</w:t>
      </w:r>
      <w:r w:rsidR="00714BE3">
        <w:t>. De lagändringar som ing</w:t>
      </w:r>
      <w:r>
        <w:t>ick</w:t>
      </w:r>
      <w:r w:rsidR="00714BE3">
        <w:t xml:space="preserve"> i propositionerna </w:t>
      </w:r>
      <w:r>
        <w:t>trädde</w:t>
      </w:r>
      <w:r w:rsidR="00714BE3">
        <w:t xml:space="preserve"> </w:t>
      </w:r>
      <w:proofErr w:type="gramStart"/>
      <w:r w:rsidR="00714BE3">
        <w:t>ikraft</w:t>
      </w:r>
      <w:proofErr w:type="gramEnd"/>
      <w:r w:rsidR="00714BE3">
        <w:t xml:space="preserve"> den 1 januari 2021.</w:t>
      </w:r>
    </w:p>
    <w:p w14:paraId="4996B2F7" w14:textId="77777777" w:rsidR="004D1372" w:rsidRDefault="004D1372" w:rsidP="00EA2063">
      <w:pPr>
        <w:pStyle w:val="ANormal"/>
      </w:pPr>
    </w:p>
    <w:p w14:paraId="3C843E49" w14:textId="6C93FB58" w:rsidR="004D1372" w:rsidRDefault="004D1372" w:rsidP="004D1372">
      <w:pPr>
        <w:pStyle w:val="RubrikD"/>
      </w:pPr>
      <w:r>
        <w:t>Ändring av lagen om skatteredovisning och inkomstskattelagen (RP 194/2020</w:t>
      </w:r>
      <w:r w:rsidR="00583A82">
        <w:t>, FFS 1073 och 1074/2020</w:t>
      </w:r>
      <w:r>
        <w:t>)</w:t>
      </w:r>
    </w:p>
    <w:p w14:paraId="01B7BA3D" w14:textId="77777777" w:rsidR="004D1372" w:rsidRPr="004D1372" w:rsidRDefault="004D1372" w:rsidP="004D1372">
      <w:pPr>
        <w:pStyle w:val="Rubrikmellanrum"/>
      </w:pPr>
    </w:p>
    <w:p w14:paraId="33527385" w14:textId="27D4CD36" w:rsidR="00643D9F" w:rsidRDefault="00C15D41" w:rsidP="00EA2063">
      <w:pPr>
        <w:pStyle w:val="ANormal"/>
      </w:pPr>
      <w:r>
        <w:t xml:space="preserve">Genom </w:t>
      </w:r>
      <w:r w:rsidR="00583A82">
        <w:t>ändringen</w:t>
      </w:r>
      <w:r>
        <w:t xml:space="preserve"> </w:t>
      </w:r>
      <w:r w:rsidR="00583A82">
        <w:t xml:space="preserve">höjs </w:t>
      </w:r>
      <w:r w:rsidR="00735DB9">
        <w:t>kommun</w:t>
      </w:r>
      <w:r w:rsidR="004D1372">
        <w:t>ernas</w:t>
      </w:r>
      <w:r w:rsidR="00735DB9">
        <w:t xml:space="preserve"> andel av samfundsskatten</w:t>
      </w:r>
      <w:r w:rsidR="004D1372">
        <w:t xml:space="preserve"> medan statens andel sänks. Omfördelningen har flera</w:t>
      </w:r>
      <w:r w:rsidR="00643D9F">
        <w:t xml:space="preserve"> olika orsaker:</w:t>
      </w:r>
    </w:p>
    <w:p w14:paraId="191FEFEA" w14:textId="595610CF" w:rsidR="00643D9F" w:rsidRDefault="00643D9F" w:rsidP="00643D9F">
      <w:pPr>
        <w:pStyle w:val="ANormal"/>
        <w:numPr>
          <w:ilvl w:val="0"/>
          <w:numId w:val="47"/>
        </w:numPr>
      </w:pPr>
      <w:r>
        <w:t xml:space="preserve">Den höjning med 10 procentenheter </w:t>
      </w:r>
      <w:r w:rsidR="00735DB9">
        <w:t>som gjordes temporärt under 2020 förlängs så att den även gäll</w:t>
      </w:r>
      <w:r w:rsidR="00583A82">
        <w:t>er</w:t>
      </w:r>
      <w:r>
        <w:t xml:space="preserve"> </w:t>
      </w:r>
      <w:r w:rsidR="00735DB9">
        <w:t>skatteåret 2021.</w:t>
      </w:r>
      <w:r w:rsidR="004D1372">
        <w:t xml:space="preserve"> Det sker för att fortsättningsvis stödja kommunerna ekonomiskt under den pågående pandemin.</w:t>
      </w:r>
    </w:p>
    <w:p w14:paraId="55F83171" w14:textId="4164BF36" w:rsidR="00EA2063" w:rsidRDefault="00643D9F" w:rsidP="00643D9F">
      <w:pPr>
        <w:pStyle w:val="ANormal"/>
        <w:numPr>
          <w:ilvl w:val="0"/>
          <w:numId w:val="47"/>
        </w:numPr>
      </w:pPr>
      <w:r>
        <w:t>Andelen höjs permanent med 2 procentenheter för att kompensera kommunerna för det intäktsbortfall som orsakas av att avgifterna inom småbarnspedagogiken sänks.</w:t>
      </w:r>
    </w:p>
    <w:p w14:paraId="5108446C" w14:textId="19CA6E37" w:rsidR="00643D9F" w:rsidRDefault="00C15D41" w:rsidP="00643D9F">
      <w:pPr>
        <w:pStyle w:val="ANormal"/>
        <w:numPr>
          <w:ilvl w:val="0"/>
          <w:numId w:val="47"/>
        </w:numPr>
      </w:pPr>
      <w:r>
        <w:t>Andelen höjs temporärt med 0,10 procentenheter för att kompensera kommunerna för den sänkning av skatteintäkterna som orsakas av det föreslagna tilläggsavdraget för forsknings- och utvecklingsverksamhet 2021–2025.</w:t>
      </w:r>
    </w:p>
    <w:p w14:paraId="73FBB539" w14:textId="77777777" w:rsidR="004D1372" w:rsidRDefault="004D1372" w:rsidP="004D1372">
      <w:pPr>
        <w:pStyle w:val="ANormal"/>
      </w:pPr>
    </w:p>
    <w:p w14:paraId="35F7B2BD" w14:textId="098728EE" w:rsidR="004D1372" w:rsidRDefault="004D1372" w:rsidP="004D1372">
      <w:pPr>
        <w:pStyle w:val="RubrikD"/>
      </w:pPr>
      <w:r>
        <w:t>Lag om tilläggsavdrag för forsknings- och utvecklingsverksamhet under skatteåren 2021–2025 (RP 196/2020</w:t>
      </w:r>
      <w:r w:rsidR="00583A82">
        <w:t>, FFS 1078/2020</w:t>
      </w:r>
      <w:r>
        <w:t>)</w:t>
      </w:r>
    </w:p>
    <w:p w14:paraId="4EF14864" w14:textId="19730EE1" w:rsidR="006165D8" w:rsidRDefault="006165D8" w:rsidP="006165D8">
      <w:pPr>
        <w:pStyle w:val="Rubrikmellanrum"/>
      </w:pPr>
    </w:p>
    <w:p w14:paraId="6E0E8C73" w14:textId="6E0C1371" w:rsidR="006165D8" w:rsidRPr="006165D8" w:rsidRDefault="00583A82" w:rsidP="006165D8">
      <w:pPr>
        <w:pStyle w:val="ANormal"/>
      </w:pPr>
      <w:r>
        <w:t>E</w:t>
      </w:r>
      <w:r w:rsidR="006165D8">
        <w:t xml:space="preserve">tt nytt tilläggsavdrag för forsknings- och utvecklingsverksamhet </w:t>
      </w:r>
      <w:r>
        <w:t xml:space="preserve">införs </w:t>
      </w:r>
      <w:r w:rsidR="006165D8">
        <w:t>under en femårsperiod. Rätt att göra tilläggsavdraget har alla skattskyldiga som bedriver näringsverksamhet eller jordbruk och som har forskningssamarbete med en forskningsorganisation som uppfyller kriterierna. Avdraget ska göras från inkomsten av näringsverksamheten eller jordbruket. Avdragsbeloppet är 50 procent av företagets fakturor för underentreprenad</w:t>
      </w:r>
      <w:r w:rsidR="00E2562E">
        <w:t xml:space="preserve"> för forskningsprojekt. Maxbeloppet för avdraget är 500 000 euro per skatteår, och det minsta beloppet är 5 000 euro. Tilläggsavdraget är ett nytt skattestöd som inte </w:t>
      </w:r>
      <w:r w:rsidR="00E63817">
        <w:t>bedöms</w:t>
      </w:r>
      <w:r w:rsidR="00E2562E">
        <w:t xml:space="preserve"> vara</w:t>
      </w:r>
      <w:r w:rsidR="00E63817">
        <w:t xml:space="preserve"> ett</w:t>
      </w:r>
      <w:r w:rsidR="00E2562E">
        <w:t xml:space="preserve"> statligt stöd ur EU-rättsperspektiv.</w:t>
      </w:r>
    </w:p>
    <w:p w14:paraId="45F48530" w14:textId="3F2F1941" w:rsidR="00EA2063" w:rsidRDefault="00EA2063" w:rsidP="004D1372">
      <w:pPr>
        <w:pStyle w:val="ANormal"/>
      </w:pPr>
    </w:p>
    <w:p w14:paraId="42DFE043" w14:textId="10E7B784" w:rsidR="00EA2063" w:rsidRDefault="00EA2063" w:rsidP="00EA2063">
      <w:pPr>
        <w:pStyle w:val="RubrikD"/>
      </w:pPr>
      <w:r>
        <w:t>Ändring av inkomstskattelagen, lagen om beskattning av inkomst av näringsverksamhet och lagen om koncernbidrag vid beskattningen (RP 136/2020</w:t>
      </w:r>
      <w:r w:rsidR="004E3C8B">
        <w:t>, FFS 1188, 1189 och 1190/2020</w:t>
      </w:r>
      <w:r>
        <w:t>)</w:t>
      </w:r>
    </w:p>
    <w:p w14:paraId="4514BC2D" w14:textId="4783D20E" w:rsidR="00EA2063" w:rsidRDefault="00EA2063" w:rsidP="00EA2063">
      <w:pPr>
        <w:pStyle w:val="Rubrikmellanrum"/>
      </w:pPr>
    </w:p>
    <w:p w14:paraId="00B047BE" w14:textId="64E46F95" w:rsidR="00485CE6" w:rsidRDefault="009D5FF1" w:rsidP="00EA2063">
      <w:pPr>
        <w:pStyle w:val="ANormal"/>
      </w:pPr>
      <w:r>
        <w:t xml:space="preserve">Genom </w:t>
      </w:r>
      <w:r w:rsidR="00CB4B0A">
        <w:t>ändringen</w:t>
      </w:r>
      <w:r>
        <w:t xml:space="preserve"> </w:t>
      </w:r>
      <w:r w:rsidR="00CB4B0A">
        <w:t>fogas en bestämmelse till</w:t>
      </w:r>
      <w:r w:rsidR="00485CE6">
        <w:t xml:space="preserve"> inkomstskattelagen </w:t>
      </w:r>
      <w:r w:rsidR="00CB4B0A">
        <w:t xml:space="preserve">enligt </w:t>
      </w:r>
      <w:r w:rsidR="00485CE6">
        <w:t xml:space="preserve">vilken inhemska samfund ska avse samfund som är registrerade eller bildade i Finland. Dessutom </w:t>
      </w:r>
      <w:r w:rsidR="00CB4B0A">
        <w:t>innebär ändringen</w:t>
      </w:r>
      <w:r w:rsidR="00485CE6">
        <w:t xml:space="preserve"> att ett utländskt samfund ska betraktas som allmänt skattskyldigt om det utländska samfundets verkliga ledning utövas i landet. Ett utländskt samfunds verkliga ledning finns på den plats där samfundets viktigaste beslut om den högsta dagliga ledningen fattas.</w:t>
      </w:r>
    </w:p>
    <w:p w14:paraId="15BA2BC9" w14:textId="01718F32" w:rsidR="00446E08" w:rsidRDefault="00DF6BFC" w:rsidP="00EA2063">
      <w:pPr>
        <w:pStyle w:val="ANormal"/>
      </w:pPr>
      <w:r>
        <w:lastRenderedPageBreak/>
        <w:tab/>
        <w:t xml:space="preserve">Avsikten med ändringen </w:t>
      </w:r>
      <w:r w:rsidR="00CB4B0A">
        <w:t>är</w:t>
      </w:r>
      <w:r w:rsidR="00446E08">
        <w:t xml:space="preserve"> att försöka begränsa och förhindra situationer där någon försöker undvika allmän skattskyldighet i Finland genom att bilda ett bolag utomlands, även om ägandet, ledningen och verksamheten helt och hållet finns i Finland. </w:t>
      </w:r>
      <w:r w:rsidR="009D1072">
        <w:t xml:space="preserve">Ändringen innebär att </w:t>
      </w:r>
      <w:r w:rsidR="00446E08">
        <w:t xml:space="preserve">Finlands territoriella beskattningsrätt utvidgas genom att utländska samfund som har sin verkliga ledning i landet ska anses allmänt skattskyldiga. Samtidigt </w:t>
      </w:r>
      <w:r w:rsidR="00CB4B0A">
        <w:t>är</w:t>
      </w:r>
      <w:r w:rsidR="00446E08">
        <w:t xml:space="preserve"> avsikten också att den inhemska lagstiftningen om allmän skattskyldighet för samfund ska motsvara lagstiftningen i flera andra stater, vilket gör att den</w:t>
      </w:r>
      <w:r w:rsidR="00446E08" w:rsidRPr="00446E08">
        <w:t xml:space="preserve"> </w:t>
      </w:r>
      <w:r w:rsidR="00446E08">
        <w:t>lämpar</w:t>
      </w:r>
      <w:r w:rsidR="00446E08" w:rsidRPr="00446E08">
        <w:t xml:space="preserve"> </w:t>
      </w:r>
      <w:r w:rsidR="00446E08">
        <w:t>sig bättre för att lösa situationer med dubbel hemvist i skatteavtalen.</w:t>
      </w:r>
    </w:p>
    <w:p w14:paraId="1A4F8184" w14:textId="55CFB76E" w:rsidR="009B09F8" w:rsidRDefault="006E3064" w:rsidP="00EA2063">
      <w:pPr>
        <w:pStyle w:val="ANormal"/>
      </w:pPr>
      <w:r>
        <w:tab/>
      </w:r>
      <w:r w:rsidR="00763E00">
        <w:t xml:space="preserve">Dessutom </w:t>
      </w:r>
      <w:r w:rsidR="00CB4B0A">
        <w:t>ändras</w:t>
      </w:r>
      <w:r w:rsidR="00763E00">
        <w:t xml:space="preserve"> lagen om beskattning av inkomst av näringsverksamhet bland annat när det gäller beskattningen av allmänt skattskyldiga utländska samfund och sådan</w:t>
      </w:r>
      <w:r w:rsidR="009D1072">
        <w:t>a</w:t>
      </w:r>
      <w:r w:rsidR="00763E00">
        <w:t xml:space="preserve"> samfunds fasta driftsställen som redan har funnits i Finland när den allmänna skattskyldigheten uppkommer.</w:t>
      </w:r>
    </w:p>
    <w:p w14:paraId="1FEAB937" w14:textId="59BF731E" w:rsidR="009265D2" w:rsidRDefault="009B09F8" w:rsidP="009265D2">
      <w:pPr>
        <w:pStyle w:val="ANormal"/>
      </w:pPr>
      <w:r>
        <w:tab/>
        <w:t>Slutligen</w:t>
      </w:r>
      <w:r w:rsidR="00763E00">
        <w:t xml:space="preserve"> </w:t>
      </w:r>
      <w:r w:rsidR="00CB4B0A">
        <w:t xml:space="preserve">ändras </w:t>
      </w:r>
      <w:r w:rsidR="00763E00">
        <w:t xml:space="preserve">lagen om koncernbidrag vid beskattningen så att ett allmänt skattskyldigt utländskt samfund kan vara givare och mottagare av koncernbidrag om de normala förutsättningarna för tillämpning av koncernbidragssystemet uppfylls. </w:t>
      </w:r>
      <w:r w:rsidR="009265D2">
        <w:t>Koncernbidrag har hittills inte kunnat ges mellan ett finländskt och ett utländskt samfund, eftersom lagstiftningen om koncernbidrag enbart har varit tillämplig på koncernbidrag mellan inhemska samfund. I vissa situationer har dock även ett utländskt samfund kunnat vara part när det gäller koncernbidrag. Högsta förvaltningsdomstolen konstaterar i ett avgörande från 2003 (</w:t>
      </w:r>
      <w:proofErr w:type="gramStart"/>
      <w:r w:rsidR="009265D2">
        <w:t>HFD:2003:79</w:t>
      </w:r>
      <w:proofErr w:type="gramEnd"/>
      <w:r w:rsidR="009265D2">
        <w:t xml:space="preserve">) att ett koncernbidrag som är avdragsgillt vid beskattningen och den skattepliktiga inkomst som motsvarar bidraget förutsätts ha sin effekt inom det finländska skattesystemet samt att bolag som omfattas av koncernbidragssystemet förutsätts de facto vara skattskyldiga i Finland för sin inkomst av näringsverksamhet. Om det anses att den verkliga ledningen av ett utländskt samfund utövas i Finland och att det därför är allmänt skattskyldigt i Finland, kan </w:t>
      </w:r>
      <w:r w:rsidR="009D1072">
        <w:t>samfun</w:t>
      </w:r>
      <w:r w:rsidR="009265D2">
        <w:t>det ge och få koncernbidrag för den affärsverksamhet det bedriver i Finland, om de normala villkoren för tillämpning av koncernbidragssystemet uppfylls. I så fall ska det dock förutsättas att ett utländskt samfund som är allmänt skattskyldigt i Finland på basis av var den verkliga ledningen utövas jämställs med ett inhemskt aktiebolag eller andelslag. För tydlighetens skull har det gjorts ett tillägg till lagen om koncernbidrag vid beskattningen enligt vilket allmänt skattskyldiga utländska samfund som jämställs med aktiebolag eller andelslag kan vara givare eller mottagare av koncernbidrag.</w:t>
      </w:r>
    </w:p>
    <w:p w14:paraId="0AD0410F" w14:textId="215974D7" w:rsidR="009265D2" w:rsidRDefault="009265D2" w:rsidP="009265D2">
      <w:pPr>
        <w:pStyle w:val="ANormal"/>
      </w:pPr>
      <w:r>
        <w:tab/>
        <w:t>För att ett bidrag ska behandlas som ett koncernbidrag förutsätts det i lagstiftningen om koncernbidrag dessutom att koncernförhållandet mellan givaren och mottagaren har fortgått under hela skatteåret. För att förhindra missbruk ändras lagen så att koncernförhållandet i en sådan situation som avses ovan anses ha funnits endast den tid då det utländska samfundet var skattskyldigt i Finland.</w:t>
      </w:r>
    </w:p>
    <w:p w14:paraId="7B725F77" w14:textId="6DC55296" w:rsidR="00EA2063" w:rsidRDefault="00EA2063" w:rsidP="00EA2063">
      <w:pPr>
        <w:pStyle w:val="ANormal"/>
      </w:pPr>
    </w:p>
    <w:p w14:paraId="446F9FB1" w14:textId="1CBCD5D3" w:rsidR="00C43182" w:rsidRDefault="002F23F8" w:rsidP="002F23F8">
      <w:pPr>
        <w:pStyle w:val="RubrikB"/>
      </w:pPr>
      <w:bookmarkStart w:id="9" w:name="_Toc65663762"/>
      <w:bookmarkStart w:id="10" w:name="_Hlk61528583"/>
      <w:r>
        <w:t>2. Behov av ändring</w:t>
      </w:r>
      <w:bookmarkEnd w:id="9"/>
    </w:p>
    <w:bookmarkEnd w:id="10"/>
    <w:p w14:paraId="217EC40C" w14:textId="1733D0FC" w:rsidR="002F23F8" w:rsidRDefault="002F23F8" w:rsidP="002F23F8">
      <w:pPr>
        <w:pStyle w:val="Rubrikmellanrum"/>
      </w:pPr>
    </w:p>
    <w:p w14:paraId="740CA6E1" w14:textId="12DE3917" w:rsidR="00B1315C" w:rsidRDefault="00E85860" w:rsidP="00B1315C">
      <w:pPr>
        <w:pStyle w:val="ANormal"/>
      </w:pPr>
      <w:r>
        <w:t>En del av de</w:t>
      </w:r>
      <w:r w:rsidR="00B1315C">
        <w:t xml:space="preserve"> skatteåtgärder som </w:t>
      </w:r>
      <w:r w:rsidR="00C25FA4">
        <w:t>riksdagen beslutat om</w:t>
      </w:r>
      <w:r w:rsidR="00B1315C">
        <w:t xml:space="preserve"> </w:t>
      </w:r>
      <w:r w:rsidR="00133195">
        <w:t>t</w:t>
      </w:r>
      <w:r w:rsidR="00B1315C">
        <w:t>räd</w:t>
      </w:r>
      <w:r w:rsidR="00133195">
        <w:t>de</w:t>
      </w:r>
      <w:r w:rsidR="00B1315C">
        <w:t xml:space="preserve"> också på Åland</w:t>
      </w:r>
      <w:r>
        <w:t xml:space="preserve"> </w:t>
      </w:r>
      <w:r w:rsidR="00133195">
        <w:t xml:space="preserve">i kraft vid ingången av 2021, det vill säga samtidigt </w:t>
      </w:r>
      <w:r>
        <w:t>som de träd</w:t>
      </w:r>
      <w:r w:rsidR="00133195">
        <w:t>de</w:t>
      </w:r>
      <w:r>
        <w:t xml:space="preserve"> i kraft i riket</w:t>
      </w:r>
      <w:r w:rsidR="00E30FCB">
        <w:t>.</w:t>
      </w:r>
      <w:r w:rsidR="00B1315C">
        <w:t xml:space="preserve"> Till de delar åtgärderna gäller statsbeskattningen hör </w:t>
      </w:r>
      <w:r w:rsidR="009D1072">
        <w:t xml:space="preserve">de till området för rikets </w:t>
      </w:r>
      <w:r w:rsidR="00B1315C">
        <w:t>lagstiftningsbehörighet</w:t>
      </w:r>
      <w:r w:rsidR="00E30FCB">
        <w:t xml:space="preserve"> och </w:t>
      </w:r>
      <w:r w:rsidR="00C25FA4">
        <w:t xml:space="preserve">de </w:t>
      </w:r>
      <w:r>
        <w:t>är därmed</w:t>
      </w:r>
      <w:r w:rsidR="00E30FCB">
        <w:t xml:space="preserve"> </w:t>
      </w:r>
      <w:r>
        <w:t xml:space="preserve">direkt tillämpliga </w:t>
      </w:r>
      <w:r w:rsidR="00E30FCB">
        <w:t>här. Till de delar åtgärderna gäller kommunalbeskattningen träd</w:t>
      </w:r>
      <w:r w:rsidR="00133195">
        <w:t>d</w:t>
      </w:r>
      <w:r w:rsidR="00E30FCB">
        <w:t>e de till vissa delar automatiskt i kraft även på Åland, till följd av att det rör sig om ändringar av lagar som genom blankettlagstiftning tillämpas här.</w:t>
      </w:r>
    </w:p>
    <w:p w14:paraId="6B2EECEF" w14:textId="021417F9" w:rsidR="00761B65" w:rsidRDefault="00761B65" w:rsidP="00B1315C">
      <w:pPr>
        <w:pStyle w:val="ANormal"/>
      </w:pPr>
      <w:r>
        <w:tab/>
      </w:r>
      <w:r w:rsidR="009B4A90">
        <w:t>Ä</w:t>
      </w:r>
      <w:r>
        <w:t xml:space="preserve">ndringen av den statliga andelen </w:t>
      </w:r>
      <w:r w:rsidR="006D5E21">
        <w:t xml:space="preserve">av samfundsskatten </w:t>
      </w:r>
      <w:r w:rsidR="00133195">
        <w:t>har trätt</w:t>
      </w:r>
      <w:r>
        <w:t xml:space="preserve"> i kraft på Åland. För att kommunalskattesatsen ska ändras här, och den totala skattesatsen ska förbli på samma nivå som hittills, krävs lagstiftningsåtgärder </w:t>
      </w:r>
      <w:r w:rsidR="006D5E21">
        <w:t>av</w:t>
      </w:r>
      <w:r>
        <w:t xml:space="preserve"> lagtinget.</w:t>
      </w:r>
      <w:r w:rsidR="009B4A90" w:rsidRPr="009B4A90">
        <w:t xml:space="preserve"> </w:t>
      </w:r>
    </w:p>
    <w:p w14:paraId="6BEDE033" w14:textId="7240E7F1" w:rsidR="00761B65" w:rsidRDefault="00761B65" w:rsidP="00B1315C">
      <w:pPr>
        <w:pStyle w:val="ANormal"/>
      </w:pPr>
      <w:r>
        <w:lastRenderedPageBreak/>
        <w:tab/>
        <w:t xml:space="preserve">Det nya tilläggsavdraget </w:t>
      </w:r>
      <w:r w:rsidR="00C25FA4">
        <w:t>ä</w:t>
      </w:r>
      <w:r w:rsidR="00133195">
        <w:t>r</w:t>
      </w:r>
      <w:r>
        <w:t xml:space="preserve"> tillämpligt vid statsbeskattningen på Åland </w:t>
      </w:r>
      <w:r w:rsidR="00133195">
        <w:t>från och med skatteåret 2021</w:t>
      </w:r>
      <w:r>
        <w:t>. Däremot kommer tilläggs</w:t>
      </w:r>
      <w:r w:rsidR="00D32B63">
        <w:softHyphen/>
      </w:r>
      <w:r>
        <w:t xml:space="preserve">avdraget inte att </w:t>
      </w:r>
      <w:r w:rsidR="00C25FA4">
        <w:t>kunna</w:t>
      </w:r>
      <w:r>
        <w:t xml:space="preserve"> göras vid kommunalbeskattningen om inte lagtinget lagstiftar om det.</w:t>
      </w:r>
    </w:p>
    <w:p w14:paraId="7522D586" w14:textId="20AC5A08" w:rsidR="006D56A9" w:rsidRDefault="00761B65" w:rsidP="006D56A9">
      <w:pPr>
        <w:pStyle w:val="ANormal"/>
      </w:pPr>
      <w:r>
        <w:tab/>
        <w:t xml:space="preserve">När det gäller utvidgningen av den allmänna skattskyldigheten för utländska företag </w:t>
      </w:r>
      <w:r w:rsidR="00133195">
        <w:t>gäller den</w:t>
      </w:r>
      <w:r>
        <w:t xml:space="preserve"> både vid stats- och kommunal</w:t>
      </w:r>
      <w:r w:rsidR="00E93984">
        <w:softHyphen/>
      </w:r>
      <w:r>
        <w:t>beskattningen på Åland</w:t>
      </w:r>
      <w:r w:rsidR="00833EAF">
        <w:t xml:space="preserve"> eftersom både inkomstskattelagen och lagen om beskattning av inkomst av näringsverksamhet tillämpas här genom blankettlagstiftning. De ändringar som rör koncernbidrag kommer dock inte att bli tillämpliga vid kommunalbeskattningen utan lagtingets lagstiftningsåtgärder.</w:t>
      </w:r>
      <w:r w:rsidR="005C0D6B">
        <w:t xml:space="preserve"> </w:t>
      </w:r>
      <w:r w:rsidR="006D56A9" w:rsidRPr="00C25FA4">
        <w:t>I rikets lag</w:t>
      </w:r>
      <w:r w:rsidR="006D56A9">
        <w:t xml:space="preserve"> om koncernbidrag vid beskattningen</w:t>
      </w:r>
      <w:r w:rsidR="006D56A9" w:rsidRPr="00C25FA4">
        <w:t xml:space="preserve"> har </w:t>
      </w:r>
      <w:r w:rsidR="006D56A9">
        <w:t>dessutom</w:t>
      </w:r>
      <w:r w:rsidR="006D56A9" w:rsidRPr="00C25FA4">
        <w:t xml:space="preserve"> tillämpningsområdet utvidgats till att gälla alla aktiebolag och andelslag, förutsatt att lagen om beskattning av inkomst av näringsverksamhet tillämpas på beskattningen av både givare och mottagare. De ändrade reglerna gäller vid statsbeskattningen från och med skatteåret 2020. Ändringen var en del av en reform av lagstiftningen om beskattningen av näringsverksamhet som ledde till att all verksamhet som bedrivs av samfund i princip ska betraktas som näringsverksamhet. Eftersom lagen om beskattning av inkomst av näringsverksamhet tillämpas vid kommunalbeskattningen på Åland genom blankettlagstiftning har reformen till den delen trätt i kraft även här. Däremot har inte ändringen av </w:t>
      </w:r>
      <w:r w:rsidR="006D56A9">
        <w:t>bestämmelserna</w:t>
      </w:r>
      <w:r w:rsidR="006D56A9" w:rsidRPr="00C25FA4">
        <w:t xml:space="preserve"> om koncernbidrag </w:t>
      </w:r>
      <w:r w:rsidR="006D56A9">
        <w:t>införts</w:t>
      </w:r>
      <w:r w:rsidR="006D56A9" w:rsidRPr="00C25FA4">
        <w:t xml:space="preserve"> </w:t>
      </w:r>
      <w:r w:rsidR="006D56A9">
        <w:t>här, och gäller således inte vid kommunalbeskattningen</w:t>
      </w:r>
      <w:r w:rsidR="006D56A9" w:rsidRPr="00C25FA4">
        <w:t>.</w:t>
      </w:r>
    </w:p>
    <w:p w14:paraId="20072EE5" w14:textId="4E9EC41C" w:rsidR="00133195" w:rsidRDefault="00133195" w:rsidP="00B1315C">
      <w:pPr>
        <w:pStyle w:val="ANormal"/>
      </w:pPr>
    </w:p>
    <w:p w14:paraId="3BD63380" w14:textId="1178109E" w:rsidR="00133195" w:rsidRDefault="00133195" w:rsidP="00133195">
      <w:pPr>
        <w:pStyle w:val="RubrikB"/>
      </w:pPr>
      <w:bookmarkStart w:id="11" w:name="_Toc65663763"/>
      <w:r>
        <w:t>3. Landskapsregeringens förslag</w:t>
      </w:r>
      <w:bookmarkEnd w:id="11"/>
    </w:p>
    <w:p w14:paraId="1A916CB2" w14:textId="77777777" w:rsidR="00133195" w:rsidRPr="00133195" w:rsidRDefault="00133195" w:rsidP="00133195">
      <w:pPr>
        <w:pStyle w:val="Rubrikmellanrum"/>
      </w:pPr>
    </w:p>
    <w:p w14:paraId="47E010FE" w14:textId="72C3E746" w:rsidR="009E48D6" w:rsidRDefault="00911A03" w:rsidP="00B11044">
      <w:pPr>
        <w:pStyle w:val="ANormal"/>
      </w:pPr>
      <w:r>
        <w:t xml:space="preserve">Landskapsregeringen föreslår att kommunalskattesatserna för samfund och samfällda förmåner höjs så att de totala skattesatserna kvarstår oförändrade. </w:t>
      </w:r>
      <w:r w:rsidR="005C0D6B">
        <w:t>Syftet med höjningen av skattesatse</w:t>
      </w:r>
      <w:r w:rsidR="00133195">
        <w:t>rna</w:t>
      </w:r>
      <w:r w:rsidR="005C0D6B">
        <w:t xml:space="preserve"> är att stärka kommunernas ekonomi genom ökade skatteintäkter från samfundsbeskattningen.</w:t>
      </w:r>
      <w:r w:rsidR="00133195">
        <w:t xml:space="preserve"> </w:t>
      </w:r>
      <w:r w:rsidR="000D067E">
        <w:t>I de två nedan</w:t>
      </w:r>
      <w:r w:rsidR="000D067E">
        <w:softHyphen/>
        <w:t>stående tabellerna visas de föreslagna ändringarna av kommunalskattesatserna för samfund och samfällda förmåner:</w:t>
      </w:r>
    </w:p>
    <w:p w14:paraId="207FB139" w14:textId="77777777" w:rsidR="000D067E" w:rsidRDefault="000D067E" w:rsidP="000D067E">
      <w:pPr>
        <w:pStyle w:val="ANormal"/>
      </w:pPr>
    </w:p>
    <w:p w14:paraId="5DBEA089" w14:textId="77777777" w:rsidR="000D067E" w:rsidRDefault="000D067E" w:rsidP="000D067E">
      <w:pPr>
        <w:pStyle w:val="RubrikD"/>
      </w:pPr>
      <w:r>
        <w:t>Kommunalskattesatsen för samfund (total skattesats 20 %):</w:t>
      </w:r>
    </w:p>
    <w:p w14:paraId="752196E3" w14:textId="77777777" w:rsidR="000D067E" w:rsidRPr="007A6E9F" w:rsidRDefault="000D067E" w:rsidP="000D067E">
      <w:pPr>
        <w:pStyle w:val="Rubrikmellanrum"/>
      </w:pPr>
    </w:p>
    <w:tbl>
      <w:tblPr>
        <w:tblStyle w:val="Tabellrutnt"/>
        <w:tblW w:w="6663" w:type="dxa"/>
        <w:tblLayout w:type="fixed"/>
        <w:tblLook w:val="04A0" w:firstRow="1" w:lastRow="0" w:firstColumn="1" w:lastColumn="0" w:noHBand="0" w:noVBand="1"/>
      </w:tblPr>
      <w:tblGrid>
        <w:gridCol w:w="988"/>
        <w:gridCol w:w="709"/>
        <w:gridCol w:w="709"/>
        <w:gridCol w:w="710"/>
        <w:gridCol w:w="709"/>
        <w:gridCol w:w="709"/>
        <w:gridCol w:w="710"/>
        <w:gridCol w:w="709"/>
        <w:gridCol w:w="710"/>
      </w:tblGrid>
      <w:tr w:rsidR="000D067E" w:rsidRPr="000854C3" w14:paraId="5F0B211A" w14:textId="77777777" w:rsidTr="002C48AE">
        <w:trPr>
          <w:trHeight w:val="304"/>
        </w:trPr>
        <w:tc>
          <w:tcPr>
            <w:tcW w:w="988" w:type="dxa"/>
            <w:vAlign w:val="bottom"/>
          </w:tcPr>
          <w:p w14:paraId="24A66A9E" w14:textId="77777777" w:rsidR="000D067E" w:rsidRPr="007A6E9F" w:rsidRDefault="000D067E" w:rsidP="002C48AE">
            <w:pPr>
              <w:pStyle w:val="Tabelltext"/>
              <w:keepNext/>
              <w:rPr>
                <w:bCs/>
              </w:rPr>
            </w:pPr>
          </w:p>
        </w:tc>
        <w:tc>
          <w:tcPr>
            <w:tcW w:w="709" w:type="dxa"/>
            <w:vAlign w:val="bottom"/>
          </w:tcPr>
          <w:p w14:paraId="1F54F575" w14:textId="77777777" w:rsidR="000D067E" w:rsidRPr="000854C3" w:rsidRDefault="000D067E" w:rsidP="002C48AE">
            <w:pPr>
              <w:pStyle w:val="Tabelltext"/>
              <w:keepNext/>
              <w:jc w:val="center"/>
              <w:rPr>
                <w:b/>
              </w:rPr>
            </w:pPr>
            <w:r w:rsidRPr="000854C3">
              <w:rPr>
                <w:b/>
              </w:rPr>
              <w:t>20</w:t>
            </w:r>
            <w:r>
              <w:rPr>
                <w:b/>
              </w:rPr>
              <w:t>21</w:t>
            </w:r>
          </w:p>
        </w:tc>
        <w:tc>
          <w:tcPr>
            <w:tcW w:w="709" w:type="dxa"/>
            <w:vAlign w:val="bottom"/>
          </w:tcPr>
          <w:p w14:paraId="19595CFA" w14:textId="77777777" w:rsidR="000D067E" w:rsidRPr="000854C3" w:rsidRDefault="000D067E" w:rsidP="002C48AE">
            <w:pPr>
              <w:pStyle w:val="Tabelltext"/>
              <w:keepNext/>
              <w:jc w:val="center"/>
              <w:rPr>
                <w:b/>
              </w:rPr>
            </w:pPr>
            <w:r w:rsidRPr="000854C3">
              <w:rPr>
                <w:b/>
              </w:rPr>
              <w:t>20</w:t>
            </w:r>
            <w:r>
              <w:rPr>
                <w:b/>
              </w:rPr>
              <w:t>22</w:t>
            </w:r>
          </w:p>
        </w:tc>
        <w:tc>
          <w:tcPr>
            <w:tcW w:w="710" w:type="dxa"/>
            <w:vAlign w:val="bottom"/>
          </w:tcPr>
          <w:p w14:paraId="1450A3A3" w14:textId="77777777" w:rsidR="000D067E" w:rsidRPr="000854C3" w:rsidRDefault="000D067E" w:rsidP="002C48AE">
            <w:pPr>
              <w:pStyle w:val="Tabelltext"/>
              <w:keepNext/>
              <w:jc w:val="center"/>
              <w:rPr>
                <w:b/>
              </w:rPr>
            </w:pPr>
            <w:r w:rsidRPr="000854C3">
              <w:rPr>
                <w:b/>
              </w:rPr>
              <w:t>20</w:t>
            </w:r>
            <w:r>
              <w:rPr>
                <w:b/>
              </w:rPr>
              <w:t>23</w:t>
            </w:r>
          </w:p>
        </w:tc>
        <w:tc>
          <w:tcPr>
            <w:tcW w:w="709" w:type="dxa"/>
            <w:vAlign w:val="bottom"/>
          </w:tcPr>
          <w:p w14:paraId="74A25C42" w14:textId="77777777" w:rsidR="000D067E" w:rsidRPr="000854C3" w:rsidRDefault="000D067E" w:rsidP="002C48AE">
            <w:pPr>
              <w:pStyle w:val="Tabelltext"/>
              <w:keepNext/>
              <w:jc w:val="center"/>
              <w:rPr>
                <w:b/>
              </w:rPr>
            </w:pPr>
            <w:r w:rsidRPr="000854C3">
              <w:rPr>
                <w:b/>
              </w:rPr>
              <w:t>20</w:t>
            </w:r>
            <w:r>
              <w:rPr>
                <w:b/>
              </w:rPr>
              <w:t>24</w:t>
            </w:r>
          </w:p>
        </w:tc>
        <w:tc>
          <w:tcPr>
            <w:tcW w:w="709" w:type="dxa"/>
            <w:vAlign w:val="bottom"/>
          </w:tcPr>
          <w:p w14:paraId="13BA4B16" w14:textId="77777777" w:rsidR="000D067E" w:rsidRPr="000854C3" w:rsidRDefault="000D067E" w:rsidP="002C48AE">
            <w:pPr>
              <w:pStyle w:val="Tabelltext"/>
              <w:keepNext/>
              <w:jc w:val="center"/>
              <w:rPr>
                <w:b/>
              </w:rPr>
            </w:pPr>
            <w:r w:rsidRPr="000854C3">
              <w:rPr>
                <w:b/>
              </w:rPr>
              <w:t>20</w:t>
            </w:r>
            <w:r>
              <w:rPr>
                <w:b/>
              </w:rPr>
              <w:t>25</w:t>
            </w:r>
          </w:p>
        </w:tc>
        <w:tc>
          <w:tcPr>
            <w:tcW w:w="710" w:type="dxa"/>
            <w:vAlign w:val="bottom"/>
          </w:tcPr>
          <w:p w14:paraId="6CDF4F40" w14:textId="77777777" w:rsidR="000D067E" w:rsidRPr="000854C3" w:rsidRDefault="000D067E" w:rsidP="002C48AE">
            <w:pPr>
              <w:pStyle w:val="Tabelltext"/>
              <w:keepNext/>
              <w:jc w:val="center"/>
              <w:rPr>
                <w:b/>
              </w:rPr>
            </w:pPr>
            <w:r w:rsidRPr="000854C3">
              <w:rPr>
                <w:b/>
              </w:rPr>
              <w:t>20</w:t>
            </w:r>
            <w:r>
              <w:rPr>
                <w:b/>
              </w:rPr>
              <w:t>26</w:t>
            </w:r>
          </w:p>
        </w:tc>
        <w:tc>
          <w:tcPr>
            <w:tcW w:w="709" w:type="dxa"/>
            <w:vAlign w:val="bottom"/>
          </w:tcPr>
          <w:p w14:paraId="4DF0364C" w14:textId="77777777" w:rsidR="000D067E" w:rsidRPr="000854C3" w:rsidRDefault="000D067E" w:rsidP="002C48AE">
            <w:pPr>
              <w:pStyle w:val="Tabelltext"/>
              <w:keepNext/>
              <w:jc w:val="right"/>
              <w:rPr>
                <w:b/>
              </w:rPr>
            </w:pPr>
            <w:r>
              <w:rPr>
                <w:b/>
              </w:rPr>
              <w:t>2027</w:t>
            </w:r>
          </w:p>
        </w:tc>
        <w:tc>
          <w:tcPr>
            <w:tcW w:w="710" w:type="dxa"/>
            <w:vAlign w:val="bottom"/>
          </w:tcPr>
          <w:p w14:paraId="135FD8C1" w14:textId="77777777" w:rsidR="000D067E" w:rsidRPr="000854C3" w:rsidRDefault="000D067E" w:rsidP="002C48AE">
            <w:pPr>
              <w:pStyle w:val="Tabelltext"/>
              <w:keepNext/>
              <w:jc w:val="right"/>
              <w:rPr>
                <w:b/>
              </w:rPr>
            </w:pPr>
            <w:r>
              <w:rPr>
                <w:b/>
              </w:rPr>
              <w:t>2028</w:t>
            </w:r>
          </w:p>
        </w:tc>
      </w:tr>
      <w:tr w:rsidR="000D067E" w14:paraId="44B5748D" w14:textId="77777777" w:rsidTr="002C48AE">
        <w:trPr>
          <w:trHeight w:val="646"/>
        </w:trPr>
        <w:tc>
          <w:tcPr>
            <w:tcW w:w="988" w:type="dxa"/>
            <w:vAlign w:val="bottom"/>
          </w:tcPr>
          <w:p w14:paraId="4901DD1A" w14:textId="77777777" w:rsidR="000D067E" w:rsidRDefault="000D067E" w:rsidP="002C48AE">
            <w:pPr>
              <w:pStyle w:val="Tabelltext"/>
              <w:keepNext/>
            </w:pPr>
            <w:r>
              <w:t>Enligt gällande lag (%)</w:t>
            </w:r>
          </w:p>
        </w:tc>
        <w:tc>
          <w:tcPr>
            <w:tcW w:w="709" w:type="dxa"/>
            <w:shd w:val="clear" w:color="auto" w:fill="auto"/>
            <w:vAlign w:val="bottom"/>
          </w:tcPr>
          <w:p w14:paraId="678C158B" w14:textId="77777777" w:rsidR="000D067E" w:rsidRPr="00C72269" w:rsidRDefault="000D067E" w:rsidP="002C48AE">
            <w:pPr>
              <w:pStyle w:val="Tabelltext"/>
              <w:keepNext/>
              <w:jc w:val="right"/>
              <w:rPr>
                <w:szCs w:val="18"/>
              </w:rPr>
            </w:pPr>
            <w:r w:rsidRPr="00C72269">
              <w:rPr>
                <w:color w:val="000000"/>
                <w:szCs w:val="18"/>
              </w:rPr>
              <w:t>6,448</w:t>
            </w:r>
          </w:p>
        </w:tc>
        <w:tc>
          <w:tcPr>
            <w:tcW w:w="709" w:type="dxa"/>
            <w:shd w:val="clear" w:color="auto" w:fill="auto"/>
            <w:vAlign w:val="bottom"/>
          </w:tcPr>
          <w:p w14:paraId="0423734E" w14:textId="77777777" w:rsidR="000D067E" w:rsidRPr="00C72269" w:rsidRDefault="000D067E" w:rsidP="002C48AE">
            <w:pPr>
              <w:pStyle w:val="Tabelltext"/>
              <w:keepNext/>
              <w:jc w:val="right"/>
              <w:rPr>
                <w:szCs w:val="18"/>
              </w:rPr>
            </w:pPr>
            <w:r w:rsidRPr="00C72269">
              <w:rPr>
                <w:color w:val="000000"/>
                <w:szCs w:val="18"/>
              </w:rPr>
              <w:t>6,436</w:t>
            </w:r>
          </w:p>
        </w:tc>
        <w:tc>
          <w:tcPr>
            <w:tcW w:w="710" w:type="dxa"/>
            <w:shd w:val="clear" w:color="auto" w:fill="auto"/>
            <w:vAlign w:val="bottom"/>
          </w:tcPr>
          <w:p w14:paraId="5F0B29D6" w14:textId="77777777" w:rsidR="000D067E" w:rsidRPr="00C72269" w:rsidRDefault="000D067E" w:rsidP="002C48AE">
            <w:pPr>
              <w:pStyle w:val="Tabelltext"/>
              <w:keepNext/>
              <w:jc w:val="right"/>
              <w:rPr>
                <w:szCs w:val="18"/>
              </w:rPr>
            </w:pPr>
            <w:r w:rsidRPr="00C72269">
              <w:rPr>
                <w:color w:val="000000"/>
                <w:szCs w:val="18"/>
              </w:rPr>
              <w:t>6,412</w:t>
            </w:r>
          </w:p>
        </w:tc>
        <w:tc>
          <w:tcPr>
            <w:tcW w:w="709" w:type="dxa"/>
            <w:shd w:val="clear" w:color="auto" w:fill="auto"/>
            <w:vAlign w:val="bottom"/>
          </w:tcPr>
          <w:p w14:paraId="4A50E0EA" w14:textId="77777777" w:rsidR="000D067E" w:rsidRPr="00C72269" w:rsidRDefault="000D067E" w:rsidP="002C48AE">
            <w:pPr>
              <w:pStyle w:val="Tabelltext"/>
              <w:keepNext/>
              <w:jc w:val="right"/>
              <w:rPr>
                <w:szCs w:val="18"/>
              </w:rPr>
            </w:pPr>
            <w:r w:rsidRPr="00C72269">
              <w:rPr>
                <w:color w:val="000000"/>
                <w:szCs w:val="18"/>
              </w:rPr>
              <w:t>6,106</w:t>
            </w:r>
          </w:p>
        </w:tc>
        <w:tc>
          <w:tcPr>
            <w:tcW w:w="709" w:type="dxa"/>
            <w:shd w:val="clear" w:color="auto" w:fill="auto"/>
            <w:vAlign w:val="bottom"/>
          </w:tcPr>
          <w:p w14:paraId="1BD1599C" w14:textId="77777777" w:rsidR="000D067E" w:rsidRPr="00C72269" w:rsidRDefault="000D067E" w:rsidP="002C48AE">
            <w:pPr>
              <w:pStyle w:val="Tabelltext"/>
              <w:keepNext/>
              <w:jc w:val="right"/>
              <w:rPr>
                <w:szCs w:val="18"/>
              </w:rPr>
            </w:pPr>
            <w:r w:rsidRPr="00C72269">
              <w:rPr>
                <w:color w:val="000000"/>
                <w:szCs w:val="18"/>
              </w:rPr>
              <w:t>6,144</w:t>
            </w:r>
          </w:p>
        </w:tc>
        <w:tc>
          <w:tcPr>
            <w:tcW w:w="710" w:type="dxa"/>
            <w:shd w:val="clear" w:color="auto" w:fill="auto"/>
            <w:vAlign w:val="bottom"/>
          </w:tcPr>
          <w:p w14:paraId="49677F07" w14:textId="77777777" w:rsidR="000D067E" w:rsidRPr="00C72269" w:rsidRDefault="000D067E" w:rsidP="002C48AE">
            <w:pPr>
              <w:pStyle w:val="Tabelltext"/>
              <w:keepNext/>
              <w:jc w:val="right"/>
              <w:rPr>
                <w:szCs w:val="18"/>
              </w:rPr>
            </w:pPr>
            <w:r w:rsidRPr="00C72269">
              <w:rPr>
                <w:color w:val="000000"/>
                <w:szCs w:val="18"/>
              </w:rPr>
              <w:t>6,172</w:t>
            </w:r>
          </w:p>
        </w:tc>
        <w:tc>
          <w:tcPr>
            <w:tcW w:w="709" w:type="dxa"/>
            <w:shd w:val="clear" w:color="auto" w:fill="auto"/>
            <w:vAlign w:val="bottom"/>
          </w:tcPr>
          <w:p w14:paraId="228102B7" w14:textId="77777777" w:rsidR="000D067E" w:rsidRPr="00C72269" w:rsidRDefault="000D067E" w:rsidP="002C48AE">
            <w:pPr>
              <w:pStyle w:val="Tabelltext"/>
              <w:keepNext/>
              <w:jc w:val="right"/>
              <w:rPr>
                <w:szCs w:val="18"/>
              </w:rPr>
            </w:pPr>
            <w:r w:rsidRPr="00C72269">
              <w:rPr>
                <w:color w:val="000000"/>
                <w:szCs w:val="18"/>
              </w:rPr>
              <w:t>6,194</w:t>
            </w:r>
          </w:p>
        </w:tc>
        <w:tc>
          <w:tcPr>
            <w:tcW w:w="710" w:type="dxa"/>
            <w:shd w:val="clear" w:color="auto" w:fill="auto"/>
            <w:vAlign w:val="bottom"/>
          </w:tcPr>
          <w:p w14:paraId="4A51F1C8" w14:textId="77777777" w:rsidR="000D067E" w:rsidRPr="007A6E9F" w:rsidRDefault="000D067E" w:rsidP="002C48AE">
            <w:pPr>
              <w:pStyle w:val="Tabelltext"/>
              <w:keepNext/>
              <w:jc w:val="right"/>
              <w:rPr>
                <w:szCs w:val="18"/>
              </w:rPr>
            </w:pPr>
            <w:r>
              <w:rPr>
                <w:szCs w:val="18"/>
              </w:rPr>
              <w:t>6,26</w:t>
            </w:r>
          </w:p>
        </w:tc>
      </w:tr>
      <w:tr w:rsidR="000D067E" w14:paraId="03197369" w14:textId="77777777" w:rsidTr="002C48AE">
        <w:trPr>
          <w:trHeight w:val="646"/>
        </w:trPr>
        <w:tc>
          <w:tcPr>
            <w:tcW w:w="988" w:type="dxa"/>
            <w:vAlign w:val="bottom"/>
          </w:tcPr>
          <w:p w14:paraId="00451879" w14:textId="77777777" w:rsidR="000D067E" w:rsidRDefault="000D067E" w:rsidP="002C48AE">
            <w:pPr>
              <w:pStyle w:val="Tabelltext"/>
              <w:keepNext/>
            </w:pPr>
            <w:r>
              <w:t>Enligt förslag (%)</w:t>
            </w:r>
          </w:p>
        </w:tc>
        <w:tc>
          <w:tcPr>
            <w:tcW w:w="709" w:type="dxa"/>
            <w:shd w:val="clear" w:color="auto" w:fill="auto"/>
            <w:vAlign w:val="bottom"/>
          </w:tcPr>
          <w:p w14:paraId="75C885DD" w14:textId="77777777" w:rsidR="000D067E" w:rsidRPr="007F43B6" w:rsidRDefault="000D067E" w:rsidP="002C48AE">
            <w:pPr>
              <w:pStyle w:val="Tabelltext"/>
              <w:keepNext/>
              <w:jc w:val="right"/>
              <w:rPr>
                <w:szCs w:val="18"/>
              </w:rPr>
            </w:pPr>
            <w:r>
              <w:rPr>
                <w:szCs w:val="18"/>
              </w:rPr>
              <w:t>8,868</w:t>
            </w:r>
          </w:p>
        </w:tc>
        <w:tc>
          <w:tcPr>
            <w:tcW w:w="709" w:type="dxa"/>
            <w:shd w:val="clear" w:color="auto" w:fill="auto"/>
            <w:vAlign w:val="bottom"/>
          </w:tcPr>
          <w:p w14:paraId="28C45A10" w14:textId="77777777" w:rsidR="000D067E" w:rsidRPr="007F43B6" w:rsidRDefault="000D067E" w:rsidP="002C48AE">
            <w:pPr>
              <w:pStyle w:val="Tabelltext"/>
              <w:keepNext/>
              <w:jc w:val="right"/>
              <w:rPr>
                <w:szCs w:val="18"/>
              </w:rPr>
            </w:pPr>
            <w:r>
              <w:rPr>
                <w:szCs w:val="18"/>
              </w:rPr>
              <w:t>6,838</w:t>
            </w:r>
          </w:p>
        </w:tc>
        <w:tc>
          <w:tcPr>
            <w:tcW w:w="710" w:type="dxa"/>
            <w:shd w:val="clear" w:color="auto" w:fill="auto"/>
            <w:vAlign w:val="bottom"/>
          </w:tcPr>
          <w:p w14:paraId="0FBFD389" w14:textId="77777777" w:rsidR="000D067E" w:rsidRPr="007F43B6" w:rsidRDefault="000D067E" w:rsidP="002C48AE">
            <w:pPr>
              <w:pStyle w:val="Tabelltext"/>
              <w:keepNext/>
              <w:jc w:val="right"/>
              <w:rPr>
                <w:szCs w:val="18"/>
              </w:rPr>
            </w:pPr>
            <w:r>
              <w:rPr>
                <w:szCs w:val="18"/>
              </w:rPr>
              <w:t>6,818</w:t>
            </w:r>
          </w:p>
        </w:tc>
        <w:tc>
          <w:tcPr>
            <w:tcW w:w="709" w:type="dxa"/>
            <w:shd w:val="clear" w:color="auto" w:fill="auto"/>
            <w:vAlign w:val="bottom"/>
          </w:tcPr>
          <w:p w14:paraId="4D22D954" w14:textId="77777777" w:rsidR="000D067E" w:rsidRPr="007F43B6" w:rsidRDefault="000D067E" w:rsidP="002C48AE">
            <w:pPr>
              <w:pStyle w:val="Tabelltext"/>
              <w:keepNext/>
              <w:jc w:val="right"/>
              <w:rPr>
                <w:szCs w:val="18"/>
              </w:rPr>
            </w:pPr>
            <w:r>
              <w:rPr>
                <w:szCs w:val="18"/>
              </w:rPr>
              <w:t>6,514</w:t>
            </w:r>
          </w:p>
        </w:tc>
        <w:tc>
          <w:tcPr>
            <w:tcW w:w="709" w:type="dxa"/>
            <w:shd w:val="clear" w:color="auto" w:fill="auto"/>
            <w:vAlign w:val="bottom"/>
          </w:tcPr>
          <w:p w14:paraId="4CF84BF3" w14:textId="77777777" w:rsidR="000D067E" w:rsidRPr="007F43B6" w:rsidRDefault="000D067E" w:rsidP="002C48AE">
            <w:pPr>
              <w:pStyle w:val="Tabelltext"/>
              <w:keepNext/>
              <w:jc w:val="right"/>
              <w:rPr>
                <w:szCs w:val="18"/>
              </w:rPr>
            </w:pPr>
            <w:r>
              <w:rPr>
                <w:szCs w:val="18"/>
              </w:rPr>
              <w:t>6,552</w:t>
            </w:r>
          </w:p>
        </w:tc>
        <w:tc>
          <w:tcPr>
            <w:tcW w:w="710" w:type="dxa"/>
            <w:shd w:val="clear" w:color="auto" w:fill="auto"/>
            <w:vAlign w:val="bottom"/>
          </w:tcPr>
          <w:p w14:paraId="6C867A59" w14:textId="77777777" w:rsidR="000D067E" w:rsidRPr="007F43B6" w:rsidRDefault="000D067E" w:rsidP="002C48AE">
            <w:pPr>
              <w:pStyle w:val="Tabelltext"/>
              <w:keepNext/>
              <w:jc w:val="right"/>
              <w:rPr>
                <w:szCs w:val="18"/>
              </w:rPr>
            </w:pPr>
            <w:r>
              <w:rPr>
                <w:szCs w:val="18"/>
              </w:rPr>
              <w:t>6,572</w:t>
            </w:r>
          </w:p>
        </w:tc>
        <w:tc>
          <w:tcPr>
            <w:tcW w:w="709" w:type="dxa"/>
            <w:shd w:val="clear" w:color="auto" w:fill="auto"/>
            <w:vAlign w:val="bottom"/>
          </w:tcPr>
          <w:p w14:paraId="7E1096B3" w14:textId="77777777" w:rsidR="000D067E" w:rsidRPr="007F43B6" w:rsidRDefault="000D067E" w:rsidP="002C48AE">
            <w:pPr>
              <w:pStyle w:val="Tabelltext"/>
              <w:keepNext/>
              <w:jc w:val="right"/>
              <w:rPr>
                <w:szCs w:val="18"/>
              </w:rPr>
            </w:pPr>
            <w:r>
              <w:rPr>
                <w:szCs w:val="18"/>
              </w:rPr>
              <w:t>6,594</w:t>
            </w:r>
          </w:p>
        </w:tc>
        <w:tc>
          <w:tcPr>
            <w:tcW w:w="710" w:type="dxa"/>
            <w:shd w:val="clear" w:color="auto" w:fill="auto"/>
            <w:vAlign w:val="bottom"/>
          </w:tcPr>
          <w:p w14:paraId="5D72404B" w14:textId="77777777" w:rsidR="000D067E" w:rsidRPr="007F43B6" w:rsidRDefault="000D067E" w:rsidP="002C48AE">
            <w:pPr>
              <w:pStyle w:val="Tabelltext"/>
              <w:keepNext/>
              <w:jc w:val="right"/>
              <w:rPr>
                <w:szCs w:val="18"/>
              </w:rPr>
            </w:pPr>
            <w:r>
              <w:rPr>
                <w:szCs w:val="18"/>
              </w:rPr>
              <w:t>6,66</w:t>
            </w:r>
          </w:p>
        </w:tc>
      </w:tr>
      <w:tr w:rsidR="000D067E" w14:paraId="509AD1BD" w14:textId="77777777" w:rsidTr="002C48AE">
        <w:trPr>
          <w:trHeight w:val="304"/>
        </w:trPr>
        <w:tc>
          <w:tcPr>
            <w:tcW w:w="988" w:type="dxa"/>
            <w:vAlign w:val="bottom"/>
          </w:tcPr>
          <w:p w14:paraId="026D47C8" w14:textId="77777777" w:rsidR="000D067E" w:rsidRDefault="000D067E" w:rsidP="002C48AE">
            <w:pPr>
              <w:pStyle w:val="Tabelltext"/>
              <w:keepNext/>
            </w:pPr>
            <w:r>
              <w:t>Skillnad (%-enheter)</w:t>
            </w:r>
          </w:p>
        </w:tc>
        <w:tc>
          <w:tcPr>
            <w:tcW w:w="709" w:type="dxa"/>
            <w:shd w:val="clear" w:color="auto" w:fill="auto"/>
            <w:vAlign w:val="bottom"/>
          </w:tcPr>
          <w:p w14:paraId="356785D2" w14:textId="77777777" w:rsidR="000D067E" w:rsidRPr="00A259B4" w:rsidRDefault="000D067E" w:rsidP="002C48AE">
            <w:pPr>
              <w:pStyle w:val="Tabelltext"/>
              <w:keepNext/>
              <w:jc w:val="right"/>
              <w:rPr>
                <w:szCs w:val="18"/>
              </w:rPr>
            </w:pPr>
            <w:r>
              <w:rPr>
                <w:color w:val="000000"/>
                <w:szCs w:val="18"/>
              </w:rPr>
              <w:t>2,42</w:t>
            </w:r>
          </w:p>
        </w:tc>
        <w:tc>
          <w:tcPr>
            <w:tcW w:w="709" w:type="dxa"/>
            <w:shd w:val="clear" w:color="auto" w:fill="auto"/>
            <w:vAlign w:val="bottom"/>
          </w:tcPr>
          <w:p w14:paraId="5F85A2AC" w14:textId="77777777" w:rsidR="000D067E" w:rsidRPr="00A259B4" w:rsidRDefault="000D067E" w:rsidP="002C48AE">
            <w:pPr>
              <w:pStyle w:val="Tabelltext"/>
              <w:keepNext/>
              <w:jc w:val="right"/>
              <w:rPr>
                <w:szCs w:val="18"/>
              </w:rPr>
            </w:pPr>
            <w:r>
              <w:rPr>
                <w:color w:val="000000"/>
                <w:szCs w:val="18"/>
              </w:rPr>
              <w:t>0,402</w:t>
            </w:r>
          </w:p>
        </w:tc>
        <w:tc>
          <w:tcPr>
            <w:tcW w:w="710" w:type="dxa"/>
            <w:shd w:val="clear" w:color="auto" w:fill="auto"/>
            <w:vAlign w:val="bottom"/>
          </w:tcPr>
          <w:p w14:paraId="24BE8D6F" w14:textId="77777777" w:rsidR="000D067E" w:rsidRPr="00A259B4" w:rsidRDefault="000D067E" w:rsidP="002C48AE">
            <w:pPr>
              <w:pStyle w:val="Tabelltext"/>
              <w:keepNext/>
              <w:jc w:val="right"/>
              <w:rPr>
                <w:szCs w:val="18"/>
              </w:rPr>
            </w:pPr>
            <w:r>
              <w:rPr>
                <w:color w:val="000000"/>
                <w:szCs w:val="18"/>
              </w:rPr>
              <w:t>0,406</w:t>
            </w:r>
          </w:p>
        </w:tc>
        <w:tc>
          <w:tcPr>
            <w:tcW w:w="709" w:type="dxa"/>
            <w:shd w:val="clear" w:color="auto" w:fill="auto"/>
            <w:vAlign w:val="bottom"/>
          </w:tcPr>
          <w:p w14:paraId="3D4492D9" w14:textId="77777777" w:rsidR="000D067E" w:rsidRPr="00A259B4" w:rsidRDefault="000D067E" w:rsidP="002C48AE">
            <w:pPr>
              <w:pStyle w:val="Tabelltext"/>
              <w:keepNext/>
              <w:jc w:val="right"/>
              <w:rPr>
                <w:szCs w:val="18"/>
              </w:rPr>
            </w:pPr>
            <w:r w:rsidRPr="00A259B4">
              <w:rPr>
                <w:color w:val="000000"/>
                <w:szCs w:val="18"/>
              </w:rPr>
              <w:t>0,</w:t>
            </w:r>
            <w:r>
              <w:rPr>
                <w:color w:val="000000"/>
                <w:szCs w:val="18"/>
              </w:rPr>
              <w:t>408</w:t>
            </w:r>
          </w:p>
        </w:tc>
        <w:tc>
          <w:tcPr>
            <w:tcW w:w="709" w:type="dxa"/>
            <w:shd w:val="clear" w:color="auto" w:fill="auto"/>
            <w:vAlign w:val="bottom"/>
          </w:tcPr>
          <w:p w14:paraId="0AC2592A" w14:textId="77777777" w:rsidR="000D067E" w:rsidRPr="00A259B4" w:rsidRDefault="000D067E" w:rsidP="002C48AE">
            <w:pPr>
              <w:pStyle w:val="Tabelltext"/>
              <w:keepNext/>
              <w:jc w:val="right"/>
              <w:rPr>
                <w:szCs w:val="18"/>
              </w:rPr>
            </w:pPr>
            <w:r>
              <w:rPr>
                <w:color w:val="000000"/>
                <w:szCs w:val="18"/>
              </w:rPr>
              <w:t>0,408</w:t>
            </w:r>
          </w:p>
        </w:tc>
        <w:tc>
          <w:tcPr>
            <w:tcW w:w="710" w:type="dxa"/>
            <w:shd w:val="clear" w:color="auto" w:fill="auto"/>
            <w:vAlign w:val="bottom"/>
          </w:tcPr>
          <w:p w14:paraId="5CE35AED" w14:textId="77777777" w:rsidR="000D067E" w:rsidRPr="00A259B4" w:rsidRDefault="000D067E" w:rsidP="002C48AE">
            <w:pPr>
              <w:pStyle w:val="Tabelltext"/>
              <w:keepNext/>
              <w:jc w:val="right"/>
              <w:rPr>
                <w:szCs w:val="18"/>
              </w:rPr>
            </w:pPr>
            <w:r>
              <w:rPr>
                <w:color w:val="000000"/>
                <w:szCs w:val="18"/>
              </w:rPr>
              <w:t>0,4</w:t>
            </w:r>
          </w:p>
        </w:tc>
        <w:tc>
          <w:tcPr>
            <w:tcW w:w="709" w:type="dxa"/>
            <w:shd w:val="clear" w:color="auto" w:fill="auto"/>
            <w:vAlign w:val="bottom"/>
          </w:tcPr>
          <w:p w14:paraId="1924188E" w14:textId="77777777" w:rsidR="000D067E" w:rsidRPr="00A259B4" w:rsidRDefault="000D067E" w:rsidP="002C48AE">
            <w:pPr>
              <w:pStyle w:val="Tabelltext"/>
              <w:keepNext/>
              <w:jc w:val="right"/>
              <w:rPr>
                <w:szCs w:val="18"/>
              </w:rPr>
            </w:pPr>
            <w:r>
              <w:rPr>
                <w:color w:val="000000"/>
                <w:szCs w:val="18"/>
              </w:rPr>
              <w:t>0,4</w:t>
            </w:r>
          </w:p>
        </w:tc>
        <w:tc>
          <w:tcPr>
            <w:tcW w:w="710" w:type="dxa"/>
            <w:shd w:val="clear" w:color="auto" w:fill="auto"/>
            <w:vAlign w:val="bottom"/>
          </w:tcPr>
          <w:p w14:paraId="18CECCFD" w14:textId="77777777" w:rsidR="000D067E" w:rsidRPr="00A259B4" w:rsidRDefault="000D067E" w:rsidP="002C48AE">
            <w:pPr>
              <w:pStyle w:val="Tabelltext"/>
              <w:keepNext/>
              <w:jc w:val="right"/>
              <w:rPr>
                <w:szCs w:val="18"/>
              </w:rPr>
            </w:pPr>
            <w:r>
              <w:rPr>
                <w:color w:val="000000"/>
                <w:szCs w:val="18"/>
              </w:rPr>
              <w:t>0,4</w:t>
            </w:r>
          </w:p>
        </w:tc>
      </w:tr>
    </w:tbl>
    <w:p w14:paraId="196FA113" w14:textId="77777777" w:rsidR="000D067E" w:rsidRDefault="000D067E" w:rsidP="000D067E">
      <w:pPr>
        <w:pStyle w:val="ANormal"/>
      </w:pPr>
    </w:p>
    <w:p w14:paraId="6A83046E" w14:textId="77777777" w:rsidR="000D067E" w:rsidRDefault="000D067E" w:rsidP="000D067E">
      <w:pPr>
        <w:pStyle w:val="RubrikD"/>
      </w:pPr>
      <w:r>
        <w:t>Kommunalskattesatsen för samfällda förmåner (total skattesats 26,5 %):</w:t>
      </w:r>
    </w:p>
    <w:p w14:paraId="3F4DE872" w14:textId="77777777" w:rsidR="000D067E" w:rsidRPr="007A6E9F" w:rsidRDefault="000D067E" w:rsidP="000D067E">
      <w:pPr>
        <w:pStyle w:val="Rubrikmellanrum"/>
      </w:pPr>
    </w:p>
    <w:tbl>
      <w:tblPr>
        <w:tblStyle w:val="Tabellrutnt"/>
        <w:tblW w:w="7939" w:type="dxa"/>
        <w:tblInd w:w="-856" w:type="dxa"/>
        <w:tblLayout w:type="fixed"/>
        <w:tblLook w:val="04A0" w:firstRow="1" w:lastRow="0" w:firstColumn="1" w:lastColumn="0" w:noHBand="0" w:noVBand="1"/>
      </w:tblPr>
      <w:tblGrid>
        <w:gridCol w:w="993"/>
        <w:gridCol w:w="868"/>
        <w:gridCol w:w="868"/>
        <w:gridCol w:w="868"/>
        <w:gridCol w:w="869"/>
        <w:gridCol w:w="868"/>
        <w:gridCol w:w="868"/>
        <w:gridCol w:w="868"/>
        <w:gridCol w:w="869"/>
      </w:tblGrid>
      <w:tr w:rsidR="000D067E" w:rsidRPr="000854C3" w14:paraId="2E727AD6" w14:textId="77777777" w:rsidTr="002C48AE">
        <w:trPr>
          <w:trHeight w:val="304"/>
        </w:trPr>
        <w:tc>
          <w:tcPr>
            <w:tcW w:w="993" w:type="dxa"/>
            <w:vAlign w:val="bottom"/>
          </w:tcPr>
          <w:p w14:paraId="2ADB3A40" w14:textId="77777777" w:rsidR="000D067E" w:rsidRPr="007A6E9F" w:rsidRDefault="000D067E" w:rsidP="002C48AE">
            <w:pPr>
              <w:pStyle w:val="Tabelltext"/>
              <w:keepNext/>
              <w:rPr>
                <w:bCs/>
              </w:rPr>
            </w:pPr>
          </w:p>
        </w:tc>
        <w:tc>
          <w:tcPr>
            <w:tcW w:w="868" w:type="dxa"/>
            <w:vAlign w:val="bottom"/>
          </w:tcPr>
          <w:p w14:paraId="3756851D" w14:textId="77777777" w:rsidR="000D067E" w:rsidRPr="000854C3" w:rsidRDefault="000D067E" w:rsidP="002C48AE">
            <w:pPr>
              <w:pStyle w:val="Tabelltext"/>
              <w:keepNext/>
              <w:jc w:val="center"/>
              <w:rPr>
                <w:b/>
              </w:rPr>
            </w:pPr>
            <w:r w:rsidRPr="000854C3">
              <w:rPr>
                <w:b/>
              </w:rPr>
              <w:t>20</w:t>
            </w:r>
            <w:r>
              <w:rPr>
                <w:b/>
              </w:rPr>
              <w:t>21</w:t>
            </w:r>
          </w:p>
        </w:tc>
        <w:tc>
          <w:tcPr>
            <w:tcW w:w="868" w:type="dxa"/>
            <w:vAlign w:val="bottom"/>
          </w:tcPr>
          <w:p w14:paraId="0D3D778A" w14:textId="77777777" w:rsidR="000D067E" w:rsidRPr="000854C3" w:rsidRDefault="000D067E" w:rsidP="002C48AE">
            <w:pPr>
              <w:pStyle w:val="Tabelltext"/>
              <w:keepNext/>
              <w:jc w:val="center"/>
              <w:rPr>
                <w:b/>
              </w:rPr>
            </w:pPr>
            <w:r w:rsidRPr="000854C3">
              <w:rPr>
                <w:b/>
              </w:rPr>
              <w:t>20</w:t>
            </w:r>
            <w:r>
              <w:rPr>
                <w:b/>
              </w:rPr>
              <w:t>22</w:t>
            </w:r>
          </w:p>
        </w:tc>
        <w:tc>
          <w:tcPr>
            <w:tcW w:w="868" w:type="dxa"/>
            <w:vAlign w:val="bottom"/>
          </w:tcPr>
          <w:p w14:paraId="0A1F9FFC" w14:textId="77777777" w:rsidR="000D067E" w:rsidRPr="000854C3" w:rsidRDefault="000D067E" w:rsidP="002C48AE">
            <w:pPr>
              <w:pStyle w:val="Tabelltext"/>
              <w:keepNext/>
              <w:jc w:val="center"/>
              <w:rPr>
                <w:b/>
              </w:rPr>
            </w:pPr>
            <w:r w:rsidRPr="000854C3">
              <w:rPr>
                <w:b/>
              </w:rPr>
              <w:t>20</w:t>
            </w:r>
            <w:r>
              <w:rPr>
                <w:b/>
              </w:rPr>
              <w:t>23</w:t>
            </w:r>
          </w:p>
        </w:tc>
        <w:tc>
          <w:tcPr>
            <w:tcW w:w="869" w:type="dxa"/>
            <w:vAlign w:val="bottom"/>
          </w:tcPr>
          <w:p w14:paraId="7A493885" w14:textId="77777777" w:rsidR="000D067E" w:rsidRPr="000854C3" w:rsidRDefault="000D067E" w:rsidP="002C48AE">
            <w:pPr>
              <w:pStyle w:val="Tabelltext"/>
              <w:keepNext/>
              <w:jc w:val="center"/>
              <w:rPr>
                <w:b/>
              </w:rPr>
            </w:pPr>
            <w:r w:rsidRPr="000854C3">
              <w:rPr>
                <w:b/>
              </w:rPr>
              <w:t>20</w:t>
            </w:r>
            <w:r>
              <w:rPr>
                <w:b/>
              </w:rPr>
              <w:t>24</w:t>
            </w:r>
          </w:p>
        </w:tc>
        <w:tc>
          <w:tcPr>
            <w:tcW w:w="868" w:type="dxa"/>
            <w:vAlign w:val="bottom"/>
          </w:tcPr>
          <w:p w14:paraId="660A4C70" w14:textId="77777777" w:rsidR="000D067E" w:rsidRPr="000854C3" w:rsidRDefault="000D067E" w:rsidP="002C48AE">
            <w:pPr>
              <w:pStyle w:val="Tabelltext"/>
              <w:keepNext/>
              <w:jc w:val="center"/>
              <w:rPr>
                <w:b/>
              </w:rPr>
            </w:pPr>
            <w:r w:rsidRPr="000854C3">
              <w:rPr>
                <w:b/>
              </w:rPr>
              <w:t>20</w:t>
            </w:r>
            <w:r>
              <w:rPr>
                <w:b/>
              </w:rPr>
              <w:t>25</w:t>
            </w:r>
          </w:p>
        </w:tc>
        <w:tc>
          <w:tcPr>
            <w:tcW w:w="868" w:type="dxa"/>
            <w:vAlign w:val="bottom"/>
          </w:tcPr>
          <w:p w14:paraId="342343EC" w14:textId="77777777" w:rsidR="000D067E" w:rsidRPr="000854C3" w:rsidRDefault="000D067E" w:rsidP="002C48AE">
            <w:pPr>
              <w:pStyle w:val="Tabelltext"/>
              <w:keepNext/>
              <w:jc w:val="center"/>
              <w:rPr>
                <w:b/>
              </w:rPr>
            </w:pPr>
            <w:r w:rsidRPr="000854C3">
              <w:rPr>
                <w:b/>
              </w:rPr>
              <w:t>20</w:t>
            </w:r>
            <w:r>
              <w:rPr>
                <w:b/>
              </w:rPr>
              <w:t>26</w:t>
            </w:r>
          </w:p>
        </w:tc>
        <w:tc>
          <w:tcPr>
            <w:tcW w:w="868" w:type="dxa"/>
            <w:vAlign w:val="bottom"/>
          </w:tcPr>
          <w:p w14:paraId="47F18967" w14:textId="77777777" w:rsidR="000D067E" w:rsidRPr="000854C3" w:rsidRDefault="000D067E" w:rsidP="002C48AE">
            <w:pPr>
              <w:pStyle w:val="Tabelltext"/>
              <w:keepNext/>
              <w:jc w:val="right"/>
              <w:rPr>
                <w:b/>
              </w:rPr>
            </w:pPr>
            <w:r>
              <w:rPr>
                <w:b/>
              </w:rPr>
              <w:t>2027</w:t>
            </w:r>
          </w:p>
        </w:tc>
        <w:tc>
          <w:tcPr>
            <w:tcW w:w="869" w:type="dxa"/>
            <w:vAlign w:val="bottom"/>
          </w:tcPr>
          <w:p w14:paraId="18311800" w14:textId="77777777" w:rsidR="000D067E" w:rsidRPr="000854C3" w:rsidRDefault="000D067E" w:rsidP="002C48AE">
            <w:pPr>
              <w:pStyle w:val="Tabelltext"/>
              <w:keepNext/>
              <w:jc w:val="right"/>
              <w:rPr>
                <w:b/>
              </w:rPr>
            </w:pPr>
            <w:r>
              <w:rPr>
                <w:b/>
              </w:rPr>
              <w:t>2028</w:t>
            </w:r>
          </w:p>
        </w:tc>
      </w:tr>
      <w:tr w:rsidR="000D067E" w14:paraId="5E84D2E2" w14:textId="77777777" w:rsidTr="002C48AE">
        <w:trPr>
          <w:trHeight w:val="646"/>
        </w:trPr>
        <w:tc>
          <w:tcPr>
            <w:tcW w:w="993" w:type="dxa"/>
            <w:vAlign w:val="bottom"/>
          </w:tcPr>
          <w:p w14:paraId="78DF3E7A" w14:textId="77777777" w:rsidR="000D067E" w:rsidRDefault="000D067E" w:rsidP="002C48AE">
            <w:pPr>
              <w:pStyle w:val="Tabelltext"/>
              <w:keepNext/>
            </w:pPr>
            <w:r>
              <w:t>Enligt gällande lag (%)</w:t>
            </w:r>
          </w:p>
        </w:tc>
        <w:tc>
          <w:tcPr>
            <w:tcW w:w="868" w:type="dxa"/>
            <w:shd w:val="clear" w:color="auto" w:fill="auto"/>
            <w:vAlign w:val="bottom"/>
          </w:tcPr>
          <w:p w14:paraId="276CCD40" w14:textId="77777777" w:rsidR="000D067E" w:rsidRPr="005204A6" w:rsidRDefault="000D067E" w:rsidP="002C48AE">
            <w:pPr>
              <w:pStyle w:val="Tabelltext"/>
              <w:keepNext/>
              <w:jc w:val="right"/>
              <w:rPr>
                <w:szCs w:val="18"/>
              </w:rPr>
            </w:pPr>
            <w:r w:rsidRPr="005204A6">
              <w:rPr>
                <w:color w:val="000000"/>
                <w:szCs w:val="18"/>
              </w:rPr>
              <w:t>8,5436</w:t>
            </w:r>
          </w:p>
        </w:tc>
        <w:tc>
          <w:tcPr>
            <w:tcW w:w="868" w:type="dxa"/>
            <w:shd w:val="clear" w:color="auto" w:fill="auto"/>
            <w:vAlign w:val="bottom"/>
          </w:tcPr>
          <w:p w14:paraId="140ADEB4" w14:textId="77777777" w:rsidR="000D067E" w:rsidRPr="005204A6" w:rsidRDefault="000D067E" w:rsidP="002C48AE">
            <w:pPr>
              <w:pStyle w:val="Tabelltext"/>
              <w:keepNext/>
              <w:jc w:val="right"/>
              <w:rPr>
                <w:szCs w:val="18"/>
              </w:rPr>
            </w:pPr>
            <w:r w:rsidRPr="005204A6">
              <w:rPr>
                <w:color w:val="000000"/>
                <w:szCs w:val="18"/>
              </w:rPr>
              <w:t>8,5277</w:t>
            </w:r>
          </w:p>
        </w:tc>
        <w:tc>
          <w:tcPr>
            <w:tcW w:w="868" w:type="dxa"/>
            <w:shd w:val="clear" w:color="auto" w:fill="auto"/>
            <w:vAlign w:val="bottom"/>
          </w:tcPr>
          <w:p w14:paraId="000E59B0" w14:textId="77777777" w:rsidR="000D067E" w:rsidRPr="005204A6" w:rsidRDefault="000D067E" w:rsidP="002C48AE">
            <w:pPr>
              <w:pStyle w:val="Tabelltext"/>
              <w:keepNext/>
              <w:jc w:val="right"/>
              <w:rPr>
                <w:szCs w:val="18"/>
              </w:rPr>
            </w:pPr>
            <w:r w:rsidRPr="005204A6">
              <w:rPr>
                <w:color w:val="000000"/>
                <w:szCs w:val="18"/>
              </w:rPr>
              <w:t>8,4959</w:t>
            </w:r>
          </w:p>
        </w:tc>
        <w:tc>
          <w:tcPr>
            <w:tcW w:w="869" w:type="dxa"/>
            <w:shd w:val="clear" w:color="auto" w:fill="auto"/>
            <w:vAlign w:val="bottom"/>
          </w:tcPr>
          <w:p w14:paraId="4193748D" w14:textId="77777777" w:rsidR="000D067E" w:rsidRPr="005204A6" w:rsidRDefault="000D067E" w:rsidP="002C48AE">
            <w:pPr>
              <w:pStyle w:val="Tabelltext"/>
              <w:keepNext/>
              <w:jc w:val="right"/>
              <w:rPr>
                <w:szCs w:val="18"/>
              </w:rPr>
            </w:pPr>
            <w:r w:rsidRPr="005204A6">
              <w:rPr>
                <w:color w:val="000000"/>
                <w:szCs w:val="18"/>
              </w:rPr>
              <w:t>8,09045</w:t>
            </w:r>
          </w:p>
        </w:tc>
        <w:tc>
          <w:tcPr>
            <w:tcW w:w="868" w:type="dxa"/>
            <w:shd w:val="clear" w:color="auto" w:fill="auto"/>
            <w:vAlign w:val="bottom"/>
          </w:tcPr>
          <w:p w14:paraId="50EB273B" w14:textId="77777777" w:rsidR="000D067E" w:rsidRPr="005204A6" w:rsidRDefault="000D067E" w:rsidP="002C48AE">
            <w:pPr>
              <w:pStyle w:val="Tabelltext"/>
              <w:keepNext/>
              <w:jc w:val="right"/>
              <w:rPr>
                <w:szCs w:val="18"/>
              </w:rPr>
            </w:pPr>
            <w:r w:rsidRPr="005204A6">
              <w:rPr>
                <w:color w:val="000000"/>
                <w:szCs w:val="18"/>
              </w:rPr>
              <w:t>8,1408</w:t>
            </w:r>
          </w:p>
        </w:tc>
        <w:tc>
          <w:tcPr>
            <w:tcW w:w="868" w:type="dxa"/>
            <w:shd w:val="clear" w:color="auto" w:fill="auto"/>
            <w:vAlign w:val="bottom"/>
          </w:tcPr>
          <w:p w14:paraId="684CDA06" w14:textId="77777777" w:rsidR="000D067E" w:rsidRPr="005204A6" w:rsidRDefault="000D067E" w:rsidP="002C48AE">
            <w:pPr>
              <w:pStyle w:val="Tabelltext"/>
              <w:keepNext/>
              <w:jc w:val="right"/>
              <w:rPr>
                <w:szCs w:val="18"/>
              </w:rPr>
            </w:pPr>
            <w:r w:rsidRPr="005204A6">
              <w:rPr>
                <w:color w:val="000000"/>
                <w:szCs w:val="18"/>
              </w:rPr>
              <w:t>8,1779</w:t>
            </w:r>
          </w:p>
        </w:tc>
        <w:tc>
          <w:tcPr>
            <w:tcW w:w="868" w:type="dxa"/>
            <w:shd w:val="clear" w:color="auto" w:fill="auto"/>
            <w:vAlign w:val="bottom"/>
          </w:tcPr>
          <w:p w14:paraId="6754FEFB" w14:textId="77777777" w:rsidR="000D067E" w:rsidRPr="005204A6" w:rsidRDefault="000D067E" w:rsidP="002C48AE">
            <w:pPr>
              <w:pStyle w:val="Tabelltext"/>
              <w:keepNext/>
              <w:jc w:val="right"/>
              <w:rPr>
                <w:szCs w:val="18"/>
              </w:rPr>
            </w:pPr>
            <w:r w:rsidRPr="005204A6">
              <w:rPr>
                <w:color w:val="000000"/>
                <w:szCs w:val="18"/>
              </w:rPr>
              <w:t>8,20705</w:t>
            </w:r>
          </w:p>
        </w:tc>
        <w:tc>
          <w:tcPr>
            <w:tcW w:w="869" w:type="dxa"/>
            <w:shd w:val="clear" w:color="auto" w:fill="auto"/>
            <w:vAlign w:val="bottom"/>
          </w:tcPr>
          <w:p w14:paraId="42C6C51D" w14:textId="77777777" w:rsidR="000D067E" w:rsidRPr="007A6E9F" w:rsidRDefault="000D067E" w:rsidP="002C48AE">
            <w:pPr>
              <w:pStyle w:val="Tabelltext"/>
              <w:keepNext/>
              <w:jc w:val="right"/>
              <w:rPr>
                <w:szCs w:val="18"/>
              </w:rPr>
            </w:pPr>
            <w:r>
              <w:rPr>
                <w:szCs w:val="18"/>
              </w:rPr>
              <w:t>8,2945</w:t>
            </w:r>
          </w:p>
        </w:tc>
      </w:tr>
      <w:tr w:rsidR="000D067E" w14:paraId="7A10857B" w14:textId="77777777" w:rsidTr="002C48AE">
        <w:trPr>
          <w:trHeight w:val="646"/>
        </w:trPr>
        <w:tc>
          <w:tcPr>
            <w:tcW w:w="993" w:type="dxa"/>
            <w:vAlign w:val="bottom"/>
          </w:tcPr>
          <w:p w14:paraId="289B10C7" w14:textId="77777777" w:rsidR="000D067E" w:rsidRDefault="000D067E" w:rsidP="002C48AE">
            <w:pPr>
              <w:pStyle w:val="Tabelltext"/>
              <w:keepNext/>
            </w:pPr>
            <w:r>
              <w:t>Enligt förslag (%)</w:t>
            </w:r>
          </w:p>
        </w:tc>
        <w:tc>
          <w:tcPr>
            <w:tcW w:w="868" w:type="dxa"/>
            <w:shd w:val="clear" w:color="auto" w:fill="auto"/>
            <w:vAlign w:val="bottom"/>
          </w:tcPr>
          <w:p w14:paraId="5FDF729D" w14:textId="77777777" w:rsidR="000D067E" w:rsidRPr="00C43471" w:rsidRDefault="000D067E" w:rsidP="002C48AE">
            <w:pPr>
              <w:pStyle w:val="Tabelltext"/>
              <w:keepNext/>
              <w:jc w:val="right"/>
              <w:rPr>
                <w:szCs w:val="18"/>
              </w:rPr>
            </w:pPr>
            <w:r>
              <w:rPr>
                <w:szCs w:val="18"/>
              </w:rPr>
              <w:t>11,7501</w:t>
            </w:r>
          </w:p>
        </w:tc>
        <w:tc>
          <w:tcPr>
            <w:tcW w:w="868" w:type="dxa"/>
            <w:shd w:val="clear" w:color="auto" w:fill="auto"/>
            <w:vAlign w:val="bottom"/>
          </w:tcPr>
          <w:p w14:paraId="1A3CE673" w14:textId="77777777" w:rsidR="000D067E" w:rsidRPr="00C43471" w:rsidRDefault="000D067E" w:rsidP="002C48AE">
            <w:pPr>
              <w:pStyle w:val="Tabelltext"/>
              <w:keepNext/>
              <w:jc w:val="right"/>
              <w:rPr>
                <w:szCs w:val="18"/>
              </w:rPr>
            </w:pPr>
            <w:r>
              <w:rPr>
                <w:szCs w:val="18"/>
              </w:rPr>
              <w:t>9,06035</w:t>
            </w:r>
          </w:p>
        </w:tc>
        <w:tc>
          <w:tcPr>
            <w:tcW w:w="868" w:type="dxa"/>
            <w:shd w:val="clear" w:color="auto" w:fill="auto"/>
            <w:vAlign w:val="bottom"/>
          </w:tcPr>
          <w:p w14:paraId="2D619575" w14:textId="77777777" w:rsidR="000D067E" w:rsidRPr="00C43471" w:rsidRDefault="000D067E" w:rsidP="002C48AE">
            <w:pPr>
              <w:pStyle w:val="Tabelltext"/>
              <w:keepNext/>
              <w:jc w:val="right"/>
              <w:rPr>
                <w:szCs w:val="18"/>
              </w:rPr>
            </w:pPr>
            <w:r>
              <w:rPr>
                <w:szCs w:val="18"/>
              </w:rPr>
              <w:t>9,03385</w:t>
            </w:r>
          </w:p>
        </w:tc>
        <w:tc>
          <w:tcPr>
            <w:tcW w:w="869" w:type="dxa"/>
            <w:shd w:val="clear" w:color="auto" w:fill="auto"/>
            <w:vAlign w:val="bottom"/>
          </w:tcPr>
          <w:p w14:paraId="13AF6E84" w14:textId="77777777" w:rsidR="000D067E" w:rsidRPr="00C43471" w:rsidRDefault="000D067E" w:rsidP="002C48AE">
            <w:pPr>
              <w:pStyle w:val="Tabelltext"/>
              <w:keepNext/>
              <w:jc w:val="right"/>
              <w:rPr>
                <w:szCs w:val="18"/>
              </w:rPr>
            </w:pPr>
            <w:r>
              <w:rPr>
                <w:szCs w:val="18"/>
              </w:rPr>
              <w:t>8,63105</w:t>
            </w:r>
          </w:p>
        </w:tc>
        <w:tc>
          <w:tcPr>
            <w:tcW w:w="868" w:type="dxa"/>
            <w:shd w:val="clear" w:color="auto" w:fill="auto"/>
            <w:vAlign w:val="bottom"/>
          </w:tcPr>
          <w:p w14:paraId="4C2F7C98" w14:textId="77777777" w:rsidR="000D067E" w:rsidRPr="00C43471" w:rsidRDefault="000D067E" w:rsidP="002C48AE">
            <w:pPr>
              <w:pStyle w:val="Tabelltext"/>
              <w:keepNext/>
              <w:jc w:val="right"/>
              <w:rPr>
                <w:szCs w:val="18"/>
              </w:rPr>
            </w:pPr>
            <w:r>
              <w:rPr>
                <w:szCs w:val="18"/>
              </w:rPr>
              <w:t>8,6814</w:t>
            </w:r>
          </w:p>
        </w:tc>
        <w:tc>
          <w:tcPr>
            <w:tcW w:w="868" w:type="dxa"/>
            <w:shd w:val="clear" w:color="auto" w:fill="auto"/>
            <w:vAlign w:val="bottom"/>
          </w:tcPr>
          <w:p w14:paraId="54CBA75D" w14:textId="77777777" w:rsidR="000D067E" w:rsidRPr="00C43471" w:rsidRDefault="000D067E" w:rsidP="002C48AE">
            <w:pPr>
              <w:pStyle w:val="Tabelltext"/>
              <w:keepNext/>
              <w:jc w:val="right"/>
              <w:rPr>
                <w:szCs w:val="18"/>
              </w:rPr>
            </w:pPr>
            <w:r>
              <w:rPr>
                <w:szCs w:val="18"/>
              </w:rPr>
              <w:t>8,7079</w:t>
            </w:r>
          </w:p>
        </w:tc>
        <w:tc>
          <w:tcPr>
            <w:tcW w:w="868" w:type="dxa"/>
            <w:shd w:val="clear" w:color="auto" w:fill="auto"/>
            <w:vAlign w:val="bottom"/>
          </w:tcPr>
          <w:p w14:paraId="23E073F4" w14:textId="77777777" w:rsidR="000D067E" w:rsidRPr="00C43471" w:rsidRDefault="000D067E" w:rsidP="002C48AE">
            <w:pPr>
              <w:pStyle w:val="Tabelltext"/>
              <w:keepNext/>
              <w:jc w:val="right"/>
              <w:rPr>
                <w:szCs w:val="18"/>
              </w:rPr>
            </w:pPr>
            <w:r>
              <w:rPr>
                <w:szCs w:val="18"/>
              </w:rPr>
              <w:t>8,73705</w:t>
            </w:r>
          </w:p>
        </w:tc>
        <w:tc>
          <w:tcPr>
            <w:tcW w:w="869" w:type="dxa"/>
            <w:shd w:val="clear" w:color="auto" w:fill="auto"/>
            <w:vAlign w:val="bottom"/>
          </w:tcPr>
          <w:p w14:paraId="74CD10F5" w14:textId="77777777" w:rsidR="000D067E" w:rsidRPr="00C43471" w:rsidRDefault="000D067E" w:rsidP="002C48AE">
            <w:pPr>
              <w:pStyle w:val="Tabelltext"/>
              <w:keepNext/>
              <w:jc w:val="right"/>
              <w:rPr>
                <w:szCs w:val="18"/>
              </w:rPr>
            </w:pPr>
            <w:r>
              <w:rPr>
                <w:szCs w:val="18"/>
              </w:rPr>
              <w:t>8,8245</w:t>
            </w:r>
          </w:p>
        </w:tc>
      </w:tr>
      <w:tr w:rsidR="000D067E" w14:paraId="3786C903" w14:textId="77777777" w:rsidTr="002C48AE">
        <w:trPr>
          <w:trHeight w:val="304"/>
        </w:trPr>
        <w:tc>
          <w:tcPr>
            <w:tcW w:w="993" w:type="dxa"/>
            <w:vAlign w:val="bottom"/>
          </w:tcPr>
          <w:p w14:paraId="66DDB0E6" w14:textId="77777777" w:rsidR="000D067E" w:rsidRDefault="000D067E" w:rsidP="002C48AE">
            <w:pPr>
              <w:pStyle w:val="Tabelltext"/>
              <w:keepNext/>
            </w:pPr>
            <w:r>
              <w:t>Skillnad (%-enheter)</w:t>
            </w:r>
          </w:p>
        </w:tc>
        <w:tc>
          <w:tcPr>
            <w:tcW w:w="868" w:type="dxa"/>
            <w:shd w:val="clear" w:color="auto" w:fill="auto"/>
            <w:vAlign w:val="bottom"/>
          </w:tcPr>
          <w:p w14:paraId="61D85313" w14:textId="77777777" w:rsidR="000D067E" w:rsidRPr="005204A6" w:rsidRDefault="000D067E" w:rsidP="002C48AE">
            <w:pPr>
              <w:pStyle w:val="Tabelltext"/>
              <w:keepNext/>
              <w:jc w:val="right"/>
              <w:rPr>
                <w:szCs w:val="18"/>
              </w:rPr>
            </w:pPr>
            <w:r w:rsidRPr="005204A6">
              <w:rPr>
                <w:color w:val="000000"/>
                <w:szCs w:val="18"/>
              </w:rPr>
              <w:t>3,2065</w:t>
            </w:r>
          </w:p>
        </w:tc>
        <w:tc>
          <w:tcPr>
            <w:tcW w:w="868" w:type="dxa"/>
            <w:shd w:val="clear" w:color="auto" w:fill="auto"/>
            <w:vAlign w:val="bottom"/>
          </w:tcPr>
          <w:p w14:paraId="42F7F2D8" w14:textId="77777777" w:rsidR="000D067E" w:rsidRPr="005204A6" w:rsidRDefault="000D067E" w:rsidP="002C48AE">
            <w:pPr>
              <w:pStyle w:val="Tabelltext"/>
              <w:keepNext/>
              <w:jc w:val="right"/>
              <w:rPr>
                <w:szCs w:val="18"/>
              </w:rPr>
            </w:pPr>
            <w:r w:rsidRPr="005204A6">
              <w:rPr>
                <w:color w:val="000000"/>
                <w:szCs w:val="18"/>
              </w:rPr>
              <w:t>0,53265</w:t>
            </w:r>
          </w:p>
        </w:tc>
        <w:tc>
          <w:tcPr>
            <w:tcW w:w="868" w:type="dxa"/>
            <w:shd w:val="clear" w:color="auto" w:fill="auto"/>
            <w:vAlign w:val="bottom"/>
          </w:tcPr>
          <w:p w14:paraId="3D2C145F" w14:textId="77777777" w:rsidR="000D067E" w:rsidRPr="005204A6" w:rsidRDefault="000D067E" w:rsidP="002C48AE">
            <w:pPr>
              <w:pStyle w:val="Tabelltext"/>
              <w:keepNext/>
              <w:jc w:val="right"/>
              <w:rPr>
                <w:szCs w:val="18"/>
              </w:rPr>
            </w:pPr>
            <w:r w:rsidRPr="005204A6">
              <w:rPr>
                <w:color w:val="000000"/>
                <w:szCs w:val="18"/>
              </w:rPr>
              <w:t>0,53795</w:t>
            </w:r>
          </w:p>
        </w:tc>
        <w:tc>
          <w:tcPr>
            <w:tcW w:w="869" w:type="dxa"/>
            <w:shd w:val="clear" w:color="auto" w:fill="auto"/>
            <w:vAlign w:val="bottom"/>
          </w:tcPr>
          <w:p w14:paraId="5F165A6D" w14:textId="77777777" w:rsidR="000D067E" w:rsidRPr="005204A6" w:rsidRDefault="000D067E" w:rsidP="002C48AE">
            <w:pPr>
              <w:pStyle w:val="Tabelltext"/>
              <w:keepNext/>
              <w:jc w:val="right"/>
              <w:rPr>
                <w:szCs w:val="18"/>
              </w:rPr>
            </w:pPr>
            <w:r w:rsidRPr="005204A6">
              <w:rPr>
                <w:color w:val="000000"/>
                <w:szCs w:val="18"/>
              </w:rPr>
              <w:t>0,2014</w:t>
            </w:r>
          </w:p>
        </w:tc>
        <w:tc>
          <w:tcPr>
            <w:tcW w:w="868" w:type="dxa"/>
            <w:shd w:val="clear" w:color="auto" w:fill="auto"/>
            <w:vAlign w:val="bottom"/>
          </w:tcPr>
          <w:p w14:paraId="7797E03C" w14:textId="77777777" w:rsidR="000D067E" w:rsidRPr="005204A6" w:rsidRDefault="000D067E" w:rsidP="002C48AE">
            <w:pPr>
              <w:pStyle w:val="Tabelltext"/>
              <w:keepNext/>
              <w:jc w:val="right"/>
              <w:rPr>
                <w:szCs w:val="18"/>
              </w:rPr>
            </w:pPr>
            <w:r w:rsidRPr="005204A6">
              <w:rPr>
                <w:color w:val="000000"/>
                <w:szCs w:val="18"/>
              </w:rPr>
              <w:t>0,5406</w:t>
            </w:r>
          </w:p>
        </w:tc>
        <w:tc>
          <w:tcPr>
            <w:tcW w:w="868" w:type="dxa"/>
            <w:shd w:val="clear" w:color="auto" w:fill="auto"/>
            <w:vAlign w:val="bottom"/>
          </w:tcPr>
          <w:p w14:paraId="1882596E" w14:textId="77777777" w:rsidR="000D067E" w:rsidRPr="005204A6" w:rsidRDefault="000D067E" w:rsidP="002C48AE">
            <w:pPr>
              <w:pStyle w:val="Tabelltext"/>
              <w:keepNext/>
              <w:jc w:val="right"/>
              <w:rPr>
                <w:szCs w:val="18"/>
              </w:rPr>
            </w:pPr>
            <w:r w:rsidRPr="005204A6">
              <w:rPr>
                <w:color w:val="000000"/>
                <w:szCs w:val="18"/>
              </w:rPr>
              <w:t>0,53</w:t>
            </w:r>
          </w:p>
        </w:tc>
        <w:tc>
          <w:tcPr>
            <w:tcW w:w="868" w:type="dxa"/>
            <w:shd w:val="clear" w:color="auto" w:fill="auto"/>
            <w:vAlign w:val="bottom"/>
          </w:tcPr>
          <w:p w14:paraId="5BAD9FB6" w14:textId="77777777" w:rsidR="000D067E" w:rsidRPr="005204A6" w:rsidRDefault="000D067E" w:rsidP="002C48AE">
            <w:pPr>
              <w:pStyle w:val="Tabelltext"/>
              <w:keepNext/>
              <w:jc w:val="right"/>
              <w:rPr>
                <w:szCs w:val="18"/>
              </w:rPr>
            </w:pPr>
            <w:r w:rsidRPr="005204A6">
              <w:rPr>
                <w:color w:val="000000"/>
                <w:szCs w:val="18"/>
              </w:rPr>
              <w:t>0,53</w:t>
            </w:r>
          </w:p>
        </w:tc>
        <w:tc>
          <w:tcPr>
            <w:tcW w:w="869" w:type="dxa"/>
            <w:shd w:val="clear" w:color="auto" w:fill="auto"/>
            <w:vAlign w:val="bottom"/>
          </w:tcPr>
          <w:p w14:paraId="2ED4DF49" w14:textId="77777777" w:rsidR="000D067E" w:rsidRPr="005204A6" w:rsidRDefault="000D067E" w:rsidP="002C48AE">
            <w:pPr>
              <w:pStyle w:val="Tabelltext"/>
              <w:keepNext/>
              <w:jc w:val="right"/>
              <w:rPr>
                <w:szCs w:val="18"/>
              </w:rPr>
            </w:pPr>
            <w:r w:rsidRPr="005204A6">
              <w:rPr>
                <w:color w:val="000000"/>
                <w:szCs w:val="18"/>
              </w:rPr>
              <w:t>0,53</w:t>
            </w:r>
          </w:p>
        </w:tc>
      </w:tr>
    </w:tbl>
    <w:p w14:paraId="48DA5B98" w14:textId="77777777" w:rsidR="000D067E" w:rsidRDefault="000D067E" w:rsidP="000D067E">
      <w:pPr>
        <w:pStyle w:val="ANormal"/>
      </w:pPr>
    </w:p>
    <w:p w14:paraId="560B7A2F" w14:textId="7AED7530" w:rsidR="000D067E" w:rsidRDefault="000D067E" w:rsidP="00B11044">
      <w:pPr>
        <w:pStyle w:val="ANormal"/>
      </w:pPr>
      <w:r>
        <w:tab/>
        <w:t xml:space="preserve">Höjningen för skatteåret 2021 är högst eftersom den ska motsvara en större sänkning av statens andel av samfundsskatten. Som tidigare nämndes sänker staten sin andel av samfundsskatten 2021 dels för att allmänt stödja </w:t>
      </w:r>
      <w:r>
        <w:lastRenderedPageBreak/>
        <w:t xml:space="preserve">kommunerna ekonomiskt (10 procentenheter), dels för att kompensera kommunerna för andra åtgärder (2 procentenheter för sänkta avgifter, 0,10 procentenheter för det nya tilläggsavdraget). Eftersom temporära bestämmelser om kommunalskattesatserna gäller för skatteåren 2021–2027 påverkas även de av sänkningen av den statliga andelen, ändringen där är dock inte lika stor. Från och med skatteåret 2028 är det bara </w:t>
      </w:r>
      <w:r w:rsidR="002332AB">
        <w:t xml:space="preserve">den permanenta </w:t>
      </w:r>
      <w:r>
        <w:t>sänkningen med 2 procentenheter som kvarstår.</w:t>
      </w:r>
    </w:p>
    <w:p w14:paraId="1374A9C9" w14:textId="0C9C3178" w:rsidR="00911A03" w:rsidRDefault="00911A03" w:rsidP="00B11044">
      <w:pPr>
        <w:pStyle w:val="ANormal"/>
      </w:pPr>
      <w:r>
        <w:tab/>
        <w:t xml:space="preserve">Landskapsregeringen föreslår också att </w:t>
      </w:r>
      <w:r w:rsidR="005C0D6B">
        <w:t xml:space="preserve">det femåriga tilläggsavdraget för forsknings- och utvecklingsverksamhet ska tillämpas vid kommunalbeskattningen på Åland. </w:t>
      </w:r>
      <w:r w:rsidR="004F799F">
        <w:t>De åländska företagen bör ha samma möjligheter till avdrag som de i riket</w:t>
      </w:r>
      <w:r w:rsidR="002332AB">
        <w:t>, och framför allt bör samma avdragsmöjligheter finnas både vid stats- och kommunalbeskattningen</w:t>
      </w:r>
      <w:r w:rsidR="004F799F">
        <w:t>. Enligt förslaget görs reglerna tillämpliga genom blankettlagstiftning. Ett liknande avdrag tillämpades tidigare under 2013–2014.</w:t>
      </w:r>
    </w:p>
    <w:p w14:paraId="02BE2A1C" w14:textId="5F229060" w:rsidR="004F799F" w:rsidRDefault="0084625F" w:rsidP="00B11044">
      <w:pPr>
        <w:pStyle w:val="ANormal"/>
      </w:pPr>
      <w:r>
        <w:tab/>
      </w:r>
      <w:r w:rsidR="00B236F7">
        <w:t>Vidare</w:t>
      </w:r>
      <w:r>
        <w:t xml:space="preserve"> föreslår landskapsregeringen </w:t>
      </w:r>
      <w:r w:rsidR="00CE25F9">
        <w:t>att de ändringar som gjorts i lagstiftningen om koncernbidrag vid statsbeskattningen ska tillämpas även vid kommunalbeskattningen</w:t>
      </w:r>
      <w:r w:rsidR="00CE25F9" w:rsidRPr="00CE25F9">
        <w:t xml:space="preserve"> </w:t>
      </w:r>
      <w:r w:rsidR="00CE25F9">
        <w:t xml:space="preserve">på Åland. </w:t>
      </w:r>
      <w:r w:rsidR="001F2FBC">
        <w:t xml:space="preserve">Det är inte för närvarande motiverat att ha särskilda bestämmelser på detta område, och </w:t>
      </w:r>
      <w:r w:rsidR="00CE25F9">
        <w:t xml:space="preserve">i syfte att </w:t>
      </w:r>
      <w:r w:rsidR="001F2FBC">
        <w:t>undvik</w:t>
      </w:r>
      <w:r w:rsidR="00CE25F9">
        <w:t>a</w:t>
      </w:r>
      <w:r w:rsidR="001F2FBC">
        <w:t xml:space="preserve"> situationer när olika regler gäll</w:t>
      </w:r>
      <w:r w:rsidR="009C7847">
        <w:t>er vid stats- och kommunalbeskattningen</w:t>
      </w:r>
      <w:r w:rsidR="00CE25F9">
        <w:t xml:space="preserve"> föreslås att rikets lag om koncernbidrag ska tillämpas vid kommunalbeskattningen.</w:t>
      </w:r>
    </w:p>
    <w:p w14:paraId="6813C0A4" w14:textId="77777777" w:rsidR="00814B4D" w:rsidRDefault="00814B4D" w:rsidP="00B11044">
      <w:pPr>
        <w:pStyle w:val="ANormal"/>
      </w:pPr>
    </w:p>
    <w:p w14:paraId="18362F22" w14:textId="58C656CB" w:rsidR="00D01EC4" w:rsidRDefault="00A567C9" w:rsidP="00D01EC4">
      <w:pPr>
        <w:pStyle w:val="RubrikB"/>
      </w:pPr>
      <w:bookmarkStart w:id="12" w:name="_Toc40269202"/>
      <w:bookmarkStart w:id="13" w:name="_Toc65663764"/>
      <w:r>
        <w:t>4</w:t>
      </w:r>
      <w:r w:rsidR="00D01EC4">
        <w:t>. Förslagets konsekvenser</w:t>
      </w:r>
      <w:bookmarkEnd w:id="12"/>
      <w:bookmarkEnd w:id="13"/>
    </w:p>
    <w:p w14:paraId="71BAE92A" w14:textId="77777777" w:rsidR="00D01EC4" w:rsidRDefault="00D01EC4" w:rsidP="00D01EC4">
      <w:pPr>
        <w:pStyle w:val="Rubrikmellanrum"/>
      </w:pPr>
    </w:p>
    <w:p w14:paraId="100310F6" w14:textId="3C59AC21" w:rsidR="00E337EF" w:rsidRDefault="00460478" w:rsidP="00D01EC4">
      <w:pPr>
        <w:pStyle w:val="ANormal"/>
      </w:pPr>
      <w:r>
        <w:t xml:space="preserve">Det här lagförslaget </w:t>
      </w:r>
      <w:r w:rsidR="00FE0D01">
        <w:t>omfattar</w:t>
      </w:r>
      <w:r>
        <w:t xml:space="preserve"> </w:t>
      </w:r>
      <w:r w:rsidR="007C79AA">
        <w:t>tre</w:t>
      </w:r>
      <w:r>
        <w:t xml:space="preserve"> </w:t>
      </w:r>
      <w:r w:rsidR="00147B30">
        <w:t>olika</w:t>
      </w:r>
      <w:r>
        <w:t xml:space="preserve"> förslag som</w:t>
      </w:r>
      <w:r w:rsidR="00E337EF">
        <w:t xml:space="preserve"> var för sig</w:t>
      </w:r>
      <w:r>
        <w:t xml:space="preserve"> har </w:t>
      </w:r>
      <w:r w:rsidR="00147B30">
        <w:t>skilda</w:t>
      </w:r>
      <w:r>
        <w:t xml:space="preserve"> konsekvenser</w:t>
      </w:r>
      <w:r w:rsidR="00E337EF">
        <w:t xml:space="preserve"> för </w:t>
      </w:r>
      <w:r w:rsidR="00DB405C">
        <w:t xml:space="preserve">landskapet, </w:t>
      </w:r>
      <w:r w:rsidR="00BC6C5E">
        <w:t xml:space="preserve">kommunerna </w:t>
      </w:r>
      <w:r w:rsidR="00E337EF">
        <w:t xml:space="preserve">och </w:t>
      </w:r>
      <w:r w:rsidR="00BC6C5E">
        <w:t>de skattskyldiga</w:t>
      </w:r>
      <w:r>
        <w:t>.</w:t>
      </w:r>
      <w:r w:rsidR="00DB405C">
        <w:t xml:space="preserve"> Konsekvenserna är i första hand ekonomiska. Förslaget </w:t>
      </w:r>
      <w:r w:rsidR="00FA2EE9">
        <w:t xml:space="preserve">har inga organisatoriska effekter och </w:t>
      </w:r>
      <w:r w:rsidR="00DB405C">
        <w:t xml:space="preserve">bedöms inte </w:t>
      </w:r>
      <w:r w:rsidR="00FA2EE9">
        <w:t xml:space="preserve">heller </w:t>
      </w:r>
      <w:r w:rsidR="00DB405C">
        <w:t>ha någ</w:t>
      </w:r>
      <w:r w:rsidR="00FA2EE9">
        <w:t>ra</w:t>
      </w:r>
      <w:r w:rsidR="00DB405C">
        <w:t xml:space="preserve"> dire</w:t>
      </w:r>
      <w:r w:rsidR="00FA2EE9">
        <w:t>k</w:t>
      </w:r>
      <w:r w:rsidR="00DB405C">
        <w:t>t</w:t>
      </w:r>
      <w:r w:rsidR="00FA2EE9">
        <w:t>a</w:t>
      </w:r>
      <w:r w:rsidR="00DB405C">
        <w:t xml:space="preserve"> </w:t>
      </w:r>
      <w:r w:rsidR="00FA2EE9">
        <w:t>konsekvenser</w:t>
      </w:r>
      <w:r w:rsidR="00DB405C">
        <w:t xml:space="preserve"> </w:t>
      </w:r>
      <w:r w:rsidR="00FA2EE9">
        <w:t>för</w:t>
      </w:r>
      <w:r w:rsidR="00DB405C">
        <w:t xml:space="preserve"> miljön</w:t>
      </w:r>
      <w:r w:rsidR="00FA2EE9">
        <w:t>, för jämställdheten mellan kvinnor och män</w:t>
      </w:r>
      <w:r w:rsidR="00FA2EE9" w:rsidRPr="00FA2EE9">
        <w:t xml:space="preserve"> </w:t>
      </w:r>
      <w:r w:rsidR="00FA2EE9">
        <w:t>eller för barn.</w:t>
      </w:r>
    </w:p>
    <w:p w14:paraId="1CAF7B15" w14:textId="1311A003" w:rsidR="00147B30" w:rsidRDefault="00147B30" w:rsidP="00D01EC4">
      <w:pPr>
        <w:pStyle w:val="ANormal"/>
      </w:pPr>
    </w:p>
    <w:p w14:paraId="606ECE16" w14:textId="2DA5A380" w:rsidR="00147B30" w:rsidRDefault="00147B30" w:rsidP="00147B30">
      <w:pPr>
        <w:pStyle w:val="RubrikD"/>
      </w:pPr>
      <w:bookmarkStart w:id="14" w:name="_Hlk59456801"/>
      <w:r>
        <w:t>Höjning av kommunalskattesatsen för samfund</w:t>
      </w:r>
    </w:p>
    <w:p w14:paraId="15E51383" w14:textId="77777777" w:rsidR="00147B30" w:rsidRDefault="00147B30" w:rsidP="00147B30">
      <w:pPr>
        <w:pStyle w:val="Rubrikmellanrum"/>
      </w:pPr>
    </w:p>
    <w:bookmarkEnd w:id="14"/>
    <w:p w14:paraId="79DCF816" w14:textId="0F854852" w:rsidR="00460478" w:rsidRDefault="00FA2EE9" w:rsidP="00D01EC4">
      <w:pPr>
        <w:pStyle w:val="ANormal"/>
      </w:pPr>
      <w:r>
        <w:t>F</w:t>
      </w:r>
      <w:r w:rsidR="00621D39">
        <w:t>ör</w:t>
      </w:r>
      <w:r w:rsidR="00460478">
        <w:t xml:space="preserve">slaget om höjning av kommunalskattesatsen för samfund </w:t>
      </w:r>
      <w:r>
        <w:t xml:space="preserve">innebär </w:t>
      </w:r>
      <w:r w:rsidR="00460478">
        <w:t xml:space="preserve">en ökning av </w:t>
      </w:r>
      <w:r>
        <w:t xml:space="preserve">kommunernas </w:t>
      </w:r>
      <w:r w:rsidR="00460478">
        <w:t xml:space="preserve">intäkter från samfundsbeskattningen. </w:t>
      </w:r>
      <w:r>
        <w:t>Samtidigt innebär det en motsvarande minskning av landskapets intäkter i form av skatteavräkning. Effekten</w:t>
      </w:r>
      <w:r w:rsidR="00460478">
        <w:t xml:space="preserve"> </w:t>
      </w:r>
      <w:r w:rsidR="00B9287E">
        <w:t xml:space="preserve">är störst </w:t>
      </w:r>
      <w:r w:rsidR="00460478">
        <w:t>för skatteåret 2021</w:t>
      </w:r>
      <w:r w:rsidR="00530EB7">
        <w:t xml:space="preserve"> då höjningen av skattesatsen är 2,42 procentenheter</w:t>
      </w:r>
      <w:r w:rsidR="00B9287E">
        <w:t xml:space="preserve">. </w:t>
      </w:r>
      <w:r w:rsidR="001F5E2B">
        <w:t xml:space="preserve">Baserat på den beräknade effekten av höjningen </w:t>
      </w:r>
      <w:r w:rsidR="006A198B">
        <w:t xml:space="preserve">av den kommunala andelen av samfundsskatten </w:t>
      </w:r>
      <w:r w:rsidR="001F5E2B">
        <w:t xml:space="preserve">i riket skulle de åländska kommunernas intäkter från samfundsskatten </w:t>
      </w:r>
      <w:r w:rsidR="009A3F95">
        <w:t xml:space="preserve">för skatteåret 2021 </w:t>
      </w:r>
      <w:r w:rsidR="001F5E2B">
        <w:t>öka med</w:t>
      </w:r>
      <w:r w:rsidR="009A3F95">
        <w:t xml:space="preserve"> totalt</w:t>
      </w:r>
      <w:r w:rsidR="001F5E2B">
        <w:t xml:space="preserve"> cirka 3,37 miljoner euro</w:t>
      </w:r>
      <w:r w:rsidR="00F80993">
        <w:t>, fördelat enligt följande:</w:t>
      </w:r>
    </w:p>
    <w:p w14:paraId="4196ECC3" w14:textId="5605BA26" w:rsidR="009A3F95" w:rsidRDefault="009A3F95" w:rsidP="00D01EC4">
      <w:pPr>
        <w:pStyle w:val="ANormal"/>
      </w:pPr>
    </w:p>
    <w:tbl>
      <w:tblPr>
        <w:tblStyle w:val="Tabellrutnt"/>
        <w:tblW w:w="0" w:type="auto"/>
        <w:tblLook w:val="04A0" w:firstRow="1" w:lastRow="0" w:firstColumn="1" w:lastColumn="0" w:noHBand="0" w:noVBand="1"/>
      </w:tblPr>
      <w:tblGrid>
        <w:gridCol w:w="5382"/>
        <w:gridCol w:w="1298"/>
      </w:tblGrid>
      <w:tr w:rsidR="009A3F95" w14:paraId="7B902DEE" w14:textId="77777777" w:rsidTr="00F80993">
        <w:trPr>
          <w:trHeight w:val="414"/>
        </w:trPr>
        <w:tc>
          <w:tcPr>
            <w:tcW w:w="5382" w:type="dxa"/>
            <w:vAlign w:val="center"/>
          </w:tcPr>
          <w:p w14:paraId="3AF5D16D" w14:textId="48FBB5C3" w:rsidR="009A3F95" w:rsidRDefault="009A3F95" w:rsidP="00F80993">
            <w:pPr>
              <w:pStyle w:val="Tabelltext"/>
            </w:pPr>
            <w:r>
              <w:t>Temporär hö</w:t>
            </w:r>
            <w:r w:rsidR="003102BD">
              <w:t>j</w:t>
            </w:r>
            <w:r>
              <w:t xml:space="preserve">ning med </w:t>
            </w:r>
            <w:r w:rsidR="00012CA3">
              <w:t>2</w:t>
            </w:r>
            <w:r>
              <w:t xml:space="preserve"> procentenheter</w:t>
            </w:r>
          </w:p>
        </w:tc>
        <w:tc>
          <w:tcPr>
            <w:tcW w:w="1298" w:type="dxa"/>
            <w:vAlign w:val="center"/>
          </w:tcPr>
          <w:p w14:paraId="03700583" w14:textId="5AAF14F2" w:rsidR="009A3F95" w:rsidRDefault="009A3F95" w:rsidP="00F80993">
            <w:pPr>
              <w:pStyle w:val="Tabelltext"/>
              <w:jc w:val="right"/>
            </w:pPr>
            <w:r>
              <w:t>2 785 000</w:t>
            </w:r>
          </w:p>
        </w:tc>
      </w:tr>
      <w:tr w:rsidR="009A3F95" w14:paraId="640E0717" w14:textId="77777777" w:rsidTr="00F80993">
        <w:trPr>
          <w:trHeight w:val="414"/>
        </w:trPr>
        <w:tc>
          <w:tcPr>
            <w:tcW w:w="5382" w:type="dxa"/>
            <w:vAlign w:val="center"/>
          </w:tcPr>
          <w:p w14:paraId="653EFE44" w14:textId="1EDA8276" w:rsidR="009A3F95" w:rsidRDefault="009A3F95" w:rsidP="00F80993">
            <w:pPr>
              <w:pStyle w:val="Tabelltext"/>
            </w:pPr>
            <w:r>
              <w:t xml:space="preserve">Permanent höjning med </w:t>
            </w:r>
            <w:r w:rsidR="00012CA3">
              <w:t>0,4</w:t>
            </w:r>
            <w:r>
              <w:t xml:space="preserve"> procentenheter</w:t>
            </w:r>
          </w:p>
        </w:tc>
        <w:tc>
          <w:tcPr>
            <w:tcW w:w="1298" w:type="dxa"/>
            <w:vAlign w:val="center"/>
          </w:tcPr>
          <w:p w14:paraId="3CAD6BD1" w14:textId="75CAF023" w:rsidR="009A3F95" w:rsidRDefault="009A3F95" w:rsidP="00F80993">
            <w:pPr>
              <w:pStyle w:val="Tabelltext"/>
              <w:jc w:val="right"/>
            </w:pPr>
            <w:r>
              <w:t>555 000</w:t>
            </w:r>
          </w:p>
        </w:tc>
      </w:tr>
      <w:tr w:rsidR="009A3F95" w14:paraId="30CD377E" w14:textId="77777777" w:rsidTr="00F80993">
        <w:trPr>
          <w:trHeight w:val="507"/>
        </w:trPr>
        <w:tc>
          <w:tcPr>
            <w:tcW w:w="5382" w:type="dxa"/>
            <w:vAlign w:val="center"/>
          </w:tcPr>
          <w:p w14:paraId="0932F937" w14:textId="0464492D" w:rsidR="009A3F95" w:rsidRDefault="009A3F95" w:rsidP="00F80993">
            <w:pPr>
              <w:pStyle w:val="Tabelltext"/>
            </w:pPr>
            <w:r>
              <w:t>Höjning med 0,0</w:t>
            </w:r>
            <w:r w:rsidR="00012CA3">
              <w:t>2</w:t>
            </w:r>
            <w:r>
              <w:t xml:space="preserve"> procentenheter som kompensation för tilläggsavdraget</w:t>
            </w:r>
            <w:r w:rsidR="00797B28">
              <w:t xml:space="preserve"> för forsknings- och utvecklingsverksamhet</w:t>
            </w:r>
          </w:p>
        </w:tc>
        <w:tc>
          <w:tcPr>
            <w:tcW w:w="1298" w:type="dxa"/>
            <w:vAlign w:val="center"/>
          </w:tcPr>
          <w:p w14:paraId="038F7020" w14:textId="369E2CEB" w:rsidR="009A3F95" w:rsidRDefault="009A3F95" w:rsidP="00F80993">
            <w:pPr>
              <w:pStyle w:val="Tabelltext"/>
              <w:jc w:val="right"/>
            </w:pPr>
            <w:r>
              <w:t>30 000</w:t>
            </w:r>
          </w:p>
        </w:tc>
      </w:tr>
      <w:tr w:rsidR="00DB29CE" w14:paraId="07F88659" w14:textId="77777777" w:rsidTr="00F80993">
        <w:trPr>
          <w:trHeight w:val="507"/>
        </w:trPr>
        <w:tc>
          <w:tcPr>
            <w:tcW w:w="5382" w:type="dxa"/>
            <w:vAlign w:val="center"/>
          </w:tcPr>
          <w:p w14:paraId="4B0ED997" w14:textId="7A590F78" w:rsidR="00DB29CE" w:rsidRDefault="00DB29CE" w:rsidP="00F80993">
            <w:pPr>
              <w:pStyle w:val="Tabelltext"/>
            </w:pPr>
            <w:r>
              <w:t>TOTALT</w:t>
            </w:r>
          </w:p>
        </w:tc>
        <w:tc>
          <w:tcPr>
            <w:tcW w:w="1298" w:type="dxa"/>
            <w:vAlign w:val="center"/>
          </w:tcPr>
          <w:p w14:paraId="13BE5611" w14:textId="066A9451" w:rsidR="00DB29CE" w:rsidRDefault="00DB29CE" w:rsidP="00F80993">
            <w:pPr>
              <w:pStyle w:val="Tabelltext"/>
              <w:jc w:val="right"/>
            </w:pPr>
            <w:r>
              <w:t>3 370 000</w:t>
            </w:r>
          </w:p>
        </w:tc>
      </w:tr>
    </w:tbl>
    <w:p w14:paraId="34C31E52" w14:textId="77777777" w:rsidR="009A3F95" w:rsidRDefault="009A3F95" w:rsidP="00D01EC4">
      <w:pPr>
        <w:pStyle w:val="ANormal"/>
      </w:pPr>
    </w:p>
    <w:p w14:paraId="5D113574" w14:textId="6D6D5AAC" w:rsidR="00D01EC4" w:rsidRDefault="00F80993" w:rsidP="00B9287E">
      <w:pPr>
        <w:pStyle w:val="ANormal"/>
      </w:pPr>
      <w:r>
        <w:t xml:space="preserve">Ökningen inverkar dock på kassaflödet under flera år, eftersom samfundsskatten för ett visst skatteår inte </w:t>
      </w:r>
      <w:r w:rsidR="00AA624A">
        <w:t xml:space="preserve">helt </w:t>
      </w:r>
      <w:r>
        <w:t xml:space="preserve">inflyter under samma kalenderår. En del av de ökade skatteintäkterna </w:t>
      </w:r>
      <w:r w:rsidR="00797B28">
        <w:t xml:space="preserve">från 2021 </w:t>
      </w:r>
      <w:r w:rsidR="004F5E26">
        <w:t>kan</w:t>
      </w:r>
      <w:r>
        <w:t xml:space="preserve"> således</w:t>
      </w:r>
      <w:r w:rsidR="004F5E26">
        <w:t xml:space="preserve"> komma</w:t>
      </w:r>
      <w:r>
        <w:t xml:space="preserve"> att redovisas till kommunerna </w:t>
      </w:r>
      <w:r w:rsidR="00797B28">
        <w:t>först under 2022.</w:t>
      </w:r>
      <w:r w:rsidR="00EC17DE">
        <w:t xml:space="preserve"> </w:t>
      </w:r>
      <w:r w:rsidR="00530EB7">
        <w:t>U</w:t>
      </w:r>
      <w:r w:rsidR="00B9287E">
        <w:t xml:space="preserve">nder skatteåren 2022–2025 varierar ökningen marginellt mellan </w:t>
      </w:r>
      <w:r w:rsidR="00530EB7">
        <w:t>0,402</w:t>
      </w:r>
      <w:r w:rsidR="00B9287E" w:rsidRPr="00530EB7">
        <w:t xml:space="preserve"> och </w:t>
      </w:r>
      <w:r w:rsidR="00530EB7">
        <w:t>0,408</w:t>
      </w:r>
      <w:r w:rsidR="00B9287E" w:rsidRPr="00530EB7">
        <w:t xml:space="preserve"> procentenheter</w:t>
      </w:r>
      <w:r w:rsidR="00530EB7">
        <w:t>, medan</w:t>
      </w:r>
      <w:r w:rsidR="00B9287E">
        <w:t xml:space="preserve"> </w:t>
      </w:r>
      <w:r w:rsidR="00530EB7">
        <w:t xml:space="preserve">den permanenta ökningen </w:t>
      </w:r>
      <w:r w:rsidR="00530EB7" w:rsidRPr="00530EB7">
        <w:t xml:space="preserve">med </w:t>
      </w:r>
      <w:r w:rsidR="00530EB7">
        <w:t>0,4</w:t>
      </w:r>
      <w:r w:rsidR="00530EB7" w:rsidRPr="00530EB7">
        <w:t xml:space="preserve"> procentenheter</w:t>
      </w:r>
      <w:r w:rsidR="00530EB7">
        <w:t xml:space="preserve"> gäller f</w:t>
      </w:r>
      <w:r w:rsidR="00B9287E">
        <w:t>rån och med skatteåret 2026</w:t>
      </w:r>
      <w:r w:rsidR="00530EB7">
        <w:t>. Det är dock svårt att ge en prognos för effekterna så långt in i framtiden</w:t>
      </w:r>
      <w:r w:rsidR="00CA6C11">
        <w:t>, främst för att det verkliga utfallet sist och slutligen är beroende av företagens resultat</w:t>
      </w:r>
      <w:r w:rsidR="00177584">
        <w:t xml:space="preserve">. </w:t>
      </w:r>
      <w:r w:rsidR="00B571FB">
        <w:t xml:space="preserve">Här bör också noteras att </w:t>
      </w:r>
      <w:r w:rsidR="0026543E">
        <w:t xml:space="preserve">den permanenta ökningen hör </w:t>
      </w:r>
      <w:r w:rsidR="0026543E">
        <w:lastRenderedPageBreak/>
        <w:t>samman med en sänkning av statens andel av samfundsskatten, som i sin tur är avsedd att kompensera kommunerna i riket för en sänkning av de kommunala avgifterna för småbarnspedagogik. Sänkningen av de kommunala avgifterna berör inte de åländska kommunerna.</w:t>
      </w:r>
    </w:p>
    <w:p w14:paraId="6D105DDC" w14:textId="77777777" w:rsidR="007F7F46" w:rsidRDefault="007F7F46" w:rsidP="007F7F46">
      <w:pPr>
        <w:pStyle w:val="ANormal"/>
      </w:pPr>
      <w:r>
        <w:tab/>
        <w:t xml:space="preserve">För de skattskyldiga företagen innebär förslaget om höjning av kommunalskattesatsen för samfund att den totala skattesatsen inte förändras, varken för skatteåret 2021 eller de kommande skatteåren. </w:t>
      </w:r>
    </w:p>
    <w:p w14:paraId="7E4D769F" w14:textId="77777777" w:rsidR="00147B30" w:rsidRDefault="00147B30" w:rsidP="00D01EC4">
      <w:pPr>
        <w:pStyle w:val="ANormal"/>
      </w:pPr>
    </w:p>
    <w:p w14:paraId="205B513A" w14:textId="6128AD40" w:rsidR="00147B30" w:rsidRDefault="00147B30" w:rsidP="00147B30">
      <w:pPr>
        <w:pStyle w:val="RubrikD"/>
      </w:pPr>
      <w:r>
        <w:t>Tilläggsavdrag för forsknings- och utvecklingsverksamhet</w:t>
      </w:r>
    </w:p>
    <w:p w14:paraId="6A47E374" w14:textId="77777777" w:rsidR="00147B30" w:rsidRDefault="00147B30" w:rsidP="00147B30">
      <w:pPr>
        <w:pStyle w:val="Rubrikmellanrum"/>
      </w:pPr>
    </w:p>
    <w:p w14:paraId="2AD2CFC9" w14:textId="635A0D60" w:rsidR="00A44403" w:rsidRDefault="00A44403" w:rsidP="00A44403">
      <w:pPr>
        <w:pStyle w:val="ANormal"/>
      </w:pPr>
      <w:r>
        <w:t>Förslaget om ett tilläggsavdrag för forsknings- och utvecklingsverksamhet innebär en möjlig skattesänkning under skatteåren 2021–2025 för företag som har sådan verksamhet som avses i den föreslagna lagen. I propositionen i riket konstateras dock att det är svårt att tydligt påvisa skattestödens stimulanseffekt på forsknings- och utvecklingsverksamhet. Tilläggsavdraget bedöms där i första hand vara riktat till företag som vill utvidga redan befintligt forskningssamarbete snarare än till att stimulera företag som är i början av sin livscykel och kanske går med förlust.</w:t>
      </w:r>
    </w:p>
    <w:p w14:paraId="199913D0" w14:textId="10BFFF62" w:rsidR="00797B28" w:rsidRDefault="00A44403" w:rsidP="00D01EC4">
      <w:pPr>
        <w:pStyle w:val="ANormal"/>
      </w:pPr>
      <w:r>
        <w:tab/>
      </w:r>
      <w:r w:rsidR="00797B28">
        <w:t>För</w:t>
      </w:r>
      <w:r>
        <w:t xml:space="preserve"> kommunerna </w:t>
      </w:r>
      <w:r w:rsidR="00EC17DE">
        <w:t>leder för</w:t>
      </w:r>
      <w:r w:rsidR="00797B28">
        <w:t>slaget om ett tilläggsavdrag för forsknings- och utvecklingsverksamhet till en sänkning av skatteintäkter</w:t>
      </w:r>
      <w:r w:rsidR="00EC17DE">
        <w:t>na</w:t>
      </w:r>
      <w:r w:rsidR="00797B28">
        <w:t>. Hur stor denna sänkning blir är helt och hållet beroende av i vilken utsträckning möjligheten till avdrag kommer att utnyttjas. I höjningen av kommunalskattesatsen för samfund ingår också en kalkylerad kompensation till kommunerna för denna sänkning.</w:t>
      </w:r>
    </w:p>
    <w:p w14:paraId="70572C0E" w14:textId="77777777" w:rsidR="00147B30" w:rsidRDefault="00147B30" w:rsidP="00D01EC4">
      <w:pPr>
        <w:pStyle w:val="ANormal"/>
      </w:pPr>
    </w:p>
    <w:p w14:paraId="0CDB14FA" w14:textId="24A6F2EE" w:rsidR="00147B30" w:rsidRDefault="007F7F46" w:rsidP="00147B30">
      <w:pPr>
        <w:pStyle w:val="RubrikD"/>
      </w:pPr>
      <w:r>
        <w:t>Ändring</w:t>
      </w:r>
      <w:r w:rsidR="00147B30">
        <w:t xml:space="preserve"> av </w:t>
      </w:r>
      <w:r>
        <w:t>lagstiftningen om koncernbidrag vid kommunalbeskattningen</w:t>
      </w:r>
    </w:p>
    <w:p w14:paraId="4BC0618F" w14:textId="77777777" w:rsidR="00147B30" w:rsidRDefault="00147B30" w:rsidP="00147B30">
      <w:pPr>
        <w:pStyle w:val="Rubrikmellanrum"/>
      </w:pPr>
    </w:p>
    <w:p w14:paraId="66DFC491" w14:textId="49638321" w:rsidR="003760D2" w:rsidRDefault="003760D2" w:rsidP="00D01EC4">
      <w:pPr>
        <w:pStyle w:val="ANormal"/>
      </w:pPr>
      <w:r>
        <w:t>Möjligheten att använda sig av koncernbidrag vid beskattningen gäller för aktiebolag och andelslag</w:t>
      </w:r>
      <w:r w:rsidRPr="00F25994">
        <w:t xml:space="preserve">. </w:t>
      </w:r>
      <w:r w:rsidR="00FE0D01">
        <w:t>Genom f</w:t>
      </w:r>
      <w:r w:rsidR="00624E4C">
        <w:t xml:space="preserve">örslaget om att rikets lag om koncernbidrag vid beskattningen ska tillämpas vid kommunalbeskattningen på Åland </w:t>
      </w:r>
      <w:r>
        <w:t xml:space="preserve">ändras lagstiftningen så att samma regler gäller vid kommunalbeskattningen och statsbeskattningen. Under skatteåret 2020 har det funnits en mindre avvikelse och för skatteåret 2021 </w:t>
      </w:r>
      <w:r w:rsidR="00902BF6">
        <w:t>uppstå</w:t>
      </w:r>
      <w:r w:rsidR="00D53EC6">
        <w:t>r</w:t>
      </w:r>
      <w:r w:rsidR="00C211F2">
        <w:t xml:space="preserve"> ytterligare en avvikelse.</w:t>
      </w:r>
      <w:r w:rsidR="00902BF6">
        <w:t xml:space="preserve"> Båda avvikelser </w:t>
      </w:r>
      <w:r w:rsidR="007A376F">
        <w:t>innebär</w:t>
      </w:r>
      <w:r w:rsidR="00902BF6">
        <w:t xml:space="preserve"> att möjligheten att ge och ta emot koncernbidrag </w:t>
      </w:r>
      <w:r w:rsidR="00D53EC6">
        <w:t xml:space="preserve">i viss mån </w:t>
      </w:r>
      <w:r w:rsidR="007A376F">
        <w:t>är</w:t>
      </w:r>
      <w:r w:rsidR="00902BF6">
        <w:t xml:space="preserve"> </w:t>
      </w:r>
      <w:r w:rsidR="007A376F">
        <w:t>mer inskränkta vid kommunalbeskattningen än vid statsbeskattningen.</w:t>
      </w:r>
      <w:r w:rsidR="007E23FD">
        <w:t xml:space="preserve"> För företagen är således ändringen positiv, dels för att lagstiftningen blir enklare och tydligare, dels för att möjligheten att använda sig av koncernbidrag vid beskattningen utvidgas.</w:t>
      </w:r>
    </w:p>
    <w:p w14:paraId="27F80FBB" w14:textId="694AFB51" w:rsidR="00797B28" w:rsidRDefault="00515472" w:rsidP="00D01EC4">
      <w:pPr>
        <w:pStyle w:val="ANormal"/>
      </w:pPr>
      <w:r>
        <w:tab/>
      </w:r>
      <w:r w:rsidR="00797B28">
        <w:t xml:space="preserve">Förslaget om ändring av lagstiftningen om koncernbidrag vid kommunalbeskattningen bedöms inte </w:t>
      </w:r>
      <w:r>
        <w:t>ha några konsekvenser för</w:t>
      </w:r>
      <w:r w:rsidR="00797B28">
        <w:t xml:space="preserve"> kommunerna</w:t>
      </w:r>
      <w:r w:rsidR="00A77D18">
        <w:t>.</w:t>
      </w:r>
    </w:p>
    <w:p w14:paraId="60BF9ED8" w14:textId="77777777" w:rsidR="00D01EC4" w:rsidRDefault="00D01EC4" w:rsidP="00D01EC4">
      <w:pPr>
        <w:pStyle w:val="ANormal"/>
      </w:pPr>
    </w:p>
    <w:p w14:paraId="323DC02D" w14:textId="30AFEA68" w:rsidR="00D01EC4" w:rsidRDefault="00A567C9" w:rsidP="00D01EC4">
      <w:pPr>
        <w:pStyle w:val="RubrikB"/>
      </w:pPr>
      <w:bookmarkStart w:id="15" w:name="_Toc40269203"/>
      <w:bookmarkStart w:id="16" w:name="_Toc65663765"/>
      <w:r>
        <w:t>5</w:t>
      </w:r>
      <w:r w:rsidR="00D01EC4">
        <w:t>. Beredning och ikraftträdande</w:t>
      </w:r>
      <w:bookmarkEnd w:id="15"/>
      <w:bookmarkEnd w:id="16"/>
    </w:p>
    <w:p w14:paraId="060253EB" w14:textId="77777777" w:rsidR="00D01EC4" w:rsidRDefault="00D01EC4" w:rsidP="00D01EC4">
      <w:pPr>
        <w:pStyle w:val="Rubrikmellanrum"/>
      </w:pPr>
    </w:p>
    <w:p w14:paraId="13D7ED0B" w14:textId="7A790661" w:rsidR="00077059" w:rsidRDefault="00077059" w:rsidP="00077059">
      <w:pPr>
        <w:pStyle w:val="ANormal"/>
      </w:pPr>
      <w:r>
        <w:t>Förslaget har beretts vid lagberedningen. Med hänvisning till ärendets brådskande art har förslaget</w:t>
      </w:r>
      <w:r w:rsidR="005D3911">
        <w:t xml:space="preserve"> bara</w:t>
      </w:r>
      <w:r>
        <w:t xml:space="preserve"> skickats på </w:t>
      </w:r>
      <w:r w:rsidR="005D3911">
        <w:t>en kort</w:t>
      </w:r>
      <w:r>
        <w:t xml:space="preserve"> remiss</w:t>
      </w:r>
      <w:r w:rsidR="005D3911">
        <w:t xml:space="preserve"> till Ålands kommunförbund och Mariehamns stad</w:t>
      </w:r>
      <w:r>
        <w:t xml:space="preserve">. </w:t>
      </w:r>
      <w:r w:rsidR="00DB382E">
        <w:t xml:space="preserve">Ingen av remissinstanserna har lämnat några synpunkter på förslaget. </w:t>
      </w:r>
      <w:r>
        <w:t xml:space="preserve">Förslagen om ändringarna av kommunalskattesatsen för samfund och tilläggsavdraget för forsknings- och utvecklingsverksamhet har </w:t>
      </w:r>
      <w:r w:rsidR="00DB382E">
        <w:t>tidigare</w:t>
      </w:r>
      <w:r>
        <w:t xml:space="preserve"> tagits upp vid samråd mellan landskapsregeringen, Ålands kommunförbund och Mariehamns stad i samband med budgetberedningen under hösten 2020.</w:t>
      </w:r>
    </w:p>
    <w:p w14:paraId="1EC131DA" w14:textId="17E09568" w:rsidR="003F7EAA" w:rsidRDefault="00077059" w:rsidP="00D01EC4">
      <w:pPr>
        <w:pStyle w:val="ANormal"/>
      </w:pPr>
      <w:r>
        <w:tab/>
        <w:t>De föreslagna lagändringarna är avsedda att tillämpas från och med kommunalbeskattningen för skatteåret 2021, och i ett fall dessutom från och med beskattningen för skatteåret 2020.</w:t>
      </w:r>
      <w:r w:rsidR="003F7EAA">
        <w:t xml:space="preserve"> Enligt förslaget ska de således </w:t>
      </w:r>
      <w:r w:rsidR="00235D9A">
        <w:t>tillämpas</w:t>
      </w:r>
      <w:r w:rsidR="003F7EAA">
        <w:t xml:space="preserve"> retroaktivt.</w:t>
      </w:r>
      <w:r>
        <w:t xml:space="preserve"> </w:t>
      </w:r>
      <w:r w:rsidR="003F7EAA">
        <w:t xml:space="preserve">När det gäller införandet av ett tilläggsavdrag för forsknings- och utvecklingsverksamhet samt ändringarna som rör koncernbidrag vid kommunalbeskattningen är förslaget till fördel för de skattskyldiga. </w:t>
      </w:r>
      <w:r w:rsidR="00235D9A">
        <w:t xml:space="preserve">I dessa fall är retroaktiviteten därmed inte så problematisk, även om skattelagstiftning i </w:t>
      </w:r>
      <w:r w:rsidR="00235D9A">
        <w:lastRenderedPageBreak/>
        <w:t xml:space="preserve">regel inte </w:t>
      </w:r>
      <w:r w:rsidR="001C6E5E">
        <w:t>bör</w:t>
      </w:r>
      <w:r w:rsidR="00235D9A">
        <w:t xml:space="preserve"> vara retroaktiv. </w:t>
      </w:r>
      <w:r w:rsidR="003F7EAA">
        <w:t>Förslaget om ändring av kommunalskattesatserna för samfund och samfällda förmåner</w:t>
      </w:r>
      <w:r w:rsidR="001F279B">
        <w:t xml:space="preserve"> för skatteåret 2021</w:t>
      </w:r>
      <w:r w:rsidR="003F7EAA">
        <w:t xml:space="preserve"> är däremot i sig till nackdel för de skattskyldiga även om det innebär att de totala skattesatserna kvarstå</w:t>
      </w:r>
      <w:r w:rsidR="001C6E5E">
        <w:t>r</w:t>
      </w:r>
      <w:r w:rsidR="003F7EAA">
        <w:t xml:space="preserve"> oförändrade.</w:t>
      </w:r>
    </w:p>
    <w:p w14:paraId="6F09346E" w14:textId="4E397037" w:rsidR="00D01EC4" w:rsidRDefault="003F7EAA" w:rsidP="00D01EC4">
      <w:pPr>
        <w:pStyle w:val="ANormal"/>
      </w:pPr>
      <w:r>
        <w:tab/>
      </w:r>
      <w:r w:rsidR="00674D07">
        <w:t>Landskapsregeringen har i flera tidigare lagförslag konstaterat att frågan om retroaktiv skattelagstiftning är problematisk (se FR 23/2008–2009, LF 10/2012–2013 och LF 12/2019–2020). Det har emellertid visat sig vara svårt att undvika retroaktiviteten när det gäller lagstiftningen om kommunalbeskattning av samfund och samfällda förmåner</w:t>
      </w:r>
      <w:r w:rsidR="005D12D3">
        <w:t>.</w:t>
      </w:r>
      <w:r w:rsidR="00674D07">
        <w:t xml:space="preserve"> </w:t>
      </w:r>
      <w:r w:rsidR="005D12D3">
        <w:t>L</w:t>
      </w:r>
      <w:r w:rsidR="00674D07">
        <w:t>andskapsregeringens avsikt</w:t>
      </w:r>
      <w:r w:rsidR="005D12D3">
        <w:t xml:space="preserve"> har hittills</w:t>
      </w:r>
      <w:r w:rsidR="00674D07">
        <w:t xml:space="preserve"> varit att behålla den totala skattesatsen för </w:t>
      </w:r>
      <w:r w:rsidR="005D12D3">
        <w:t>de åländska företagen</w:t>
      </w:r>
      <w:r w:rsidR="00674D07">
        <w:t xml:space="preserve"> på samma nivå som i riket.</w:t>
      </w:r>
      <w:r w:rsidR="005D12D3">
        <w:t xml:space="preserve"> Fördelningen av samfundsskatterna mellan skattetagarna staten och kommunerna regleras i lagen om skatteredovisning, och ändras i stort sett årligen av olika orsaker. Riksdagen fattar i regel beslut om lagändringen under den senare halvan av december varje år, och de ändrade reglerna träder sedan i kraft vid ingången av det aktuella skatteåret. Det här gör att det inte finns någon rimlig möjlighet att ändra landskapslagstiftningen så att den </w:t>
      </w:r>
      <w:r w:rsidR="001F279B">
        <w:t xml:space="preserve">skulle </w:t>
      </w:r>
      <w:r w:rsidR="00C0099E">
        <w:t>hinna sättas i kraft</w:t>
      </w:r>
      <w:r w:rsidR="005D12D3">
        <w:t xml:space="preserve"> </w:t>
      </w:r>
      <w:r w:rsidR="00C0099E">
        <w:t xml:space="preserve">från </w:t>
      </w:r>
      <w:r w:rsidR="005D12D3">
        <w:t>början av skatteåret. Det betyder att ändringar av kommunalskattesatse</w:t>
      </w:r>
      <w:r w:rsidR="00C0099E">
        <w:t>r</w:t>
      </w:r>
      <w:r w:rsidR="005D12D3">
        <w:t>n</w:t>
      </w:r>
      <w:r w:rsidR="00C0099E">
        <w:t>a</w:t>
      </w:r>
      <w:r w:rsidR="005D12D3">
        <w:t xml:space="preserve"> för samfund och samfällda förmåner </w:t>
      </w:r>
      <w:r w:rsidR="00425A31">
        <w:t xml:space="preserve">på Åland </w:t>
      </w:r>
      <w:r w:rsidR="005D12D3">
        <w:t xml:space="preserve">som regel </w:t>
      </w:r>
      <w:r w:rsidR="008B5416">
        <w:t xml:space="preserve">får en </w:t>
      </w:r>
      <w:r w:rsidR="00425A31">
        <w:t xml:space="preserve">retroaktiv </w:t>
      </w:r>
      <w:r w:rsidR="008B5416">
        <w:t>verkan, oberoende av om de är till fördel eller</w:t>
      </w:r>
      <w:r w:rsidR="00C0099E">
        <w:t xml:space="preserve"> till</w:t>
      </w:r>
      <w:r w:rsidR="008B5416">
        <w:t xml:space="preserve"> nackdel för de skattskyldiga.</w:t>
      </w:r>
      <w:r w:rsidR="00425A31">
        <w:t xml:space="preserve"> </w:t>
      </w:r>
      <w:r w:rsidR="000245D0">
        <w:t>Alternativet vore att den totala skattesatsen för åländska företag skulle fluktuera från år till år beroende på hur fördelningen av samfundsskatten mellan staten och kommunerna</w:t>
      </w:r>
      <w:r w:rsidR="0000010E">
        <w:t xml:space="preserve"> i riket</w:t>
      </w:r>
      <w:r w:rsidR="000245D0">
        <w:t xml:space="preserve"> varierar.</w:t>
      </w:r>
    </w:p>
    <w:p w14:paraId="62638E30" w14:textId="25FC3F57" w:rsidR="001F279B" w:rsidRDefault="00674D07" w:rsidP="00674D07">
      <w:pPr>
        <w:pStyle w:val="ANormal"/>
      </w:pPr>
      <w:r>
        <w:tab/>
        <w:t xml:space="preserve">Frågan om retroaktiv lagstiftning </w:t>
      </w:r>
      <w:r w:rsidR="00C0099E">
        <w:t>när det gäller skattesatserna för samfund och samfällda förmåner</w:t>
      </w:r>
      <w:r w:rsidR="00C0099E" w:rsidRPr="00C0099E">
        <w:t xml:space="preserve"> </w:t>
      </w:r>
      <w:r w:rsidR="00C0099E">
        <w:t>har utretts tidigare</w:t>
      </w:r>
      <w:r w:rsidR="001F279B">
        <w:t>, vilket framgår av de ovannämnda lagförslagen</w:t>
      </w:r>
      <w:r>
        <w:t>.</w:t>
      </w:r>
      <w:r w:rsidR="001F279B">
        <w:t xml:space="preserve"> Även när det gäller detta förslag kan det konstateras att</w:t>
      </w:r>
      <w:r>
        <w:t xml:space="preserve"> </w:t>
      </w:r>
      <w:r w:rsidR="001F279B">
        <w:t xml:space="preserve">det inte från landskapsregeringens sida har funnits några planer på att sänka skattesatserna för samfund och samfällda förmåner, som skulle ha medfört att de skattskyldiga skulle kunna förvänta sig en sänkning av de totala skattesatserna. Mot denna bakgrund vill landskapsregeringen </w:t>
      </w:r>
      <w:r w:rsidR="00C0099E">
        <w:t xml:space="preserve">även i detta fall </w:t>
      </w:r>
      <w:r w:rsidR="001F279B">
        <w:t>hävda att en höjning av kommunalskattesatserna för samfund och samfällda förmåner</w:t>
      </w:r>
      <w:r w:rsidR="00C0099E">
        <w:t>,</w:t>
      </w:r>
      <w:r w:rsidR="001F279B">
        <w:t xml:space="preserve"> så att de totala skattesatserna kvarstår på 20 respektive 26,5 procent under hela skatteåret 2021</w:t>
      </w:r>
      <w:r w:rsidR="00C0099E">
        <w:t>,</w:t>
      </w:r>
      <w:r w:rsidR="001F279B">
        <w:t xml:space="preserve"> uppfyller kraven på förutsebarhet samt att den inte kan betraktas som oskälig.</w:t>
      </w:r>
      <w:r w:rsidR="00C0099E">
        <w:t xml:space="preserve"> De föreslagna ändringarna bör dock träda i kraft så snart som möjligt och landskapsregeringen föreslår att datum för ikraftträdande lämnas öppet med hänvisning till det.</w:t>
      </w:r>
    </w:p>
    <w:p w14:paraId="27B43137" w14:textId="77777777" w:rsidR="00037A58" w:rsidRDefault="00037A58">
      <w:pPr>
        <w:pStyle w:val="ANormal"/>
      </w:pPr>
    </w:p>
    <w:p w14:paraId="3DA23BD1" w14:textId="77777777" w:rsidR="00AF3004" w:rsidRDefault="00AF3004">
      <w:pPr>
        <w:pStyle w:val="RubrikA"/>
      </w:pPr>
      <w:bookmarkStart w:id="17" w:name="_Toc65663766"/>
      <w:r>
        <w:t>Detaljmotivering</w:t>
      </w:r>
      <w:bookmarkEnd w:id="17"/>
    </w:p>
    <w:p w14:paraId="13DD887C" w14:textId="77777777" w:rsidR="00AF3004" w:rsidRDefault="00AF3004">
      <w:pPr>
        <w:pStyle w:val="Rubrikmellanrum"/>
      </w:pPr>
    </w:p>
    <w:p w14:paraId="34C9C26E" w14:textId="029D21C5" w:rsidR="00AF3004" w:rsidRDefault="00AF3004">
      <w:pPr>
        <w:pStyle w:val="RubrikB"/>
      </w:pPr>
      <w:bookmarkStart w:id="18" w:name="_Toc65663767"/>
      <w:r>
        <w:t xml:space="preserve">1. Ändring av </w:t>
      </w:r>
      <w:r w:rsidR="0026746A">
        <w:t>29 och 29f</w:t>
      </w:r>
      <w:r w:rsidR="00740664">
        <w:t> §</w:t>
      </w:r>
      <w:r w:rsidR="0026746A">
        <w:t>§ kommunalskattelagen för landskapet Åland</w:t>
      </w:r>
      <w:bookmarkEnd w:id="18"/>
    </w:p>
    <w:p w14:paraId="3B34D771" w14:textId="77777777" w:rsidR="00AF3004" w:rsidRDefault="00AF3004">
      <w:pPr>
        <w:pStyle w:val="Rubrikmellanrum"/>
      </w:pPr>
    </w:p>
    <w:p w14:paraId="1A4BD784" w14:textId="6589BD97" w:rsidR="00093907" w:rsidRDefault="008A6005">
      <w:pPr>
        <w:pStyle w:val="ANormal"/>
      </w:pPr>
      <w:r>
        <w:t>29</w:t>
      </w:r>
      <w:r w:rsidR="00740664">
        <w:t> §</w:t>
      </w:r>
      <w:r w:rsidR="00AF3004">
        <w:t xml:space="preserve"> </w:t>
      </w:r>
      <w:r>
        <w:rPr>
          <w:i/>
          <w:iCs/>
        </w:rPr>
        <w:t>Kommunalskattesatsen för samfund och samfällda förmåner</w:t>
      </w:r>
      <w:r w:rsidR="00AF3004">
        <w:rPr>
          <w:i/>
          <w:iCs/>
        </w:rPr>
        <w:t>.</w:t>
      </w:r>
      <w:r w:rsidR="00AF3004">
        <w:t xml:space="preserve"> </w:t>
      </w:r>
      <w:r w:rsidR="00093907">
        <w:t>I paragrafen anges de skattesatser för samfund och samfällda förmåner som gäller permanent. Till följd av att kommunerna kompenseras för olika skattelättnader anges i 29f</w:t>
      </w:r>
      <w:r w:rsidR="00740664">
        <w:t> §</w:t>
      </w:r>
      <w:r w:rsidR="00093907">
        <w:t xml:space="preserve"> undantagsvis andra skattesatser som tillämpas </w:t>
      </w:r>
      <w:r w:rsidR="001E4CC1">
        <w:t>för</w:t>
      </w:r>
      <w:r w:rsidR="00093907">
        <w:t xml:space="preserve"> skatteåren 2020–2021 (se nedan).</w:t>
      </w:r>
    </w:p>
    <w:p w14:paraId="7539EFF3" w14:textId="3D868466" w:rsidR="00AF3004" w:rsidRDefault="00093907">
      <w:pPr>
        <w:pStyle w:val="ANormal"/>
      </w:pPr>
      <w:r>
        <w:tab/>
        <w:t>Kommunals</w:t>
      </w:r>
      <w:r w:rsidR="005615A8">
        <w:t>kattesatsen</w:t>
      </w:r>
      <w:r>
        <w:t xml:space="preserve"> för samfund </w:t>
      </w:r>
      <w:r w:rsidR="005615A8">
        <w:t xml:space="preserve">föreslås bli </w:t>
      </w:r>
      <w:r>
        <w:t xml:space="preserve">höjd med 0,4 procentenheter, från 6,26 till 6,66 procent. Ändringen motiveras av att den kommunala andelen av samfundsskatten i riket permanent höjs </w:t>
      </w:r>
      <w:r w:rsidR="005615A8">
        <w:t>med 2 procentenheter.</w:t>
      </w:r>
      <w:r>
        <w:t xml:space="preserve"> Motsvarande höjning föreslås när det gäller kommunalskattesatsen för samfällda förmåner. De föreslagna skattesatserna kommer att tillämpas från och med beskattningen för skatteåret 2028.</w:t>
      </w:r>
    </w:p>
    <w:p w14:paraId="4AB73EAE" w14:textId="366F6185" w:rsidR="00AF3004" w:rsidRDefault="00AF3004">
      <w:pPr>
        <w:pStyle w:val="ANormal"/>
      </w:pPr>
    </w:p>
    <w:p w14:paraId="2DA72FC6" w14:textId="297BC254" w:rsidR="008A6005" w:rsidRDefault="008A6005" w:rsidP="008A6005">
      <w:pPr>
        <w:pStyle w:val="ANormal"/>
      </w:pPr>
      <w:r>
        <w:t>29f</w:t>
      </w:r>
      <w:r w:rsidR="00740664">
        <w:t> §</w:t>
      </w:r>
      <w:r>
        <w:t xml:space="preserve"> </w:t>
      </w:r>
      <w:r>
        <w:rPr>
          <w:i/>
          <w:iCs/>
        </w:rPr>
        <w:t>Kommunalskattesatsen för skatteåren 2020–2027.</w:t>
      </w:r>
      <w:r>
        <w:t xml:space="preserve"> </w:t>
      </w:r>
      <w:r w:rsidR="001E4CC1">
        <w:t>Paragrafen innehåller</w:t>
      </w:r>
      <w:r w:rsidR="00544615">
        <w:t xml:space="preserve"> </w:t>
      </w:r>
      <w:r w:rsidR="001E4CC1">
        <w:t xml:space="preserve">temporära bestämmelser om </w:t>
      </w:r>
      <w:r w:rsidR="00544615">
        <w:t>kommunal</w:t>
      </w:r>
      <w:r w:rsidR="001E4CC1">
        <w:t>skattesatserna för samfund och samfällda förmåner för skatteåren 2020–2027.</w:t>
      </w:r>
      <w:r w:rsidR="001617C2">
        <w:t xml:space="preserve"> Bestämmelserna tillkom i </w:t>
      </w:r>
      <w:r w:rsidR="001617C2">
        <w:lastRenderedPageBreak/>
        <w:t>samband med landskapslagen (</w:t>
      </w:r>
      <w:r w:rsidR="005E2CD2">
        <w:t>2020</w:t>
      </w:r>
      <w:r w:rsidR="001617C2">
        <w:t>:</w:t>
      </w:r>
      <w:r w:rsidR="005E2CD2">
        <w:t>76</w:t>
      </w:r>
      <w:r w:rsidR="001617C2">
        <w:t xml:space="preserve">) om skattelättnader vid kommunalbeskattningen för skatteåren 2020–2023. De aktuella skattelättnaderna bedömdes </w:t>
      </w:r>
      <w:r w:rsidR="00011109">
        <w:t xml:space="preserve">kunna </w:t>
      </w:r>
      <w:r w:rsidR="001617C2">
        <w:t xml:space="preserve">påverka kommunernas intäkter från samfundsbeskattningen under åren 2020–2027. För att </w:t>
      </w:r>
      <w:r w:rsidR="00011109">
        <w:t>undvika denna påverkan justerades fördelningen av samfundsskatten mellan staten och kommunerna, vilket ledde till att kommunalskattesatserna justerades på motsvarande sätt. På det sättet förblir den totala skattesatsen för samfund på Åland oförändrad även under dessa år.</w:t>
      </w:r>
    </w:p>
    <w:p w14:paraId="43517F2A" w14:textId="360F7EDA" w:rsidR="00275BC2" w:rsidRDefault="00275BC2" w:rsidP="008A6005">
      <w:pPr>
        <w:pStyle w:val="ANormal"/>
      </w:pPr>
      <w:r>
        <w:tab/>
        <w:t>Enligt förslaget ändras skattesatserna i 2–8</w:t>
      </w:r>
      <w:r w:rsidR="00740664">
        <w:t> punkt</w:t>
      </w:r>
      <w:r>
        <w:t>erna så att de totala skattesatserna fortsättningsvis ska vara 20 procent för samfund och 26,5 procent för samfällda förmåner.</w:t>
      </w:r>
    </w:p>
    <w:p w14:paraId="69FCEAA1" w14:textId="26C20EFC" w:rsidR="0026746A" w:rsidRDefault="0026746A">
      <w:pPr>
        <w:pStyle w:val="ANormal"/>
      </w:pPr>
    </w:p>
    <w:p w14:paraId="58A3219E" w14:textId="00C93E21" w:rsidR="0026746A" w:rsidRDefault="0026746A" w:rsidP="0026746A">
      <w:pPr>
        <w:pStyle w:val="RubrikB"/>
      </w:pPr>
      <w:bookmarkStart w:id="19" w:name="_Toc65663768"/>
      <w:r>
        <w:t>2. LL om tilläggsavdrag för forsknings- och utvecklingsverksamhet under skatteåren 2021–2025</w:t>
      </w:r>
      <w:bookmarkEnd w:id="19"/>
    </w:p>
    <w:p w14:paraId="054D9852" w14:textId="77777777" w:rsidR="0026746A" w:rsidRDefault="0026746A" w:rsidP="0026746A">
      <w:pPr>
        <w:pStyle w:val="Rubrikmellanrum"/>
      </w:pPr>
    </w:p>
    <w:p w14:paraId="181310EA" w14:textId="63C2EBC1" w:rsidR="0077184C" w:rsidRDefault="00D85BCD" w:rsidP="0077184C">
      <w:pPr>
        <w:pStyle w:val="ANormal"/>
      </w:pPr>
      <w:r>
        <w:t>1</w:t>
      </w:r>
      <w:r w:rsidR="00740664">
        <w:t> §</w:t>
      </w:r>
      <w:r w:rsidR="0026746A">
        <w:rPr>
          <w:i/>
          <w:iCs/>
        </w:rPr>
        <w:t>.</w:t>
      </w:r>
      <w:r w:rsidR="0026746A">
        <w:t xml:space="preserve"> </w:t>
      </w:r>
      <w:r w:rsidR="0077184C">
        <w:t xml:space="preserve">I paragrafen anges att den som bedriver näringsverksamhet eller jordbruk ska ha rätt vid kommunalbeskattningen göra ett tilläggsavdrag i enlighet med lagen om ett tilläggsavdrag för forsknings- och utvecklingsverksamhet under åren 2021–2025 (FFS </w:t>
      </w:r>
      <w:r w:rsidR="00235D9A">
        <w:t>1078/</w:t>
      </w:r>
      <w:r w:rsidR="0077184C">
        <w:t>2020</w:t>
      </w:r>
      <w:r w:rsidR="00DD0318">
        <w:t>, nedan kallad rikslagen</w:t>
      </w:r>
      <w:r w:rsidR="0077184C">
        <w:t>) på motsvarande sätt som vid statsbeskattningen.</w:t>
      </w:r>
    </w:p>
    <w:p w14:paraId="5B6551F2" w14:textId="2667B47D" w:rsidR="00573AC8" w:rsidRDefault="00212A12" w:rsidP="00573AC8">
      <w:pPr>
        <w:pStyle w:val="ANormal"/>
      </w:pPr>
      <w:r>
        <w:tab/>
        <w:t>Bestämmelserna i lagen innebär a</w:t>
      </w:r>
      <w:r w:rsidR="00573AC8">
        <w:t>tt ett tilläggsavdrag på 50 procent få</w:t>
      </w:r>
      <w:r>
        <w:t>r</w:t>
      </w:r>
      <w:r w:rsidR="00573AC8">
        <w:t xml:space="preserve"> göras från de utgifter som hänför sig till forsknings- och utvecklingsverksamhet inom näringsverksamhet och jordbruk. Skattskyldiga som bedriver näringsverksamhet eller jordbruk får dra</w:t>
      </w:r>
      <w:r>
        <w:t xml:space="preserve"> av</w:t>
      </w:r>
      <w:r w:rsidR="00573AC8">
        <w:t xml:space="preserve"> utgifter som enligt lagen godkänns multiplicerade med 1,5 i stället för det normala enkla avdraget. </w:t>
      </w:r>
      <w:r>
        <w:t>A</w:t>
      </w:r>
      <w:r w:rsidR="00573AC8">
        <w:t>lla skattskyldiga som bedriver näringsverksamhet eller jordbruk och som har avdragbara utgifter som uppfyller kriterierna ha</w:t>
      </w:r>
      <w:r>
        <w:t>r</w:t>
      </w:r>
      <w:r w:rsidR="00573AC8">
        <w:t xml:space="preserve"> rätt till tilläggsavdraget. Den nedre gränsen för avdragbara kostnader per skatteår </w:t>
      </w:r>
      <w:r>
        <w:t>är</w:t>
      </w:r>
      <w:r w:rsidR="00573AC8">
        <w:t xml:space="preserve"> 10</w:t>
      </w:r>
      <w:r w:rsidR="00740664">
        <w:t> </w:t>
      </w:r>
      <w:r w:rsidR="00573AC8">
        <w:t>000 euro och den övre gränsen 1</w:t>
      </w:r>
      <w:r w:rsidR="00740664">
        <w:t> </w:t>
      </w:r>
      <w:r w:rsidR="00573AC8">
        <w:t>000</w:t>
      </w:r>
      <w:r w:rsidR="00740664">
        <w:t> </w:t>
      </w:r>
      <w:r w:rsidR="00573AC8">
        <w:t>000 euro, varvid tilläggsavdragets belopp är 5</w:t>
      </w:r>
      <w:r>
        <w:t> </w:t>
      </w:r>
      <w:r w:rsidR="00573AC8">
        <w:t>000</w:t>
      </w:r>
      <w:r>
        <w:t>–</w:t>
      </w:r>
      <w:r w:rsidR="00573AC8">
        <w:t>500</w:t>
      </w:r>
      <w:r w:rsidR="00740664">
        <w:t> </w:t>
      </w:r>
      <w:r w:rsidR="00573AC8">
        <w:t xml:space="preserve">000 euro per skatteår. Avdraget får endast göras från den del av utgifterna </w:t>
      </w:r>
      <w:r>
        <w:t>som den skattskyldige inte har fått någon</w:t>
      </w:r>
      <w:r w:rsidR="00573AC8">
        <w:t xml:space="preserve"> offentlig finansiering </w:t>
      </w:r>
      <w:r>
        <w:t>för</w:t>
      </w:r>
      <w:r w:rsidR="00573AC8">
        <w:t>.</w:t>
      </w:r>
    </w:p>
    <w:p w14:paraId="7B46D185" w14:textId="1B990E5D" w:rsidR="00573AC8" w:rsidRDefault="006A1A83" w:rsidP="00573AC8">
      <w:pPr>
        <w:pStyle w:val="ANormal"/>
      </w:pPr>
      <w:r>
        <w:tab/>
      </w:r>
      <w:r w:rsidR="00573AC8">
        <w:t>Grunden för de utgift</w:t>
      </w:r>
      <w:r>
        <w:t>er</w:t>
      </w:r>
      <w:r w:rsidR="00573AC8">
        <w:t xml:space="preserve"> som berättigar till tilläggsavdrag </w:t>
      </w:r>
      <w:r>
        <w:t>är</w:t>
      </w:r>
      <w:r w:rsidR="00573AC8">
        <w:t xml:space="preserve"> det belopp som en forskningsorganisation som avses i lagen har fakturerat en skattskyldig i samband med ett projekt i forsknings- och utvecklingsverksamhet, </w:t>
      </w:r>
      <w:r>
        <w:t>en</w:t>
      </w:r>
      <w:r w:rsidR="00573AC8">
        <w:t xml:space="preserve"> så kallad faktura för underentreprenad. Fakturan för underentreprenad ska uttryckligen hänföra sig till forsknings- och utvecklingsverksamhet medan till exempel utbildning genom underentreprenad, donationer till läroanstalter eller övriga motsvarande utgifter inte berättiga</w:t>
      </w:r>
      <w:r>
        <w:t>r</w:t>
      </w:r>
      <w:r w:rsidR="00573AC8">
        <w:t xml:space="preserve"> till tilläggsavdraget. Inte heller andra utgifter i anslutning till forsknings- och utvecklingsprojektet i fråga, såsom lönerna till den skattskyldiges egen personal, omfattas av tilläggsavdraget utan dessa ska fortfarande avdras enligt bestämmelserna i näringsskattelagen eller inkomstskattelagen för gårdsbruk.</w:t>
      </w:r>
    </w:p>
    <w:p w14:paraId="126201CA" w14:textId="7383E338" w:rsidR="006A1A83" w:rsidRDefault="006A1A83" w:rsidP="00573AC8">
      <w:pPr>
        <w:pStyle w:val="ANormal"/>
      </w:pPr>
      <w:r>
        <w:tab/>
      </w:r>
      <w:r w:rsidR="00573AC8">
        <w:t>Som godkänd forskningsorganisation räknas organisationer som är verksamma inom EES-området och vars främsta syfte är att bedriva oberoende forskning eller att sprida resultaten av sådan verksamhet. Definitionen grundar sig delvis på definitionen av organisation för forskning och kunskapsspridning enligt EU:s allmänna gruppundantagsförordning</w:t>
      </w:r>
      <w:r w:rsidR="00DD0318">
        <w:t xml:space="preserve"> (kommissionens förordning (EU) nr 651/2014 genom vilken vissa kategorier av stöd förklaras förenliga med den inre marknaden enligt artiklarna 107 och 108 i fördraget)</w:t>
      </w:r>
      <w:r w:rsidR="00573AC8">
        <w:t>.</w:t>
      </w:r>
    </w:p>
    <w:p w14:paraId="068C4478" w14:textId="77777777" w:rsidR="0026746A" w:rsidRDefault="0026746A" w:rsidP="0026746A">
      <w:pPr>
        <w:pStyle w:val="ANormal"/>
      </w:pPr>
    </w:p>
    <w:p w14:paraId="14A5495C" w14:textId="3D53743E" w:rsidR="002C48AE" w:rsidRDefault="00D85BCD" w:rsidP="00D85BCD">
      <w:pPr>
        <w:pStyle w:val="ANormal"/>
      </w:pPr>
      <w:r>
        <w:t>2</w:t>
      </w:r>
      <w:r w:rsidR="00740664">
        <w:t> §</w:t>
      </w:r>
      <w:r>
        <w:rPr>
          <w:i/>
          <w:iCs/>
        </w:rPr>
        <w:t>.</w:t>
      </w:r>
      <w:r>
        <w:t xml:space="preserve"> </w:t>
      </w:r>
      <w:r w:rsidR="00DD0318">
        <w:t xml:space="preserve">I paragrafen anges att ändringar av rikslagen automatiskt ska träda i kraft på Åland samtidigt som de träder </w:t>
      </w:r>
      <w:proofErr w:type="gramStart"/>
      <w:r w:rsidR="00DD0318">
        <w:t>ikraft</w:t>
      </w:r>
      <w:proofErr w:type="gramEnd"/>
      <w:r w:rsidR="00DD0318">
        <w:t xml:space="preserve"> i riket. </w:t>
      </w:r>
      <w:r w:rsidR="00562324">
        <w:t xml:space="preserve">Dessutom anges </w:t>
      </w:r>
      <w:r w:rsidR="002C48AE">
        <w:t xml:space="preserve">att hänvisningar i rikslagen till andra författningar ska avse motsvarande bestämmelser i landskapslagstiftningen, förutsatt att de hör till lagtingets behörighet. </w:t>
      </w:r>
      <w:r w:rsidR="00361550">
        <w:t>I lagen finns hänvisningar till inkomstskattelagen (FFS 1535/1992), lagen om beskattning av inkomst av näringsverksamhet (FFS 360/1968) samt lagen om beskattningsförfarande (</w:t>
      </w:r>
      <w:r w:rsidR="008F47FD">
        <w:t xml:space="preserve">1558/1995). Dessa lagar tillämpas vid </w:t>
      </w:r>
      <w:r w:rsidR="008F47FD">
        <w:lastRenderedPageBreak/>
        <w:t>kommunalbeskattningen på Åland med stöd av kommunalskattelagen (2011:119) för landskapet Åland, landskapslagen (1993:42) om kommunalskatt för näringsverksamhet respektive landskapslagen (1997:38) om tillämpning i landskapet Åland av rikslagstiftningen om beskattningsförfarande.</w:t>
      </w:r>
    </w:p>
    <w:p w14:paraId="306F8EFB" w14:textId="77777777" w:rsidR="00D85BCD" w:rsidRDefault="00D85BCD" w:rsidP="00D85BCD">
      <w:pPr>
        <w:pStyle w:val="ANormal"/>
      </w:pPr>
    </w:p>
    <w:p w14:paraId="5694E96F" w14:textId="3DA3DEC3" w:rsidR="006A1A83" w:rsidRDefault="00D85BCD" w:rsidP="006A1A83">
      <w:pPr>
        <w:pStyle w:val="ANormal"/>
      </w:pPr>
      <w:r>
        <w:t>3</w:t>
      </w:r>
      <w:r w:rsidR="00740664">
        <w:t> §</w:t>
      </w:r>
      <w:r>
        <w:rPr>
          <w:i/>
          <w:iCs/>
        </w:rPr>
        <w:t>.</w:t>
      </w:r>
      <w:r>
        <w:t xml:space="preserve"> </w:t>
      </w:r>
      <w:r w:rsidR="00F84AAB">
        <w:t xml:space="preserve">Enligt förslaget ska lagen tillämpas under samma tidsperiod som rikslagen, vilket innebär att den ska tillämpas vid kommunalbeskattningen för skatteåren 2021–2025. </w:t>
      </w:r>
      <w:r w:rsidR="003C6489">
        <w:t>På samma sätt som enligt rikslagen ska rätten</w:t>
      </w:r>
      <w:r w:rsidR="00914246">
        <w:t xml:space="preserve"> att göra avdrag </w:t>
      </w:r>
      <w:r w:rsidR="003C6489">
        <w:t>inte</w:t>
      </w:r>
      <w:r w:rsidR="00914246">
        <w:t xml:space="preserve"> gälla </w:t>
      </w:r>
      <w:r w:rsidR="006A1A83">
        <w:t xml:space="preserve">fakturor för underentreprenad </w:t>
      </w:r>
      <w:r w:rsidR="00914246">
        <w:t>som hänför sig till</w:t>
      </w:r>
      <w:r w:rsidR="006A1A83">
        <w:t xml:space="preserve"> </w:t>
      </w:r>
      <w:r w:rsidR="00914246">
        <w:t xml:space="preserve">projekt för </w:t>
      </w:r>
      <w:r w:rsidR="006A1A83">
        <w:t xml:space="preserve">vilka avtal har ingåtts </w:t>
      </w:r>
      <w:r w:rsidR="003C6489">
        <w:t>före</w:t>
      </w:r>
      <w:r w:rsidR="00914246">
        <w:t xml:space="preserve"> 1 januari 2021</w:t>
      </w:r>
      <w:r w:rsidR="006A1A83">
        <w:t>.</w:t>
      </w:r>
    </w:p>
    <w:p w14:paraId="29CC2775" w14:textId="77777777" w:rsidR="006A1A83" w:rsidRDefault="006A1A83" w:rsidP="006A1A83">
      <w:pPr>
        <w:pStyle w:val="ANormal"/>
      </w:pPr>
    </w:p>
    <w:p w14:paraId="2299FFAF" w14:textId="01B182CE" w:rsidR="0026746A" w:rsidRDefault="0026746A" w:rsidP="0026746A">
      <w:pPr>
        <w:pStyle w:val="RubrikB"/>
      </w:pPr>
      <w:bookmarkStart w:id="20" w:name="_Toc65663769"/>
      <w:r>
        <w:t xml:space="preserve">3. LL om koncernbidrag vid </w:t>
      </w:r>
      <w:r w:rsidR="005354B7">
        <w:t>kommunal</w:t>
      </w:r>
      <w:r>
        <w:t>beskattningen</w:t>
      </w:r>
      <w:bookmarkEnd w:id="20"/>
    </w:p>
    <w:p w14:paraId="08F28E55" w14:textId="77777777" w:rsidR="0026746A" w:rsidRDefault="0026746A" w:rsidP="0026746A">
      <w:pPr>
        <w:pStyle w:val="Rubrikmellanrum"/>
      </w:pPr>
    </w:p>
    <w:p w14:paraId="6F010237" w14:textId="6A9C8965" w:rsidR="00C025E7" w:rsidRDefault="00D85BCD" w:rsidP="00C025E7">
      <w:pPr>
        <w:pStyle w:val="ANormal"/>
      </w:pPr>
      <w:r>
        <w:t>1</w:t>
      </w:r>
      <w:r w:rsidR="00740664">
        <w:t> §</w:t>
      </w:r>
      <w:r>
        <w:rPr>
          <w:i/>
          <w:iCs/>
        </w:rPr>
        <w:t>.</w:t>
      </w:r>
      <w:r>
        <w:t xml:space="preserve"> </w:t>
      </w:r>
      <w:r w:rsidR="00C025E7">
        <w:t>Enligt förslaget ska lag</w:t>
      </w:r>
      <w:r w:rsidR="002F12DC">
        <w:t>en</w:t>
      </w:r>
      <w:r w:rsidR="00C025E7">
        <w:t xml:space="preserve"> om koncernbidrag vid beskattningen (FFS 825/1986</w:t>
      </w:r>
      <w:r w:rsidR="002F12DC">
        <w:t>, nedan kallad rikslagen</w:t>
      </w:r>
      <w:r w:rsidR="00C025E7">
        <w:t xml:space="preserve">) tillämpas vid kommunalbeskattningen på Åland. Lagen tillämpas redan vid statsbeskattningen på Åland, och har till övervägande del samma lydelse som den nu gällande landskapslagen om koncernbidrag vid kommunalbeskattningen. </w:t>
      </w:r>
      <w:r w:rsidR="009B5846">
        <w:t>På två punkter skiljer sig dock lydelsen, och i de fallen innebär förslaget ändring av lagstiftningen.</w:t>
      </w:r>
    </w:p>
    <w:p w14:paraId="6E214E7A" w14:textId="036D2F35" w:rsidR="0009767F" w:rsidRDefault="00BB4E0D" w:rsidP="00C025E7">
      <w:pPr>
        <w:pStyle w:val="ANormal"/>
      </w:pPr>
      <w:r>
        <w:tab/>
        <w:t xml:space="preserve">Den </w:t>
      </w:r>
      <w:r w:rsidR="002F12DC">
        <w:t>ena</w:t>
      </w:r>
      <w:r>
        <w:t xml:space="preserve"> ändringen innebär att definitionen av de samfund som kan omfattas av lagstiftningen ändras till följd av att beskattningen av dessa samfund har ändrats. Enligt den gällande lydelsen omfatta</w:t>
      </w:r>
      <w:r w:rsidR="002F12DC">
        <w:t>r landskapslagen</w:t>
      </w:r>
      <w:r>
        <w:t xml:space="preserve"> aktiebolag och andelslag som bedriver rörelse</w:t>
      </w:r>
      <w:r w:rsidR="002F12DC">
        <w:t>.</w:t>
      </w:r>
      <w:r>
        <w:t xml:space="preserve"> </w:t>
      </w:r>
      <w:r w:rsidR="002F12DC">
        <w:t>G</w:t>
      </w:r>
      <w:r>
        <w:t xml:space="preserve">enom ändringen kommer den i stället att omfatta aktiebolag och andelslag </w:t>
      </w:r>
      <w:r w:rsidR="002F12DC">
        <w:t>förutsatt att</w:t>
      </w:r>
      <w:r>
        <w:t xml:space="preserve"> lagen om beskattning av inkomst av näringsverksamhet tillämpas vid beskattningen av både givaren och mottagaren.</w:t>
      </w:r>
      <w:r w:rsidR="00586F5B">
        <w:t xml:space="preserve"> Rikslag</w:t>
      </w:r>
      <w:r w:rsidR="00B70F01">
        <w:t>en</w:t>
      </w:r>
      <w:r w:rsidR="00586F5B">
        <w:t xml:space="preserve"> innehöll tidigare samma formulering, den ändrades dock genom FFS 310/2019 som tillämpas från och med skatteåret 2020. Ändringen sammanhänger med en reform av samfundsbeskattningen. Reformen bestod i korthet i att </w:t>
      </w:r>
      <w:r w:rsidR="0009767F">
        <w:t>uppdelningen i förvärvskällor inte längre görs när det gäller samfund, i stället ska lagen om beskattning av inkomst av näringsverksamhet tillämpas i fråga om all verksamhet som ett samfund bedriver (se vidare RP 257/2018). Reformen i sig har trätt i kraft även på Åland till följd av blankettlagstiftningen på området.</w:t>
      </w:r>
      <w:r w:rsidR="00256D1A">
        <w:t xml:space="preserve"> När det gäller lagstiftningen om koncernbidrag vid kommunalbeskattningen har regleringen </w:t>
      </w:r>
      <w:r w:rsidR="00B70F01">
        <w:t xml:space="preserve">således </w:t>
      </w:r>
      <w:r w:rsidR="00256D1A">
        <w:t>varit olika i riket och på Åland sedan skatteåret 2020. Genom den ändring som nu föreslås utvidgas kretsen av dem som kan ge och ta emot koncernbidrag.</w:t>
      </w:r>
    </w:p>
    <w:p w14:paraId="7FAFE8B6" w14:textId="1AADCD86" w:rsidR="009E203C" w:rsidRDefault="004430BF" w:rsidP="00C025E7">
      <w:pPr>
        <w:pStyle w:val="ANormal"/>
      </w:pPr>
      <w:r>
        <w:tab/>
        <w:t>Den andra ändringen innebär ett förtydligande av lag</w:t>
      </w:r>
      <w:r w:rsidR="00B70F01">
        <w:t>stiftning</w:t>
      </w:r>
      <w:r>
        <w:t>en, så att det klart framgår att möjligheten att ge och ta emot koncernbidrag också ska gälla allmänt skattskyldiga utländska samfund som jämställs med aktiebolag eller andelslag. Med anledning av det och för att förhindra missbruk ändras lagen också så att koncernförhållandet i en sådan situation anses ha existerat endast under den tid det utländska samfundet har varit allmänt skattskyldigt i Finland. Ett utländskt samfund</w:t>
      </w:r>
      <w:r w:rsidR="00B70F01">
        <w:t>,</w:t>
      </w:r>
      <w:r>
        <w:t xml:space="preserve"> som är skattskyldigt på basis av var den verkliga ledningen utövas</w:t>
      </w:r>
      <w:r w:rsidR="00B70F01">
        <w:t>,</w:t>
      </w:r>
      <w:r>
        <w:t xml:space="preserve"> ha</w:t>
      </w:r>
      <w:r w:rsidR="00B70F01">
        <w:t>r</w:t>
      </w:r>
      <w:r>
        <w:t xml:space="preserve"> kunnat ha ett fast driftställe i Finland innan den allmänna skattskyldigheten uppkom. För att eventuellt missbruk ska förhindras </w:t>
      </w:r>
      <w:r w:rsidR="0060463D">
        <w:t>kan ett fast driftställe inte beaktas vid bedömningen av ett koncernförhållandes varaktighet. Om den allmänna skattskyldigheten under pågående skatteår</w:t>
      </w:r>
      <w:r w:rsidR="0060463D" w:rsidRPr="0060463D">
        <w:t xml:space="preserve"> </w:t>
      </w:r>
      <w:r w:rsidR="0060463D">
        <w:t>upphör för ett utländskt samfund i och med att den verkliga ledningen inte längre utövas i Finland, kan det inte anses att koncernförhållandet har varit i kraft hela året.</w:t>
      </w:r>
    </w:p>
    <w:p w14:paraId="37006066" w14:textId="77777777" w:rsidR="00D85BCD" w:rsidRDefault="00D85BCD" w:rsidP="00D85BCD">
      <w:pPr>
        <w:pStyle w:val="ANormal"/>
      </w:pPr>
    </w:p>
    <w:p w14:paraId="247EF1BD" w14:textId="52A5B216" w:rsidR="00D85BCD" w:rsidRDefault="00D85BCD" w:rsidP="00D85BCD">
      <w:pPr>
        <w:pStyle w:val="ANormal"/>
      </w:pPr>
      <w:r>
        <w:t>2</w:t>
      </w:r>
      <w:r w:rsidR="00740664">
        <w:t> §</w:t>
      </w:r>
      <w:r>
        <w:rPr>
          <w:i/>
          <w:iCs/>
        </w:rPr>
        <w:t>.</w:t>
      </w:r>
      <w:r>
        <w:t xml:space="preserve"> </w:t>
      </w:r>
      <w:r w:rsidR="005706E8">
        <w:t>Ändringar av lag</w:t>
      </w:r>
      <w:r w:rsidR="00B70F01">
        <w:t>en</w:t>
      </w:r>
      <w:r w:rsidR="005706E8">
        <w:t xml:space="preserve"> om koncernbidrag vid beskattningen ska automatiskt träda i kraft på Åland samtidigt som de träder i</w:t>
      </w:r>
      <w:r w:rsidR="009633A3">
        <w:t xml:space="preserve"> </w:t>
      </w:r>
      <w:r w:rsidR="005706E8">
        <w:t xml:space="preserve">kraft i riket. Dessutom anges att hänvisningar i rikslagen till andra författningar ska avse motsvarande bestämmelser i landskapslagstiftningen, förutsatt att de hör till </w:t>
      </w:r>
      <w:r w:rsidR="00B70F01">
        <w:t>landskapets</w:t>
      </w:r>
      <w:r w:rsidR="005706E8">
        <w:t xml:space="preserve"> </w:t>
      </w:r>
      <w:r w:rsidR="00B70F01">
        <w:t>lagstiftnings</w:t>
      </w:r>
      <w:r w:rsidR="005706E8">
        <w:t xml:space="preserve">behörighet. Det betyder att hänvisningarna </w:t>
      </w:r>
      <w:r w:rsidR="00ED3071">
        <w:t xml:space="preserve">till lagen om </w:t>
      </w:r>
      <w:r w:rsidR="00ED3071">
        <w:lastRenderedPageBreak/>
        <w:t>beskattning av inkomst av näringsverksamhet i rikslagens 2</w:t>
      </w:r>
      <w:r w:rsidR="00740664">
        <w:t> §</w:t>
      </w:r>
      <w:r w:rsidR="00ED3071">
        <w:t xml:space="preserve"> och 7</w:t>
      </w:r>
      <w:r w:rsidR="00740664">
        <w:t> §</w:t>
      </w:r>
      <w:r w:rsidR="00ED3071">
        <w:t xml:space="preserve"> 3 punkten avser landskapslagen </w:t>
      </w:r>
      <w:r w:rsidR="001115C1">
        <w:t xml:space="preserve">(1993:42) </w:t>
      </w:r>
      <w:r w:rsidR="00ED3071">
        <w:t xml:space="preserve">om kommunalskatt för näringsverksamhet. Hänvisningen till lagen om aktiebolag (FFS 734/1978) avser den nämnda lagen eftersom aktiebolagslagstiftningen hör till </w:t>
      </w:r>
      <w:r w:rsidR="00B70F01">
        <w:t>rikets</w:t>
      </w:r>
      <w:r w:rsidR="00ED3071">
        <w:t xml:space="preserve"> </w:t>
      </w:r>
      <w:r w:rsidR="00B70F01">
        <w:t>lagstiftnings</w:t>
      </w:r>
      <w:r w:rsidR="00ED3071">
        <w:t>behörighet.</w:t>
      </w:r>
    </w:p>
    <w:p w14:paraId="350C9A7B" w14:textId="77777777" w:rsidR="00D85BCD" w:rsidRDefault="00D85BCD" w:rsidP="00D85BCD">
      <w:pPr>
        <w:pStyle w:val="ANormal"/>
      </w:pPr>
    </w:p>
    <w:p w14:paraId="3F8F2AB7" w14:textId="7BC1ACBF" w:rsidR="00D85BCD" w:rsidRDefault="00D85BCD" w:rsidP="00D85BCD">
      <w:pPr>
        <w:pStyle w:val="ANormal"/>
      </w:pPr>
      <w:r>
        <w:t>3</w:t>
      </w:r>
      <w:r w:rsidR="00740664">
        <w:t> §</w:t>
      </w:r>
      <w:r>
        <w:rPr>
          <w:i/>
          <w:iCs/>
        </w:rPr>
        <w:t>.</w:t>
      </w:r>
      <w:r>
        <w:t xml:space="preserve"> </w:t>
      </w:r>
      <w:r w:rsidR="00916370">
        <w:t>Enligt förslaget ska lagen tillämpas vid kommunalbeskattningen från och med skatteåret 2021. För att undvika oklarheter föreslås dock att 2</w:t>
      </w:r>
      <w:r w:rsidR="00740664">
        <w:t> §</w:t>
      </w:r>
      <w:r w:rsidR="00916370">
        <w:t xml:space="preserve"> lagen om koncernbidrag vid beskattningen även ska tillämpas retroaktivt vid kommunalbeskattningen skatteåret 2020. På det sättet kommer samma regler att </w:t>
      </w:r>
      <w:r w:rsidR="00B70F01">
        <w:t>vara tillämpliga</w:t>
      </w:r>
      <w:r w:rsidR="00916370">
        <w:t xml:space="preserve"> både vid stats- och kommunalbeskattningen även under skatteåren 2020 och 2021.</w:t>
      </w:r>
    </w:p>
    <w:p w14:paraId="4E9F5256" w14:textId="77777777" w:rsidR="001F7A05" w:rsidRDefault="001F7A05" w:rsidP="001F7A05">
      <w:pPr>
        <w:pStyle w:val="ANormal"/>
      </w:pPr>
    </w:p>
    <w:p w14:paraId="72EC675C" w14:textId="77777777" w:rsidR="00AF3004" w:rsidRDefault="00AF3004">
      <w:pPr>
        <w:pStyle w:val="RubrikA"/>
      </w:pPr>
      <w:r>
        <w:br w:type="page"/>
      </w:r>
      <w:bookmarkStart w:id="21" w:name="_Toc65663770"/>
      <w:r>
        <w:lastRenderedPageBreak/>
        <w:t>Lagtext</w:t>
      </w:r>
      <w:bookmarkEnd w:id="21"/>
    </w:p>
    <w:p w14:paraId="72461F91" w14:textId="77777777" w:rsidR="00AF3004" w:rsidRDefault="00AF3004">
      <w:pPr>
        <w:pStyle w:val="Rubrikmellanrum"/>
      </w:pPr>
    </w:p>
    <w:p w14:paraId="0735F44B" w14:textId="2A9D4D70" w:rsidR="00AF3004" w:rsidRDefault="00AF3004">
      <w:pPr>
        <w:pStyle w:val="ANormal"/>
      </w:pPr>
      <w:r>
        <w:t>Landskapsregeringen föreslår att följande lag</w:t>
      </w:r>
      <w:r w:rsidR="0026746A">
        <w:t>ar</w:t>
      </w:r>
      <w:r>
        <w:t xml:space="preserve"> antas.</w:t>
      </w:r>
    </w:p>
    <w:p w14:paraId="3BE9830A" w14:textId="77777777" w:rsidR="00AF3004" w:rsidRDefault="00AF3004">
      <w:pPr>
        <w:pStyle w:val="ANormal"/>
      </w:pPr>
    </w:p>
    <w:p w14:paraId="0854ED67" w14:textId="77777777" w:rsidR="00AF3004" w:rsidRDefault="00AF3004">
      <w:pPr>
        <w:pStyle w:val="ANormal"/>
        <w:rPr>
          <w:lang w:val="en-GB"/>
        </w:rPr>
      </w:pPr>
      <w:r>
        <w:rPr>
          <w:lang w:val="en-GB"/>
        </w:rPr>
        <w:t>1.</w:t>
      </w:r>
    </w:p>
    <w:p w14:paraId="3D2448EF" w14:textId="1E8428A9" w:rsidR="00AF3004" w:rsidRPr="009633A3" w:rsidRDefault="00AF3004">
      <w:pPr>
        <w:pStyle w:val="LagHuvRubr"/>
      </w:pPr>
      <w:bookmarkStart w:id="22" w:name="_Toc65663771"/>
      <w:r w:rsidRPr="009633A3">
        <w:t>L A N D S K A P S L A G</w:t>
      </w:r>
      <w:r w:rsidRPr="009633A3">
        <w:br/>
        <w:t>om</w:t>
      </w:r>
      <w:r w:rsidR="00786E06" w:rsidRPr="009633A3">
        <w:t xml:space="preserve"> ändring av 29 och 29f</w:t>
      </w:r>
      <w:r w:rsidR="00740664" w:rsidRPr="009633A3">
        <w:t> §</w:t>
      </w:r>
      <w:r w:rsidR="00786E06" w:rsidRPr="009633A3">
        <w:t>§ kommunalskattelagen för landskapet Åland</w:t>
      </w:r>
      <w:bookmarkEnd w:id="22"/>
    </w:p>
    <w:p w14:paraId="340EBB5D" w14:textId="77777777" w:rsidR="00AF3004" w:rsidRDefault="00AF3004">
      <w:pPr>
        <w:pStyle w:val="ANormal"/>
        <w:rPr>
          <w:lang w:val="en-GB"/>
        </w:rPr>
      </w:pPr>
    </w:p>
    <w:p w14:paraId="34369DA7" w14:textId="3E6FAE3C" w:rsidR="00AF3004" w:rsidRDefault="00AF3004">
      <w:pPr>
        <w:pStyle w:val="ANormal"/>
      </w:pPr>
      <w:r>
        <w:tab/>
        <w:t>I enlighet med lagtingets beslut</w:t>
      </w:r>
      <w:r w:rsidR="00B35A35">
        <w:t xml:space="preserve"> </w:t>
      </w:r>
      <w:r w:rsidR="00B35A35" w:rsidRPr="00B35A35">
        <w:rPr>
          <w:b/>
          <w:bCs/>
        </w:rPr>
        <w:t>ändras</w:t>
      </w:r>
      <w:r w:rsidR="00B35A35">
        <w:t xml:space="preserve"> 29</w:t>
      </w:r>
      <w:r w:rsidR="00740664">
        <w:t> §</w:t>
      </w:r>
      <w:r w:rsidR="00B35A35">
        <w:t xml:space="preserve"> och 29f</w:t>
      </w:r>
      <w:r w:rsidR="00740664">
        <w:t> §</w:t>
      </w:r>
      <w:r w:rsidR="00B35A35">
        <w:t xml:space="preserve"> 2–8</w:t>
      </w:r>
      <w:r w:rsidR="00740664">
        <w:t> punkt</w:t>
      </w:r>
      <w:r w:rsidR="00B35A35">
        <w:t>erna</w:t>
      </w:r>
      <w:r w:rsidR="00A95A42">
        <w:t xml:space="preserve"> kommunalskattelagen (2011:119) för landskapet Åland</w:t>
      </w:r>
      <w:r w:rsidR="00B35A35">
        <w:t>, av dessa lagrum 29</w:t>
      </w:r>
      <w:r w:rsidR="00740664">
        <w:t> §</w:t>
      </w:r>
      <w:r w:rsidR="00B35A35">
        <w:t xml:space="preserve"> sådan den lyder i landskapslagen </w:t>
      </w:r>
      <w:r w:rsidR="00A95A42">
        <w:t>2019/49 och 29f</w:t>
      </w:r>
      <w:r w:rsidR="00740664">
        <w:t> §</w:t>
      </w:r>
      <w:r w:rsidR="00A95A42">
        <w:t xml:space="preserve"> 2–8</w:t>
      </w:r>
      <w:r w:rsidR="00740664">
        <w:t> punkt</w:t>
      </w:r>
      <w:r w:rsidR="00A95A42">
        <w:t>erna sådana de lyder i landskapslagen 2020/93, som följer:</w:t>
      </w:r>
    </w:p>
    <w:p w14:paraId="17C02B33" w14:textId="77777777" w:rsidR="00DF4794" w:rsidRDefault="00DF4794" w:rsidP="00DF4794">
      <w:pPr>
        <w:pStyle w:val="ANormal"/>
      </w:pPr>
    </w:p>
    <w:p w14:paraId="4245EF5C" w14:textId="65A8E5EC" w:rsidR="00DF4794" w:rsidRDefault="00DF4794" w:rsidP="00DF4794">
      <w:pPr>
        <w:pStyle w:val="LagParagraf"/>
      </w:pPr>
      <w:r>
        <w:t>29</w:t>
      </w:r>
      <w:r w:rsidR="00740664">
        <w:t> §</w:t>
      </w:r>
    </w:p>
    <w:p w14:paraId="0FFC803B" w14:textId="62331A0C" w:rsidR="00DF4794" w:rsidRDefault="00DF4794" w:rsidP="00DF4794">
      <w:pPr>
        <w:pStyle w:val="LagPararubrik"/>
      </w:pPr>
      <w:r>
        <w:t xml:space="preserve">Kommunalskattesatsen för </w:t>
      </w:r>
      <w:r w:rsidR="00B35A35">
        <w:t>samfund och samfällda förmåner</w:t>
      </w:r>
    </w:p>
    <w:p w14:paraId="4134567A" w14:textId="191CA31B" w:rsidR="00DF4794" w:rsidRDefault="00DF4794">
      <w:pPr>
        <w:pStyle w:val="ANormal"/>
      </w:pPr>
      <w:r>
        <w:tab/>
      </w:r>
      <w:r w:rsidRPr="00DF4794">
        <w:t>Samfund ska på den beskattningsbara inkomsten betala 6,</w:t>
      </w:r>
      <w:r w:rsidR="0021647E">
        <w:t>6</w:t>
      </w:r>
      <w:r w:rsidRPr="00DF4794">
        <w:t>6 procent i kommunalskatt. Samfällda förmåner ska på den beskattningsbara inkomsten betala 8,</w:t>
      </w:r>
      <w:r w:rsidR="0021647E">
        <w:t>8</w:t>
      </w:r>
      <w:r w:rsidRPr="00DF4794">
        <w:t>245 procent i kommunalskatt.</w:t>
      </w:r>
    </w:p>
    <w:p w14:paraId="0A724683" w14:textId="77777777" w:rsidR="00DF4794" w:rsidRDefault="00DF4794" w:rsidP="00DF4794">
      <w:pPr>
        <w:pStyle w:val="ANormal"/>
      </w:pPr>
    </w:p>
    <w:p w14:paraId="5D07D186" w14:textId="020D5A9D" w:rsidR="00DF4794" w:rsidRDefault="00DF4794" w:rsidP="00DF4794">
      <w:pPr>
        <w:pStyle w:val="LagParagraf"/>
      </w:pPr>
      <w:r>
        <w:t>29f</w:t>
      </w:r>
      <w:r w:rsidR="00740664">
        <w:t> §</w:t>
      </w:r>
    </w:p>
    <w:p w14:paraId="0FFDFBE4" w14:textId="1DB5171F" w:rsidR="00DF4794" w:rsidRDefault="00DF4794" w:rsidP="00DF4794">
      <w:pPr>
        <w:pStyle w:val="LagPararubrik"/>
      </w:pPr>
      <w:r>
        <w:t>Kommunalskattesatsen för skatteåren 2020–2027</w:t>
      </w:r>
    </w:p>
    <w:p w14:paraId="617B0D55" w14:textId="39ADC844" w:rsidR="00B35A35" w:rsidRDefault="00B35A35" w:rsidP="00B35A35">
      <w:pPr>
        <w:pStyle w:val="ANormal"/>
      </w:pPr>
      <w:r>
        <w:tab/>
        <w:t>Med avvikelse från 29</w:t>
      </w:r>
      <w:r w:rsidR="00740664">
        <w:t> §</w:t>
      </w:r>
      <w:r>
        <w:t xml:space="preserve"> ska</w:t>
      </w:r>
    </w:p>
    <w:p w14:paraId="1D4F1F4C" w14:textId="77777777" w:rsidR="0099142A" w:rsidRDefault="0099142A" w:rsidP="0099142A">
      <w:pPr>
        <w:pStyle w:val="ANormal"/>
      </w:pPr>
      <w:r>
        <w:t>- - - - - - - - - - - - - - - - - - - - - - - - - - - - - - - - - - - - - - - - - - - - - - - - - - - -</w:t>
      </w:r>
    </w:p>
    <w:p w14:paraId="63A07919" w14:textId="5FC967CD" w:rsidR="00B35A35" w:rsidRDefault="00B35A35" w:rsidP="00B35A35">
      <w:pPr>
        <w:pStyle w:val="ANormal"/>
      </w:pPr>
      <w:r>
        <w:tab/>
        <w:t xml:space="preserve">2) samfund betala </w:t>
      </w:r>
      <w:r w:rsidR="00B062FC">
        <w:t>8</w:t>
      </w:r>
      <w:r>
        <w:t>,</w:t>
      </w:r>
      <w:r w:rsidR="00B062FC">
        <w:t>86</w:t>
      </w:r>
      <w:r>
        <w:t xml:space="preserve">8 procent och samfällda förmåner </w:t>
      </w:r>
      <w:r w:rsidR="00B062FC">
        <w:t>11</w:t>
      </w:r>
      <w:r>
        <w:t>,</w:t>
      </w:r>
      <w:r w:rsidR="00B062FC">
        <w:t>7501</w:t>
      </w:r>
      <w:r>
        <w:t xml:space="preserve"> procent i kommunalskatt på den beskattningsbara inkomsten vid beskattningen för skatteåret 2021,</w:t>
      </w:r>
    </w:p>
    <w:p w14:paraId="1E529BC9" w14:textId="35BAD5F4" w:rsidR="00B35A35" w:rsidRDefault="00B35A35" w:rsidP="00B35A35">
      <w:pPr>
        <w:pStyle w:val="ANormal"/>
      </w:pPr>
      <w:r>
        <w:tab/>
        <w:t>3) samfund betala 6,</w:t>
      </w:r>
      <w:r w:rsidR="00B062FC">
        <w:t>838</w:t>
      </w:r>
      <w:r>
        <w:t xml:space="preserve"> procent och samfällda förmåner </w:t>
      </w:r>
      <w:r w:rsidR="00B062FC">
        <w:t>9</w:t>
      </w:r>
      <w:r>
        <w:t>,</w:t>
      </w:r>
      <w:r w:rsidR="00B062FC">
        <w:t>06035</w:t>
      </w:r>
      <w:r>
        <w:t xml:space="preserve"> procent i kommunalskatt på den beskattningsbara inkomsten vid beskattningen för skatteåret 2022,</w:t>
      </w:r>
    </w:p>
    <w:p w14:paraId="622F307B" w14:textId="485AA1A1" w:rsidR="00B35A35" w:rsidRDefault="00B35A35" w:rsidP="00B35A35">
      <w:pPr>
        <w:pStyle w:val="ANormal"/>
      </w:pPr>
      <w:r>
        <w:tab/>
        <w:t>4) samfund betala 6,</w:t>
      </w:r>
      <w:r w:rsidR="00B062FC">
        <w:t>818</w:t>
      </w:r>
      <w:r>
        <w:t xml:space="preserve"> procent och samfällda förmåner </w:t>
      </w:r>
      <w:r w:rsidR="00B062FC">
        <w:t>9</w:t>
      </w:r>
      <w:r>
        <w:t>,</w:t>
      </w:r>
      <w:r w:rsidR="00B062FC">
        <w:t>03385</w:t>
      </w:r>
      <w:r>
        <w:t xml:space="preserve"> procent i kommunalskatt på den beskattningsbara inkomsten vid beskattningen för skatteåret 2023,</w:t>
      </w:r>
    </w:p>
    <w:p w14:paraId="4763BCF1" w14:textId="7A92B4BD" w:rsidR="00B35A35" w:rsidRDefault="00B35A35" w:rsidP="00B35A35">
      <w:pPr>
        <w:pStyle w:val="ANormal"/>
      </w:pPr>
      <w:r>
        <w:tab/>
        <w:t>5) samfund betala 6,</w:t>
      </w:r>
      <w:r w:rsidR="00B062FC">
        <w:t>514</w:t>
      </w:r>
      <w:r>
        <w:t xml:space="preserve"> procent och samfällda förmåner 8,</w:t>
      </w:r>
      <w:r w:rsidR="00B062FC">
        <w:t>63105</w:t>
      </w:r>
      <w:r>
        <w:t xml:space="preserve"> procent i kommunalskatt på den beskattningsbara inkomsten vid beskattningen för skatteåret 2024,</w:t>
      </w:r>
    </w:p>
    <w:p w14:paraId="585456B8" w14:textId="079698DA" w:rsidR="00B35A35" w:rsidRDefault="00B35A35" w:rsidP="00B35A35">
      <w:pPr>
        <w:pStyle w:val="ANormal"/>
      </w:pPr>
      <w:r>
        <w:tab/>
        <w:t>6) samfund betala 6,</w:t>
      </w:r>
      <w:r w:rsidR="00B062FC">
        <w:t>552</w:t>
      </w:r>
      <w:r>
        <w:t xml:space="preserve"> procent och samfällda förmåner 8,</w:t>
      </w:r>
      <w:r w:rsidR="00B062FC">
        <w:t>68</w:t>
      </w:r>
      <w:r>
        <w:t>14 procent i kommunalskatt på den beskattningsbara inkomsten vid beskattningen för skatteåret 2025,</w:t>
      </w:r>
    </w:p>
    <w:p w14:paraId="368FC3A3" w14:textId="40FCDA16" w:rsidR="00B35A35" w:rsidRDefault="00B35A35" w:rsidP="00B35A35">
      <w:pPr>
        <w:pStyle w:val="ANormal"/>
      </w:pPr>
      <w:r>
        <w:tab/>
        <w:t>7) samfund betala 6,</w:t>
      </w:r>
      <w:r w:rsidR="00B062FC">
        <w:t>5</w:t>
      </w:r>
      <w:r>
        <w:t>72 procent och samfällda förmåner 8,7</w:t>
      </w:r>
      <w:r w:rsidR="000143B5">
        <w:t>0</w:t>
      </w:r>
      <w:r>
        <w:t>79 procent i kommunalskatt på den beskattningsbara inkomsten vid beskattningen för skatteåret 2026,</w:t>
      </w:r>
    </w:p>
    <w:p w14:paraId="4451022E" w14:textId="236B0FCD" w:rsidR="00B35A35" w:rsidRDefault="00B35A35" w:rsidP="00B35A35">
      <w:pPr>
        <w:pStyle w:val="ANormal"/>
      </w:pPr>
      <w:r>
        <w:tab/>
        <w:t>8) samfund betala 6,</w:t>
      </w:r>
      <w:r w:rsidR="00B062FC">
        <w:t>5</w:t>
      </w:r>
      <w:r>
        <w:t>94 procent och samfällda förmåner 8,</w:t>
      </w:r>
      <w:r w:rsidR="000143B5">
        <w:t>73</w:t>
      </w:r>
      <w:r>
        <w:t>705 procent i kommunalskatt på den beskattningsbara inkomsten vid beskattningen för skatteåret 2027.</w:t>
      </w:r>
    </w:p>
    <w:p w14:paraId="5BBF922E" w14:textId="77777777" w:rsidR="00A07934" w:rsidRDefault="0045600E">
      <w:pPr>
        <w:pStyle w:val="ANormal"/>
        <w:jc w:val="center"/>
      </w:pPr>
      <w:hyperlink w:anchor="_top" w:tooltip="Klicka för att gå till toppen av dokumentet" w:history="1">
        <w:r w:rsidR="00A07934">
          <w:rPr>
            <w:rStyle w:val="Hyperlnk"/>
          </w:rPr>
          <w:t>__________________</w:t>
        </w:r>
      </w:hyperlink>
    </w:p>
    <w:p w14:paraId="240E82E0" w14:textId="77777777" w:rsidR="00A07934" w:rsidRDefault="00A07934" w:rsidP="00B35A35">
      <w:pPr>
        <w:pStyle w:val="ANormal"/>
      </w:pPr>
    </w:p>
    <w:p w14:paraId="48BB6AB1" w14:textId="4133317C" w:rsidR="00B35A35" w:rsidRDefault="00A07934" w:rsidP="00B35A35">
      <w:pPr>
        <w:pStyle w:val="ANormal"/>
      </w:pPr>
      <w:r>
        <w:tab/>
        <w:t xml:space="preserve">Denna lag träder i kraft den… </w:t>
      </w:r>
    </w:p>
    <w:p w14:paraId="63FE2ACD" w14:textId="0AF46829" w:rsidR="00A07934" w:rsidRDefault="00A07934" w:rsidP="00A07934">
      <w:pPr>
        <w:pStyle w:val="ANormal"/>
      </w:pPr>
      <w:r>
        <w:tab/>
        <w:t>Lagens 29f</w:t>
      </w:r>
      <w:r w:rsidR="00740664">
        <w:t> §</w:t>
      </w:r>
      <w:r>
        <w:t xml:space="preserve"> 2</w:t>
      </w:r>
      <w:r w:rsidR="00ED0F52">
        <w:t>–8</w:t>
      </w:r>
      <w:r w:rsidR="00740664">
        <w:t> punkt</w:t>
      </w:r>
      <w:r w:rsidR="00ED0F52">
        <w:t>e</w:t>
      </w:r>
      <w:r>
        <w:t>n tillämpas vid beskattningen för skatteåre</w:t>
      </w:r>
      <w:r w:rsidR="00ED0F52">
        <w:t>n</w:t>
      </w:r>
      <w:r>
        <w:t xml:space="preserve"> 202</w:t>
      </w:r>
      <w:r w:rsidR="00ED0F52">
        <w:t>1–2027</w:t>
      </w:r>
      <w:r>
        <w:t>.</w:t>
      </w:r>
      <w:r w:rsidR="00ED0F52">
        <w:t xml:space="preserve"> </w:t>
      </w:r>
      <w:r>
        <w:t>Vid den första redovisningen av samfundsskatt till kommunerna efter att lagen har trätt i kraft rättas de redovisningar som gäller skatteåret 202</w:t>
      </w:r>
      <w:r w:rsidR="00ED0F52">
        <w:t>1</w:t>
      </w:r>
      <w:r>
        <w:t xml:space="preserve"> så att de motsvarar denna lag.</w:t>
      </w:r>
    </w:p>
    <w:p w14:paraId="5D4C992D" w14:textId="77777777" w:rsidR="009633A3" w:rsidRDefault="009633A3" w:rsidP="00A07934">
      <w:pPr>
        <w:pStyle w:val="ANormal"/>
      </w:pPr>
    </w:p>
    <w:p w14:paraId="7C9F6BB8" w14:textId="77777777" w:rsidR="009633A3" w:rsidRDefault="0045600E">
      <w:pPr>
        <w:pStyle w:val="ANormal"/>
        <w:jc w:val="center"/>
      </w:pPr>
      <w:hyperlink w:anchor="_top" w:tooltip="Klicka för att gå till toppen av dokumentet" w:history="1">
        <w:r w:rsidR="009633A3">
          <w:rPr>
            <w:rStyle w:val="Hyperlnk"/>
          </w:rPr>
          <w:t>__________________</w:t>
        </w:r>
      </w:hyperlink>
    </w:p>
    <w:p w14:paraId="2B74CF48" w14:textId="6BA581FD" w:rsidR="00E946C8" w:rsidRDefault="00E946C8" w:rsidP="00DF4794">
      <w:pPr>
        <w:pStyle w:val="ANormal"/>
      </w:pPr>
    </w:p>
    <w:p w14:paraId="4778B1D5" w14:textId="7C4B1A02" w:rsidR="009633A3" w:rsidRDefault="009633A3" w:rsidP="00DF4794">
      <w:pPr>
        <w:pStyle w:val="ANormal"/>
      </w:pPr>
    </w:p>
    <w:p w14:paraId="6831B290" w14:textId="77777777" w:rsidR="009633A3" w:rsidRDefault="009633A3" w:rsidP="00DF4794">
      <w:pPr>
        <w:pStyle w:val="ANormal"/>
      </w:pPr>
    </w:p>
    <w:p w14:paraId="1486CB52" w14:textId="340EF95B" w:rsidR="00F339F5" w:rsidRPr="009633A3" w:rsidRDefault="00F339F5" w:rsidP="009633A3">
      <w:pPr>
        <w:pStyle w:val="ANormal"/>
      </w:pPr>
      <w:r w:rsidRPr="009633A3">
        <w:lastRenderedPageBreak/>
        <w:t>2.</w:t>
      </w:r>
    </w:p>
    <w:p w14:paraId="1232D84B" w14:textId="22EF5883" w:rsidR="00F339F5" w:rsidRDefault="00F339F5" w:rsidP="00E946C8">
      <w:pPr>
        <w:pStyle w:val="LagHuvRubr"/>
        <w:rPr>
          <w:lang w:val="en-GB"/>
        </w:rPr>
      </w:pPr>
      <w:bookmarkStart w:id="23" w:name="_Toc65663772"/>
      <w:r>
        <w:rPr>
          <w:lang w:val="en-GB"/>
        </w:rPr>
        <w:t>L A N D S K A P S L A G</w:t>
      </w:r>
      <w:r>
        <w:rPr>
          <w:lang w:val="en-GB"/>
        </w:rPr>
        <w:br/>
        <w:t>om</w:t>
      </w:r>
      <w:r w:rsidR="00B95A13">
        <w:rPr>
          <w:lang w:val="en-GB"/>
        </w:rPr>
        <w:t xml:space="preserve"> tilläggsavdrag för forsknings- och utvecklingsverksamhet under skatteåren 2021–2025</w:t>
      </w:r>
      <w:bookmarkEnd w:id="23"/>
    </w:p>
    <w:p w14:paraId="43A05E02" w14:textId="77777777" w:rsidR="00F339F5" w:rsidRDefault="00F339F5" w:rsidP="00F339F5">
      <w:pPr>
        <w:pStyle w:val="ANormal"/>
        <w:rPr>
          <w:lang w:val="en-GB"/>
        </w:rPr>
      </w:pPr>
    </w:p>
    <w:p w14:paraId="7A43455F" w14:textId="1A4F4C19" w:rsidR="00F339F5" w:rsidRDefault="00F339F5" w:rsidP="00F339F5">
      <w:pPr>
        <w:pStyle w:val="ANormal"/>
      </w:pPr>
      <w:r>
        <w:tab/>
        <w:t xml:space="preserve">I enlighet med lagtingets beslut </w:t>
      </w:r>
      <w:r w:rsidR="00B95A13">
        <w:t>föreskrivs</w:t>
      </w:r>
      <w:r>
        <w:t>:</w:t>
      </w:r>
    </w:p>
    <w:p w14:paraId="6F271141" w14:textId="77777777" w:rsidR="00B95A13" w:rsidRDefault="00B95A13" w:rsidP="00F339F5">
      <w:pPr>
        <w:pStyle w:val="ANormal"/>
      </w:pPr>
    </w:p>
    <w:p w14:paraId="2C14A6A7" w14:textId="758F12DE" w:rsidR="00B95A13" w:rsidRDefault="00B95A13" w:rsidP="00B95A13">
      <w:pPr>
        <w:pStyle w:val="LagParagraf"/>
      </w:pPr>
      <w:r>
        <w:t>1</w:t>
      </w:r>
      <w:r w:rsidR="00740664">
        <w:t> §</w:t>
      </w:r>
    </w:p>
    <w:p w14:paraId="71629147" w14:textId="650EAB85" w:rsidR="00B95A13" w:rsidRPr="0040598A" w:rsidRDefault="00B95A13" w:rsidP="00B95A13">
      <w:pPr>
        <w:pStyle w:val="ANormal"/>
      </w:pPr>
      <w:r>
        <w:tab/>
      </w:r>
      <w:r w:rsidR="00D91FF4">
        <w:t>Den som bedriver näringsverksamhet eller jordbruk</w:t>
      </w:r>
      <w:r>
        <w:t xml:space="preserve"> har rätt att </w:t>
      </w:r>
      <w:r w:rsidR="00D91FF4">
        <w:t xml:space="preserve">vid kommunalbeskattningen </w:t>
      </w:r>
      <w:r>
        <w:t>under skatteåren 20</w:t>
      </w:r>
      <w:r w:rsidR="00D91FF4">
        <w:t>2</w:t>
      </w:r>
      <w:r>
        <w:t>1–20</w:t>
      </w:r>
      <w:r w:rsidR="00D91FF4">
        <w:t>2</w:t>
      </w:r>
      <w:r>
        <w:t xml:space="preserve">5 från sin inkomst av näringsverksamhet </w:t>
      </w:r>
      <w:r w:rsidR="00D91FF4">
        <w:t xml:space="preserve">eller jordbruk </w:t>
      </w:r>
      <w:r>
        <w:t>göra ett tilläggsavdrag för forsknings- och utvecklingsverksamhet i enlighet med vad som föreskrivs i lagen om ett tilläggsavdrag för forsknings- och utvecklingsverksamhet under åren 20</w:t>
      </w:r>
      <w:r w:rsidR="00D91FF4">
        <w:t>2</w:t>
      </w:r>
      <w:r>
        <w:t>1–20</w:t>
      </w:r>
      <w:r w:rsidR="00D91FF4">
        <w:t>2</w:t>
      </w:r>
      <w:r>
        <w:t xml:space="preserve">5 (FFS </w:t>
      </w:r>
      <w:r w:rsidR="00CD200E">
        <w:t>1078</w:t>
      </w:r>
      <w:r>
        <w:t>/202</w:t>
      </w:r>
      <w:r w:rsidR="00D91FF4">
        <w:t>0</w:t>
      </w:r>
      <w:r>
        <w:t>), med de undantag som följer av denna lag.</w:t>
      </w:r>
    </w:p>
    <w:p w14:paraId="6D6C5783" w14:textId="77777777" w:rsidR="00B95A13" w:rsidRDefault="00B95A13" w:rsidP="009633A3">
      <w:pPr>
        <w:pStyle w:val="ANormal"/>
      </w:pPr>
    </w:p>
    <w:p w14:paraId="70662D34" w14:textId="316ED881" w:rsidR="00B95A13" w:rsidRDefault="00D91FF4" w:rsidP="00B95A13">
      <w:pPr>
        <w:pStyle w:val="LagParagraf"/>
      </w:pPr>
      <w:r>
        <w:t>2</w:t>
      </w:r>
      <w:r w:rsidR="00740664">
        <w:t> §</w:t>
      </w:r>
    </w:p>
    <w:p w14:paraId="1AE12465" w14:textId="048D879E" w:rsidR="00B95A13" w:rsidRPr="0038045C" w:rsidRDefault="00B95A13" w:rsidP="00B95A13">
      <w:pPr>
        <w:pStyle w:val="ANormal"/>
      </w:pPr>
      <w:r>
        <w:tab/>
      </w:r>
      <w:r w:rsidR="00D91FF4">
        <w:t>Ä</w:t>
      </w:r>
      <w:r w:rsidRPr="0038045C">
        <w:t xml:space="preserve">ndringar </w:t>
      </w:r>
      <w:r>
        <w:t>av</w:t>
      </w:r>
      <w:r w:rsidRPr="0038045C">
        <w:t xml:space="preserve"> </w:t>
      </w:r>
      <w:r w:rsidR="00D91FF4">
        <w:t>lagen om ett tilläggsavdrag för forsknings- och utvecklingsverksamhet under åren 2021–2025</w:t>
      </w:r>
      <w:r w:rsidRPr="0038045C">
        <w:t xml:space="preserve"> ska gälla </w:t>
      </w:r>
      <w:r w:rsidR="00D91FF4">
        <w:t>på Åland</w:t>
      </w:r>
      <w:r w:rsidRPr="0038045C">
        <w:t xml:space="preserve"> från tidpunkten för deras ikraftträdande i riket</w:t>
      </w:r>
      <w:r w:rsidR="00D91FF4">
        <w:t xml:space="preserve"> om inte annat följer av denna lag.</w:t>
      </w:r>
    </w:p>
    <w:p w14:paraId="4A3DFDF3" w14:textId="79148169" w:rsidR="00B95A13" w:rsidRDefault="00B95A13" w:rsidP="00B95A13">
      <w:pPr>
        <w:pStyle w:val="ANormal"/>
      </w:pPr>
      <w:r>
        <w:tab/>
      </w:r>
      <w:r w:rsidR="00D91FF4">
        <w:t>En hänvisning i lagen om ett tilläggsavdrag för forsknings- och utvecklingsverksamhet under åren 2021–2025</w:t>
      </w:r>
      <w:r w:rsidR="00D91FF4" w:rsidRPr="0038045C">
        <w:t xml:space="preserve"> </w:t>
      </w:r>
      <w:r w:rsidR="00D91FF4" w:rsidRPr="00E06E57">
        <w:t>till en riksförfattning ska inom landskapets behörighet avse motsvarande bestämmelser som finns i landskapslagstiftningen</w:t>
      </w:r>
      <w:r w:rsidR="00D91FF4">
        <w:t>.</w:t>
      </w:r>
    </w:p>
    <w:p w14:paraId="47442327" w14:textId="77777777" w:rsidR="00B95A13" w:rsidRDefault="00B95A13" w:rsidP="00B95A13">
      <w:pPr>
        <w:pStyle w:val="ANormal"/>
      </w:pPr>
    </w:p>
    <w:p w14:paraId="1C055AC6" w14:textId="05D96ADB" w:rsidR="00B95A13" w:rsidRDefault="00D91FF4" w:rsidP="00B95A13">
      <w:pPr>
        <w:pStyle w:val="LagParagraf"/>
      </w:pPr>
      <w:r>
        <w:t>3</w:t>
      </w:r>
      <w:r w:rsidR="00740664">
        <w:t> §</w:t>
      </w:r>
    </w:p>
    <w:p w14:paraId="14781BF9" w14:textId="77777777" w:rsidR="00B95A13" w:rsidRDefault="00B95A13" w:rsidP="00B95A13">
      <w:pPr>
        <w:pStyle w:val="ANormal"/>
      </w:pPr>
      <w:r>
        <w:tab/>
        <w:t xml:space="preserve">Denna lag träder i kraft den … </w:t>
      </w:r>
    </w:p>
    <w:p w14:paraId="5ED5E237" w14:textId="117E0C53" w:rsidR="00B95A13" w:rsidRPr="000B4A4E" w:rsidRDefault="00B95A13" w:rsidP="00B95A13">
      <w:pPr>
        <w:pStyle w:val="ANormal"/>
      </w:pPr>
      <w:r>
        <w:tab/>
        <w:t>Lagen tillämpas vid kommunalbeskattningen för skatteåren 20</w:t>
      </w:r>
      <w:r w:rsidR="00D91FF4">
        <w:t>2</w:t>
      </w:r>
      <w:r>
        <w:t>1–20</w:t>
      </w:r>
      <w:r w:rsidR="00D91FF4">
        <w:t>2</w:t>
      </w:r>
      <w:r>
        <w:t xml:space="preserve">5. Lagen tillämpas inte </w:t>
      </w:r>
      <w:r w:rsidR="008A29A1">
        <w:t>på</w:t>
      </w:r>
      <w:r>
        <w:t xml:space="preserve"> projekt inom forsknings- och utvecklingsverksamheten som inletts före den 1 januari 20</w:t>
      </w:r>
      <w:r w:rsidR="008A29A1">
        <w:t>2</w:t>
      </w:r>
      <w:r>
        <w:t>1.</w:t>
      </w:r>
      <w:r w:rsidR="008A29A1">
        <w:t xml:space="preserve"> Ett projekt anses ha inletts vid den tidpunkt då avtalet om projektet undertecknas.</w:t>
      </w:r>
    </w:p>
    <w:p w14:paraId="4E54521D" w14:textId="7ED70892" w:rsidR="00B95A13" w:rsidRDefault="00B95A13" w:rsidP="00B95A13">
      <w:pPr>
        <w:pStyle w:val="ANormal"/>
      </w:pPr>
    </w:p>
    <w:p w14:paraId="72BD0E83" w14:textId="77777777" w:rsidR="009633A3" w:rsidRDefault="0045600E">
      <w:pPr>
        <w:pStyle w:val="ANormal"/>
        <w:jc w:val="center"/>
      </w:pPr>
      <w:hyperlink w:anchor="_top" w:tooltip="Klicka för att gå till toppen av dokumentet" w:history="1">
        <w:r w:rsidR="009633A3">
          <w:rPr>
            <w:rStyle w:val="Hyperlnk"/>
          </w:rPr>
          <w:t>__________________</w:t>
        </w:r>
      </w:hyperlink>
    </w:p>
    <w:p w14:paraId="392454EE" w14:textId="77777777" w:rsidR="00F339F5" w:rsidRDefault="00F339F5" w:rsidP="00F339F5">
      <w:pPr>
        <w:pStyle w:val="ANormal"/>
      </w:pPr>
    </w:p>
    <w:p w14:paraId="7876F1B7" w14:textId="308D5D62" w:rsidR="00F339F5" w:rsidRDefault="00B95A13" w:rsidP="00F339F5">
      <w:pPr>
        <w:pStyle w:val="ANormal"/>
        <w:rPr>
          <w:lang w:val="en-GB"/>
        </w:rPr>
      </w:pPr>
      <w:r>
        <w:rPr>
          <w:lang w:val="en-GB"/>
        </w:rPr>
        <w:t>3</w:t>
      </w:r>
      <w:r w:rsidR="00F339F5">
        <w:rPr>
          <w:lang w:val="en-GB"/>
        </w:rPr>
        <w:t>.</w:t>
      </w:r>
    </w:p>
    <w:p w14:paraId="0623E7DB" w14:textId="39597759" w:rsidR="00F339F5" w:rsidRDefault="00F339F5" w:rsidP="00F339F5">
      <w:pPr>
        <w:pStyle w:val="LagHuvRubr"/>
        <w:rPr>
          <w:lang w:val="en-GB"/>
        </w:rPr>
      </w:pPr>
      <w:bookmarkStart w:id="24" w:name="_Toc65663773"/>
      <w:r>
        <w:rPr>
          <w:lang w:val="en-GB"/>
        </w:rPr>
        <w:t>L A N D S K A P S L A G</w:t>
      </w:r>
      <w:r>
        <w:rPr>
          <w:lang w:val="en-GB"/>
        </w:rPr>
        <w:br/>
        <w:t>om</w:t>
      </w:r>
      <w:r w:rsidR="0098221D">
        <w:rPr>
          <w:lang w:val="en-GB"/>
        </w:rPr>
        <w:t xml:space="preserve"> koncernbidrag vid </w:t>
      </w:r>
      <w:r w:rsidR="005354B7">
        <w:rPr>
          <w:lang w:val="en-GB"/>
        </w:rPr>
        <w:t>kommunal</w:t>
      </w:r>
      <w:r w:rsidR="0098221D">
        <w:rPr>
          <w:lang w:val="en-GB"/>
        </w:rPr>
        <w:t>beskattningen</w:t>
      </w:r>
      <w:bookmarkEnd w:id="24"/>
    </w:p>
    <w:p w14:paraId="2A825F1A" w14:textId="77777777" w:rsidR="00F339F5" w:rsidRDefault="00F339F5" w:rsidP="00F339F5">
      <w:pPr>
        <w:pStyle w:val="ANormal"/>
        <w:rPr>
          <w:lang w:val="en-GB"/>
        </w:rPr>
      </w:pPr>
    </w:p>
    <w:p w14:paraId="6687382B" w14:textId="2FAB8DA9" w:rsidR="00F339F5" w:rsidRDefault="00F339F5" w:rsidP="00F339F5">
      <w:pPr>
        <w:pStyle w:val="ANormal"/>
      </w:pPr>
      <w:r>
        <w:tab/>
        <w:t xml:space="preserve">I enlighet med lagtingets </w:t>
      </w:r>
      <w:r w:rsidR="00D01EC4">
        <w:t>beslut föreskrivs</w:t>
      </w:r>
      <w:r>
        <w:t>:</w:t>
      </w:r>
    </w:p>
    <w:p w14:paraId="6C82ADA6" w14:textId="77777777" w:rsidR="00F339F5" w:rsidRDefault="00F339F5" w:rsidP="00F339F5">
      <w:pPr>
        <w:pStyle w:val="ANormal"/>
      </w:pPr>
    </w:p>
    <w:p w14:paraId="6C4CA5F3" w14:textId="6F487F0C" w:rsidR="00F339F5" w:rsidRDefault="00D01EC4" w:rsidP="00F339F5">
      <w:pPr>
        <w:pStyle w:val="LagParagraf"/>
      </w:pPr>
      <w:r>
        <w:t>1</w:t>
      </w:r>
      <w:r w:rsidR="00740664">
        <w:t> §</w:t>
      </w:r>
    </w:p>
    <w:p w14:paraId="0740F84D" w14:textId="1F3FEDD2" w:rsidR="00F339F5" w:rsidRDefault="00F339F5" w:rsidP="00F339F5">
      <w:pPr>
        <w:pStyle w:val="ANormal"/>
      </w:pPr>
      <w:r>
        <w:tab/>
      </w:r>
      <w:r w:rsidR="00E06E57">
        <w:t xml:space="preserve">Med de avvikelser som anges i denna lag </w:t>
      </w:r>
      <w:bookmarkStart w:id="25" w:name="_Hlk59538480"/>
      <w:r w:rsidR="00E06E57">
        <w:t>tillämpas l</w:t>
      </w:r>
      <w:r w:rsidR="00D01EC4">
        <w:t>agen om koncernbidrag vid beskattningen (FFS 825/1986) vid kommunalbeskattningen på Åland.</w:t>
      </w:r>
    </w:p>
    <w:bookmarkEnd w:id="25"/>
    <w:p w14:paraId="729366DB" w14:textId="1BDDCA09" w:rsidR="00CF3241" w:rsidRDefault="00CF3241" w:rsidP="00F339F5">
      <w:pPr>
        <w:pStyle w:val="ANormal"/>
      </w:pPr>
    </w:p>
    <w:p w14:paraId="269C7318" w14:textId="4853E634" w:rsidR="00CF3241" w:rsidRDefault="00CF3241" w:rsidP="00CF3241">
      <w:pPr>
        <w:pStyle w:val="LagParagraf"/>
      </w:pPr>
      <w:r>
        <w:t>2</w:t>
      </w:r>
      <w:r w:rsidR="00740664">
        <w:t> §</w:t>
      </w:r>
    </w:p>
    <w:p w14:paraId="53360824" w14:textId="77777777" w:rsidR="00AB228E" w:rsidRDefault="00E06E57" w:rsidP="00F339F5">
      <w:pPr>
        <w:pStyle w:val="ANormal"/>
      </w:pPr>
      <w:r>
        <w:tab/>
      </w:r>
      <w:r w:rsidRPr="00E06E57">
        <w:t xml:space="preserve">Ändringar av </w:t>
      </w:r>
      <w:r>
        <w:t>lagen om koncernbidrag vid beskattningen</w:t>
      </w:r>
      <w:r w:rsidRPr="00E06E57">
        <w:t xml:space="preserve"> ska </w:t>
      </w:r>
      <w:r>
        <w:t>gälla på Åland</w:t>
      </w:r>
      <w:r w:rsidRPr="00E06E57">
        <w:t xml:space="preserve"> från tidpunkten för deras ikraftträdande i riket om inte annat följer av denna lag. </w:t>
      </w:r>
    </w:p>
    <w:p w14:paraId="628259DE" w14:textId="5AE3329B" w:rsidR="00F339F5" w:rsidRDefault="00AB228E" w:rsidP="00F339F5">
      <w:pPr>
        <w:pStyle w:val="ANormal"/>
      </w:pPr>
      <w:r>
        <w:tab/>
      </w:r>
      <w:r w:rsidR="00E06E57" w:rsidRPr="00E06E57">
        <w:t xml:space="preserve">En hänvisning i </w:t>
      </w:r>
      <w:r w:rsidR="00E06E57">
        <w:t>lagen om koncernbidrag vid beskattningen</w:t>
      </w:r>
      <w:r w:rsidR="00E06E57" w:rsidRPr="00E06E57">
        <w:t xml:space="preserve"> till en riksförfattning ska inom landskapets behörighet avse motsvarande bestämmelser som finns i landskapslagstiftningen.</w:t>
      </w:r>
    </w:p>
    <w:p w14:paraId="734FA952" w14:textId="521FAED7" w:rsidR="00CF3241" w:rsidRDefault="00CF3241" w:rsidP="00F339F5">
      <w:pPr>
        <w:pStyle w:val="ANormal"/>
      </w:pPr>
    </w:p>
    <w:p w14:paraId="24835848" w14:textId="58BC09F0" w:rsidR="00CF3241" w:rsidRDefault="00CF3241" w:rsidP="00CF3241">
      <w:pPr>
        <w:pStyle w:val="LagParagraf"/>
      </w:pPr>
      <w:r>
        <w:t>3</w:t>
      </w:r>
      <w:r w:rsidR="00740664">
        <w:t> §</w:t>
      </w:r>
    </w:p>
    <w:p w14:paraId="44C65AE8" w14:textId="77777777" w:rsidR="00B70F01" w:rsidRDefault="00CF3241" w:rsidP="00CF3241">
      <w:pPr>
        <w:pStyle w:val="ANormal"/>
      </w:pPr>
      <w:r>
        <w:tab/>
        <w:t xml:space="preserve">Denna lag träder i kraft den … </w:t>
      </w:r>
      <w:r w:rsidR="001439F7">
        <w:t>och</w:t>
      </w:r>
      <w:r>
        <w:t xml:space="preserve"> tillämpas första gången vid beskattningen för skatteåret 2021</w:t>
      </w:r>
      <w:r w:rsidR="001439F7">
        <w:t xml:space="preserve">. </w:t>
      </w:r>
    </w:p>
    <w:p w14:paraId="0242037F" w14:textId="71FDA65B" w:rsidR="00CF3241" w:rsidRDefault="00B70F01" w:rsidP="00CF3241">
      <w:pPr>
        <w:pStyle w:val="ANormal"/>
      </w:pPr>
      <w:r>
        <w:lastRenderedPageBreak/>
        <w:tab/>
        <w:t>Bestämmelserna i</w:t>
      </w:r>
      <w:r w:rsidR="001439F7">
        <w:t xml:space="preserve"> 2</w:t>
      </w:r>
      <w:r w:rsidR="00740664">
        <w:t> §</w:t>
      </w:r>
      <w:r w:rsidR="001439F7">
        <w:t xml:space="preserve"> i lagen om koncernbidrag vid beskattningen </w:t>
      </w:r>
      <w:r>
        <w:t xml:space="preserve">ska </w:t>
      </w:r>
      <w:r w:rsidR="001439F7">
        <w:t>även tillämpas när det gäller beskattningen för skatteåret 2020.</w:t>
      </w:r>
    </w:p>
    <w:p w14:paraId="52984692" w14:textId="59E2B9D0" w:rsidR="00786E06" w:rsidRDefault="00786E06" w:rsidP="00CF3241">
      <w:pPr>
        <w:pStyle w:val="ANormal"/>
      </w:pPr>
      <w:r>
        <w:tab/>
        <w:t>Genom denna lag upphävs landskapslagen (1989:23) om koncernbidrag vid kommunalbeskattningen.</w:t>
      </w:r>
    </w:p>
    <w:p w14:paraId="69FF5513" w14:textId="77777777" w:rsidR="009633A3" w:rsidRDefault="009633A3" w:rsidP="00CF3241">
      <w:pPr>
        <w:pStyle w:val="ANormal"/>
      </w:pPr>
    </w:p>
    <w:p w14:paraId="0774B9DD" w14:textId="77777777" w:rsidR="00AF3004" w:rsidRDefault="0045600E">
      <w:pPr>
        <w:pStyle w:val="ANormal"/>
        <w:jc w:val="center"/>
      </w:pPr>
      <w:hyperlink w:anchor="_top" w:tooltip="Klicka för att gå till toppen av dokumentet" w:history="1">
        <w:r w:rsidR="00AF3004">
          <w:rPr>
            <w:rStyle w:val="Hyperlnk"/>
          </w:rPr>
          <w:t>__________________</w:t>
        </w:r>
      </w:hyperlink>
    </w:p>
    <w:p w14:paraId="240B0DBB" w14:textId="77777777" w:rsidR="00AF3004" w:rsidRDefault="00AF3004">
      <w:pPr>
        <w:pStyle w:val="ANormal"/>
      </w:pPr>
    </w:p>
    <w:p w14:paraId="571A8C7C"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111ED845" w14:textId="77777777">
        <w:trPr>
          <w:cantSplit/>
        </w:trPr>
        <w:tc>
          <w:tcPr>
            <w:tcW w:w="7931" w:type="dxa"/>
            <w:gridSpan w:val="2"/>
          </w:tcPr>
          <w:p w14:paraId="308C4AD0" w14:textId="77777777" w:rsidR="00AF3004" w:rsidRDefault="00AF3004">
            <w:pPr>
              <w:pStyle w:val="ANormal"/>
              <w:keepNext/>
            </w:pPr>
            <w:r>
              <w:t xml:space="preserve">Mariehamn den </w:t>
            </w:r>
          </w:p>
        </w:tc>
      </w:tr>
      <w:tr w:rsidR="00AF3004" w14:paraId="43037F63" w14:textId="77777777">
        <w:tc>
          <w:tcPr>
            <w:tcW w:w="4454" w:type="dxa"/>
            <w:vAlign w:val="bottom"/>
          </w:tcPr>
          <w:p w14:paraId="675B8636" w14:textId="77777777" w:rsidR="00AF3004" w:rsidRDefault="00AF3004">
            <w:pPr>
              <w:pStyle w:val="ANormal"/>
              <w:keepNext/>
            </w:pPr>
          </w:p>
          <w:p w14:paraId="3D38B9D5" w14:textId="77777777" w:rsidR="00AF3004" w:rsidRDefault="00AF3004">
            <w:pPr>
              <w:pStyle w:val="ANormal"/>
              <w:keepNext/>
            </w:pPr>
          </w:p>
          <w:p w14:paraId="443DEFA7" w14:textId="610A84BE" w:rsidR="00AF3004" w:rsidRDefault="00AF3004">
            <w:pPr>
              <w:pStyle w:val="ANormal"/>
              <w:keepNext/>
            </w:pPr>
            <w:r>
              <w:t>Lantråd</w:t>
            </w:r>
          </w:p>
        </w:tc>
        <w:tc>
          <w:tcPr>
            <w:tcW w:w="3477" w:type="dxa"/>
            <w:vAlign w:val="bottom"/>
          </w:tcPr>
          <w:p w14:paraId="171FBA41" w14:textId="77777777" w:rsidR="00AF3004" w:rsidRDefault="00AF3004">
            <w:pPr>
              <w:pStyle w:val="ANormal"/>
              <w:keepNext/>
            </w:pPr>
          </w:p>
          <w:p w14:paraId="37390843" w14:textId="77777777" w:rsidR="00AF3004" w:rsidRDefault="00AF3004">
            <w:pPr>
              <w:pStyle w:val="ANormal"/>
              <w:keepNext/>
            </w:pPr>
          </w:p>
          <w:p w14:paraId="21FEB21B" w14:textId="2F73296A" w:rsidR="00AF3004" w:rsidRDefault="00E946C8">
            <w:pPr>
              <w:pStyle w:val="ANormal"/>
              <w:keepNext/>
            </w:pPr>
            <w:r>
              <w:t>Veronica Thörnroos</w:t>
            </w:r>
          </w:p>
        </w:tc>
      </w:tr>
      <w:tr w:rsidR="00AF3004" w14:paraId="3B487BA8" w14:textId="77777777">
        <w:tc>
          <w:tcPr>
            <w:tcW w:w="4454" w:type="dxa"/>
            <w:vAlign w:val="bottom"/>
          </w:tcPr>
          <w:p w14:paraId="783AE10A" w14:textId="77777777" w:rsidR="00AF3004" w:rsidRDefault="00AF3004">
            <w:pPr>
              <w:pStyle w:val="ANormal"/>
              <w:keepNext/>
            </w:pPr>
          </w:p>
          <w:p w14:paraId="05D821F1" w14:textId="77777777" w:rsidR="00AF3004" w:rsidRDefault="00AF3004">
            <w:pPr>
              <w:pStyle w:val="ANormal"/>
              <w:keepNext/>
            </w:pPr>
          </w:p>
          <w:p w14:paraId="4F9ABDD7" w14:textId="109ED46C" w:rsidR="00AF3004" w:rsidRDefault="00AF3004">
            <w:pPr>
              <w:pStyle w:val="ANormal"/>
              <w:keepNext/>
            </w:pPr>
            <w:r>
              <w:t xml:space="preserve">Föredragande </w:t>
            </w:r>
            <w:r w:rsidR="00AA42C2">
              <w:t>minister</w:t>
            </w:r>
          </w:p>
        </w:tc>
        <w:tc>
          <w:tcPr>
            <w:tcW w:w="3477" w:type="dxa"/>
            <w:vAlign w:val="bottom"/>
          </w:tcPr>
          <w:p w14:paraId="7E71D025" w14:textId="77777777" w:rsidR="00AF3004" w:rsidRDefault="00AF3004">
            <w:pPr>
              <w:pStyle w:val="ANormal"/>
              <w:keepNext/>
            </w:pPr>
          </w:p>
          <w:p w14:paraId="6F4B22FC" w14:textId="77777777" w:rsidR="00AF3004" w:rsidRDefault="00AF3004">
            <w:pPr>
              <w:pStyle w:val="ANormal"/>
              <w:keepNext/>
            </w:pPr>
          </w:p>
          <w:p w14:paraId="308A0E04" w14:textId="34483AC1" w:rsidR="00AF3004" w:rsidRDefault="00E946C8">
            <w:pPr>
              <w:pStyle w:val="ANormal"/>
              <w:keepNext/>
            </w:pPr>
            <w:r>
              <w:t>Roger Höglund</w:t>
            </w:r>
          </w:p>
        </w:tc>
      </w:tr>
    </w:tbl>
    <w:p w14:paraId="66BCAB74" w14:textId="58D3E28C" w:rsidR="00AF3004" w:rsidRDefault="00AF3004">
      <w:pPr>
        <w:pStyle w:val="ANormal"/>
      </w:pPr>
    </w:p>
    <w:p w14:paraId="53A6ED20" w14:textId="45E3BD6A" w:rsidR="00B37FFA" w:rsidRDefault="00B37FFA">
      <w:pPr>
        <w:pStyle w:val="ANormal"/>
      </w:pPr>
    </w:p>
    <w:p w14:paraId="4CE66EB6" w14:textId="3F3228D7" w:rsidR="00B37FFA" w:rsidRDefault="00B37FFA">
      <w:pPr>
        <w:rPr>
          <w:sz w:val="22"/>
          <w:szCs w:val="20"/>
          <w:lang w:val="sv-SE"/>
        </w:rPr>
      </w:pPr>
      <w:r>
        <w:br w:type="page"/>
      </w:r>
    </w:p>
    <w:p w14:paraId="02558917" w14:textId="5B5B17EF" w:rsidR="00B37FFA" w:rsidRDefault="00B37FFA" w:rsidP="00B37FFA">
      <w:pPr>
        <w:pStyle w:val="RubrikA"/>
      </w:pPr>
      <w:bookmarkStart w:id="26" w:name="_Toc65663774"/>
      <w:bookmarkStart w:id="27" w:name="_Hlk63061587"/>
      <w:r>
        <w:lastRenderedPageBreak/>
        <w:t>Bilaga</w:t>
      </w:r>
      <w:r w:rsidR="001636E0">
        <w:t xml:space="preserve">: FFS </w:t>
      </w:r>
      <w:r w:rsidR="00C118B4">
        <w:t>1078</w:t>
      </w:r>
      <w:r w:rsidR="001636E0">
        <w:t>/</w:t>
      </w:r>
      <w:r w:rsidR="00C118B4">
        <w:t>2020</w:t>
      </w:r>
      <w:bookmarkEnd w:id="26"/>
    </w:p>
    <w:bookmarkEnd w:id="27"/>
    <w:p w14:paraId="5BE30962" w14:textId="50B20AAF" w:rsidR="00B37FFA" w:rsidRDefault="00B37FFA" w:rsidP="00B37FFA">
      <w:pPr>
        <w:pStyle w:val="Rubrikmellanrum"/>
      </w:pPr>
    </w:p>
    <w:p w14:paraId="3BF31686" w14:textId="77777777" w:rsidR="00F1267F" w:rsidRPr="001636E0" w:rsidRDefault="00F1267F" w:rsidP="00F1267F">
      <w:pPr>
        <w:pStyle w:val="ANormal"/>
      </w:pPr>
    </w:p>
    <w:p w14:paraId="77B3E8D8" w14:textId="792F6BAB" w:rsidR="00F1267F" w:rsidRDefault="00F1267F" w:rsidP="00F1267F">
      <w:pPr>
        <w:pStyle w:val="LagHuvRubr"/>
      </w:pPr>
      <w:bookmarkStart w:id="28" w:name="_Toc65663775"/>
      <w:r>
        <w:t xml:space="preserve">Lag om </w:t>
      </w:r>
      <w:r w:rsidR="00512B95">
        <w:t>ett tilläggsavdrag för forsknings- och utvecklingsverksamhet under skatteåren 2021–2025</w:t>
      </w:r>
      <w:bookmarkEnd w:id="28"/>
    </w:p>
    <w:p w14:paraId="4BF8A253" w14:textId="77777777" w:rsidR="00F1267F" w:rsidRDefault="00F1267F" w:rsidP="00F1267F">
      <w:pPr>
        <w:pStyle w:val="ANormal"/>
      </w:pPr>
    </w:p>
    <w:p w14:paraId="1C782DBC" w14:textId="77777777" w:rsidR="00F1267F" w:rsidRDefault="00F1267F" w:rsidP="00F1267F">
      <w:pPr>
        <w:pStyle w:val="ANormal"/>
      </w:pPr>
      <w:r>
        <w:tab/>
        <w:t>I enlighet med riksdagens beslut stadgas:</w:t>
      </w:r>
    </w:p>
    <w:p w14:paraId="497F4822" w14:textId="77777777" w:rsidR="00F1267F" w:rsidRDefault="00F1267F" w:rsidP="00F1267F">
      <w:pPr>
        <w:pStyle w:val="ANormal"/>
      </w:pPr>
    </w:p>
    <w:p w14:paraId="1474CE68" w14:textId="04B71428" w:rsidR="00F1267F" w:rsidRDefault="00F1267F" w:rsidP="00F1267F">
      <w:pPr>
        <w:pStyle w:val="LagParagraf"/>
      </w:pPr>
      <w:r>
        <w:t>1</w:t>
      </w:r>
      <w:r w:rsidR="00740664">
        <w:t> §</w:t>
      </w:r>
    </w:p>
    <w:p w14:paraId="601F221A" w14:textId="77777777" w:rsidR="00F1267F" w:rsidRDefault="00F1267F" w:rsidP="00F1267F">
      <w:pPr>
        <w:pStyle w:val="LagPararubrik"/>
      </w:pPr>
      <w:r>
        <w:t>Tillämpningsområde</w:t>
      </w:r>
    </w:p>
    <w:p w14:paraId="256C33BC" w14:textId="77777777" w:rsidR="00F1267F" w:rsidRDefault="00F1267F" w:rsidP="00F1267F">
      <w:pPr>
        <w:pStyle w:val="ANormal"/>
      </w:pPr>
      <w:r>
        <w:tab/>
        <w:t>Denna lag innehåller bestämmelser om rätten för den som bedriver näringsverksamhet eller jordbruk att under skatteåren 2021–2025 från sin inkomst av näringsverksamhet eller jordbruk göra ett tilläggsavdrag som baserar sig på fakturor för underentreprenad för forsknings- och utvecklingsverksamhet.</w:t>
      </w:r>
    </w:p>
    <w:p w14:paraId="4309898A" w14:textId="77777777" w:rsidR="00F1267F" w:rsidRDefault="00F1267F" w:rsidP="00F1267F">
      <w:pPr>
        <w:pStyle w:val="ANormal"/>
      </w:pPr>
    </w:p>
    <w:p w14:paraId="5FEE4F98" w14:textId="038C7C75" w:rsidR="00F1267F" w:rsidRDefault="00F1267F" w:rsidP="00F1267F">
      <w:pPr>
        <w:pStyle w:val="LagParagraf"/>
      </w:pPr>
      <w:r>
        <w:t>2</w:t>
      </w:r>
      <w:r w:rsidR="00740664">
        <w:t> §</w:t>
      </w:r>
    </w:p>
    <w:p w14:paraId="5470599A" w14:textId="77777777" w:rsidR="00F1267F" w:rsidRDefault="00F1267F" w:rsidP="00F1267F">
      <w:pPr>
        <w:pStyle w:val="LagPararubrik"/>
      </w:pPr>
      <w:r>
        <w:t>Definitioner</w:t>
      </w:r>
    </w:p>
    <w:p w14:paraId="752A4B8C" w14:textId="77777777" w:rsidR="00F1267F" w:rsidRDefault="00F1267F" w:rsidP="00F1267F">
      <w:pPr>
        <w:pStyle w:val="ANormal"/>
      </w:pPr>
      <w:r>
        <w:tab/>
        <w:t>I denna lag avses med</w:t>
      </w:r>
    </w:p>
    <w:p w14:paraId="72A13B8F" w14:textId="77777777" w:rsidR="00F1267F" w:rsidRDefault="00F1267F" w:rsidP="00F1267F">
      <w:pPr>
        <w:pStyle w:val="ANormal"/>
      </w:pPr>
      <w:r>
        <w:tab/>
        <w:t>1) </w:t>
      </w:r>
      <w:r w:rsidRPr="001B729C">
        <w:rPr>
          <w:i/>
          <w:iCs/>
        </w:rPr>
        <w:t>forsknings- och utvecklingsverksamhet</w:t>
      </w:r>
      <w:r>
        <w:t xml:space="preserve"> sådan grundforskning, industriell forskning, experimentell utveckling och sådana genomförbarhetsstudier enligt artikel 25.2 i kommissionens förordning (EG) nr 651/2014 genom vilken vissa kategorier av stöd förklaras förenliga med den inre marknaden enligt artiklarna 107 och 108 i fördraget, där det systematiskt eftersträvas ökad kunskap eller utnyttjande av kunskap för att finna nya tillämpningar,</w:t>
      </w:r>
    </w:p>
    <w:p w14:paraId="2E76C6F9" w14:textId="77777777" w:rsidR="00F1267F" w:rsidRDefault="00F1267F" w:rsidP="00F1267F">
      <w:pPr>
        <w:pStyle w:val="ANormal"/>
      </w:pPr>
      <w:r>
        <w:tab/>
        <w:t>2) </w:t>
      </w:r>
      <w:r w:rsidRPr="001B729C">
        <w:rPr>
          <w:i/>
          <w:iCs/>
        </w:rPr>
        <w:t>organisation för forskning och kunskapsspridning</w:t>
      </w:r>
      <w:r>
        <w:t xml:space="preserve"> en sådan inom EES-området verksam sammanslutning vars huvudsakliga syfte är att bedriva oberoende grundforskning, industriell forskning eller experimentell utveckling eller sprida resultaten av sådan verksamhet genom utbildning, publikationer eller dataöverföring; företag som utövar ett avgörande inflytande över en sådan sammanslutning såsom aktieägare eller medlemmar eller på något annat motsvarande sätt, får inte ha företräde till de resultat sammanslutningen uppnår,</w:t>
      </w:r>
    </w:p>
    <w:p w14:paraId="1DBC1933" w14:textId="77777777" w:rsidR="00F1267F" w:rsidRDefault="00F1267F" w:rsidP="00F1267F">
      <w:pPr>
        <w:pStyle w:val="ANormal"/>
      </w:pPr>
      <w:r>
        <w:tab/>
        <w:t>3) </w:t>
      </w:r>
      <w:r w:rsidRPr="001B729C">
        <w:rPr>
          <w:i/>
          <w:iCs/>
        </w:rPr>
        <w:t>faktura för underentreprenad</w:t>
      </w:r>
      <w:r>
        <w:t xml:space="preserve"> en faktura för underentreprenad som den skattskyldige betalat till en organisation för forskning eller kunskapsspridning till den del som posterna i fakturan för underentreprenad hänför sig till forsknings- och utvecklingsverksamhet.</w:t>
      </w:r>
    </w:p>
    <w:p w14:paraId="541F6BBA" w14:textId="77777777" w:rsidR="00F1267F" w:rsidRDefault="00F1267F" w:rsidP="00F1267F">
      <w:pPr>
        <w:pStyle w:val="ANormal"/>
      </w:pPr>
    </w:p>
    <w:p w14:paraId="5474B33C" w14:textId="7969DB97" w:rsidR="00F1267F" w:rsidRDefault="00F1267F" w:rsidP="00F1267F">
      <w:pPr>
        <w:pStyle w:val="LagParagraf"/>
      </w:pPr>
      <w:r>
        <w:t>3</w:t>
      </w:r>
      <w:r w:rsidR="00740664">
        <w:t> §</w:t>
      </w:r>
    </w:p>
    <w:p w14:paraId="1C0CD785" w14:textId="77777777" w:rsidR="00F1267F" w:rsidRDefault="00F1267F" w:rsidP="00F1267F">
      <w:pPr>
        <w:pStyle w:val="LagPararubrik"/>
      </w:pPr>
      <w:r>
        <w:t>Grund för tilläggsavdraget samt belopp</w:t>
      </w:r>
    </w:p>
    <w:p w14:paraId="33B4D12C" w14:textId="77777777" w:rsidR="00F1267F" w:rsidRDefault="00F1267F" w:rsidP="00F1267F">
      <w:pPr>
        <w:pStyle w:val="ANormal"/>
      </w:pPr>
      <w:r>
        <w:tab/>
        <w:t>Rätt till tilläggsavdrag har en skattskyldig som bedriver forsknings- och utvecklingsverksamhet som hänför sig till den egna näringsverksamheten eller det egna jordbruket. Också den som i Finland är begränsat skattskyldig har rätt till tilläggsavdrag på basis av forsknings- och utvecklingsverksamhet som bedrivs vid ett fast driftställe i Finland.</w:t>
      </w:r>
    </w:p>
    <w:p w14:paraId="3AC9663E" w14:textId="77777777" w:rsidR="00F1267F" w:rsidRDefault="00F1267F" w:rsidP="00F1267F">
      <w:pPr>
        <w:pStyle w:val="ANormal"/>
      </w:pPr>
      <w:r>
        <w:tab/>
        <w:t>Tilläggsavdraget beviljas utifrån forsknings- och utvecklingsverksamhet som bedrivits med en organisation för forskning och kunskapsspridning. Grunden för tilläggsavdraget är en sådan faktura för underentreprenad för forsknings- och utvecklingsverksamhet som den skattskyldige betalat till en organisation för forskning och kunskapsspridning.</w:t>
      </w:r>
    </w:p>
    <w:p w14:paraId="5B642985" w14:textId="3A3DED27" w:rsidR="00F1267F" w:rsidRDefault="00F1267F" w:rsidP="00F1267F">
      <w:pPr>
        <w:pStyle w:val="ANormal"/>
      </w:pPr>
      <w:r>
        <w:tab/>
        <w:t>Tilläggsavdragets belopp är 50 procent av de godtagbara poster i fakturorna för underentreprenad som avses i 2</w:t>
      </w:r>
      <w:r w:rsidR="00740664">
        <w:t> mom.</w:t>
      </w:r>
      <w:r>
        <w:t xml:space="preserve"> Tilläggsavdragets maximibelopp under skatteåret är 500</w:t>
      </w:r>
      <w:r w:rsidR="009633A3">
        <w:t> </w:t>
      </w:r>
      <w:r>
        <w:t>000 euro. Tilläggsavdrag beviljas inte om det avdragbara beloppet under skatteåret är mindre än 5</w:t>
      </w:r>
      <w:r w:rsidR="009633A3">
        <w:t> </w:t>
      </w:r>
      <w:r>
        <w:t>000 euro. Tilläggsavdrag beviljas inte till den del som den skattskyldige har fått direkt statligt stöd eller något annat offentligt stöd för att täcka de fakturor för underentreprenad som hänför sig till projektet.</w:t>
      </w:r>
    </w:p>
    <w:p w14:paraId="2C99BAB8" w14:textId="1A72917C" w:rsidR="00F1267F" w:rsidRDefault="00F1267F" w:rsidP="00F1267F">
      <w:pPr>
        <w:pStyle w:val="ANormal"/>
      </w:pPr>
      <w:r>
        <w:lastRenderedPageBreak/>
        <w:tab/>
        <w:t>Med avvikelse från 119</w:t>
      </w:r>
      <w:r w:rsidR="00740664">
        <w:t> §</w:t>
      </w:r>
      <w:r>
        <w:t xml:space="preserve"> 2</w:t>
      </w:r>
      <w:r w:rsidR="00740664">
        <w:t> mom.</w:t>
      </w:r>
      <w:r>
        <w:t xml:space="preserve"> i inkomstskattelagen (1535/1992) räknas tilläggsavdraget in i näringsverksamhetens eller jordbrukets förlustresultat.</w:t>
      </w:r>
    </w:p>
    <w:p w14:paraId="209CF1CC" w14:textId="77777777" w:rsidR="00F1267F" w:rsidRDefault="00F1267F" w:rsidP="00F1267F">
      <w:pPr>
        <w:pStyle w:val="ANormal"/>
      </w:pPr>
    </w:p>
    <w:p w14:paraId="3FF4E77E" w14:textId="313A5E3F" w:rsidR="00F1267F" w:rsidRDefault="00F1267F" w:rsidP="00F1267F">
      <w:pPr>
        <w:pStyle w:val="LagParagraf"/>
      </w:pPr>
      <w:r>
        <w:t>4</w:t>
      </w:r>
      <w:r w:rsidR="00740664">
        <w:t> §</w:t>
      </w:r>
    </w:p>
    <w:p w14:paraId="31619215" w14:textId="77777777" w:rsidR="00F1267F" w:rsidRDefault="00F1267F" w:rsidP="00F1267F">
      <w:pPr>
        <w:pStyle w:val="LagPararubrik"/>
      </w:pPr>
      <w:r>
        <w:t>Tilläggsavdrag i fråga om forsknings- och utvecklingsverksamhet som överförs vid företagsomstrukturering</w:t>
      </w:r>
    </w:p>
    <w:p w14:paraId="072E0A25" w14:textId="5DE4845C" w:rsidR="00F1267F" w:rsidRDefault="00F1267F" w:rsidP="00F1267F">
      <w:pPr>
        <w:pStyle w:val="ANormal"/>
      </w:pPr>
      <w:r>
        <w:tab/>
        <w:t>I samband med en fusion enligt 52</w:t>
      </w:r>
      <w:r w:rsidR="009633A3">
        <w:t> </w:t>
      </w:r>
      <w:r>
        <w:t>a</w:t>
      </w:r>
      <w:r w:rsidR="00740664">
        <w:t> §</w:t>
      </w:r>
      <w:r>
        <w:t xml:space="preserve"> i lagen om beskattning av inkomst av näringsverksamhet (360/1968) avdras vid det övertagande bolagets beskattning, på basis av fakturorna för underentreprenad för sådan forsknings- och utvecklingsverksamhet som överförts vid fusionen, högst det belopp som avses i 3</w:t>
      </w:r>
      <w:r w:rsidR="00740664">
        <w:t> §</w:t>
      </w:r>
      <w:r>
        <w:t xml:space="preserve"> i denna lag med avdrag för det belopp som dragits av vid det överlåtande bolagets beskattning under skatteåret.</w:t>
      </w:r>
    </w:p>
    <w:p w14:paraId="0C47F11B" w14:textId="18D6D72D" w:rsidR="00F1267F" w:rsidRDefault="00F1267F" w:rsidP="00F1267F">
      <w:pPr>
        <w:pStyle w:val="ANormal"/>
      </w:pPr>
      <w:r>
        <w:tab/>
        <w:t>Vad som i 1</w:t>
      </w:r>
      <w:r w:rsidR="00740664">
        <w:t> mom.</w:t>
      </w:r>
      <w:r>
        <w:t xml:space="preserve"> bestäms om fusion tillämpas också i samband med fission som avses i 52</w:t>
      </w:r>
      <w:r w:rsidR="009633A3">
        <w:t> </w:t>
      </w:r>
      <w:r>
        <w:t>c</w:t>
      </w:r>
      <w:r w:rsidR="00740664">
        <w:t> §</w:t>
      </w:r>
      <w:r>
        <w:t xml:space="preserve"> i lagen om beskattning av inkomst av näringsverksamhet och verksamhetsöverlåtelse som avses i 52</w:t>
      </w:r>
      <w:r w:rsidR="009633A3">
        <w:t> </w:t>
      </w:r>
      <w:r>
        <w:t>d</w:t>
      </w:r>
      <w:r w:rsidR="00740664">
        <w:t> §</w:t>
      </w:r>
      <w:r>
        <w:t xml:space="preserve"> i den lagen samt i samband med beskattningen av det förvärvande bolaget i samband med förvärv av affärsverksamhet.</w:t>
      </w:r>
    </w:p>
    <w:p w14:paraId="3EF94D1C" w14:textId="77777777" w:rsidR="00F1267F" w:rsidRDefault="00F1267F" w:rsidP="00F1267F">
      <w:pPr>
        <w:pStyle w:val="ANormal"/>
      </w:pPr>
    </w:p>
    <w:p w14:paraId="7D0FFCC4" w14:textId="336220A5" w:rsidR="00F1267F" w:rsidRDefault="00F1267F" w:rsidP="00F1267F">
      <w:pPr>
        <w:pStyle w:val="LagParagraf"/>
      </w:pPr>
      <w:r>
        <w:t>5</w:t>
      </w:r>
      <w:r w:rsidR="00740664">
        <w:t> §</w:t>
      </w:r>
    </w:p>
    <w:p w14:paraId="6960E3FC" w14:textId="77777777" w:rsidR="00F1267F" w:rsidRDefault="00F1267F" w:rsidP="00F1267F">
      <w:pPr>
        <w:pStyle w:val="LagPararubrik"/>
      </w:pPr>
      <w:r>
        <w:t>Förfarande</w:t>
      </w:r>
    </w:p>
    <w:p w14:paraId="45173342" w14:textId="77777777" w:rsidR="00F1267F" w:rsidRDefault="00F1267F" w:rsidP="00F1267F">
      <w:pPr>
        <w:pStyle w:val="ANormal"/>
      </w:pPr>
      <w:r>
        <w:tab/>
        <w:t>Tilläggsavdrag ska begäras innan beskattningen har slutförts. Den skattskyldige ska ge en tillräcklig redogörelse för att villkoren för beviljande av avdraget uppfylls och för de fakturor för underentreprenad som används som grund för beräkning av avdraget.</w:t>
      </w:r>
    </w:p>
    <w:p w14:paraId="2616365B" w14:textId="77777777" w:rsidR="00F1267F" w:rsidRDefault="00F1267F" w:rsidP="00F1267F">
      <w:pPr>
        <w:pStyle w:val="ANormal"/>
      </w:pPr>
      <w:r>
        <w:tab/>
        <w:t>I övrigt tillämpas lagen om beskattningsförfarande (1558/1995) på tilläggsavdraget.</w:t>
      </w:r>
    </w:p>
    <w:p w14:paraId="3D30108F" w14:textId="77777777" w:rsidR="00F1267F" w:rsidRDefault="00F1267F" w:rsidP="00F1267F">
      <w:pPr>
        <w:pStyle w:val="ANormal"/>
      </w:pPr>
    </w:p>
    <w:p w14:paraId="77F80D12" w14:textId="33C762EB" w:rsidR="00F1267F" w:rsidRDefault="00F1267F" w:rsidP="00F1267F">
      <w:pPr>
        <w:pStyle w:val="LagParagraf"/>
      </w:pPr>
      <w:r>
        <w:t>6</w:t>
      </w:r>
      <w:r w:rsidR="00740664">
        <w:t> §</w:t>
      </w:r>
    </w:p>
    <w:p w14:paraId="021A648D" w14:textId="77777777" w:rsidR="00F1267F" w:rsidRDefault="00F1267F" w:rsidP="00F1267F">
      <w:pPr>
        <w:pStyle w:val="LagPararubrik"/>
      </w:pPr>
      <w:r>
        <w:t>Ikraftträdande</w:t>
      </w:r>
    </w:p>
    <w:p w14:paraId="4990362F" w14:textId="77777777" w:rsidR="00F1267F" w:rsidRDefault="00F1267F" w:rsidP="00F1267F">
      <w:pPr>
        <w:pStyle w:val="ANormal"/>
      </w:pPr>
      <w:r>
        <w:tab/>
        <w:t>Denna lag träder i kraft den 1 januari 2021 och gäller till och med den 31 december 2025.</w:t>
      </w:r>
    </w:p>
    <w:p w14:paraId="3C7B956C" w14:textId="77777777" w:rsidR="00F1267F" w:rsidRDefault="00F1267F" w:rsidP="00F1267F">
      <w:pPr>
        <w:pStyle w:val="ANormal"/>
      </w:pPr>
      <w:r>
        <w:tab/>
        <w:t>Lagen tillämpas vid beskattningen för skatteåren 2021–2025.</w:t>
      </w:r>
    </w:p>
    <w:p w14:paraId="6C2033BD" w14:textId="14A6E2EF" w:rsidR="00F1267F" w:rsidRDefault="00F1267F" w:rsidP="00F1267F">
      <w:pPr>
        <w:pStyle w:val="ANormal"/>
      </w:pPr>
      <w:r>
        <w:tab/>
        <w:t>Denna lag tillämpas inte på sådana i 3</w:t>
      </w:r>
      <w:r w:rsidR="00740664">
        <w:t> §</w:t>
      </w:r>
      <w:r>
        <w:t xml:space="preserve"> avsedda projekt inom forsknings- och utvecklingsverksamheten som har inletts före lagens ikraftträdande. Ett projekt anses ha inletts vid den tidpunkt då avtalet om projektet undertecknas. </w:t>
      </w:r>
    </w:p>
    <w:p w14:paraId="2A6DBBE5" w14:textId="77777777" w:rsidR="00F1267F" w:rsidRDefault="00F1267F" w:rsidP="00F1267F">
      <w:pPr>
        <w:pStyle w:val="ANormal"/>
      </w:pPr>
    </w:p>
    <w:p w14:paraId="5950B3C3" w14:textId="30B73DB4" w:rsidR="00F1267F" w:rsidRDefault="00F1267F">
      <w:pPr>
        <w:rPr>
          <w:sz w:val="22"/>
          <w:szCs w:val="20"/>
          <w:lang w:val="sv-SE"/>
        </w:rPr>
      </w:pPr>
      <w:r>
        <w:br w:type="page"/>
      </w:r>
    </w:p>
    <w:p w14:paraId="127B0AAC" w14:textId="15552913" w:rsidR="00C118B4" w:rsidRDefault="00C118B4" w:rsidP="00C118B4">
      <w:pPr>
        <w:pStyle w:val="RubrikA"/>
      </w:pPr>
      <w:bookmarkStart w:id="29" w:name="_Toc65663776"/>
      <w:r>
        <w:lastRenderedPageBreak/>
        <w:t>Bilaga: FFS 825/1986</w:t>
      </w:r>
      <w:bookmarkEnd w:id="29"/>
    </w:p>
    <w:p w14:paraId="7F158767" w14:textId="77777777" w:rsidR="00C118B4" w:rsidRPr="00C118B4" w:rsidRDefault="00C118B4" w:rsidP="00C118B4">
      <w:pPr>
        <w:pStyle w:val="Rubrikmellanrum"/>
      </w:pPr>
    </w:p>
    <w:p w14:paraId="3035D8F8" w14:textId="77777777" w:rsidR="00C118B4" w:rsidRPr="001636E0" w:rsidRDefault="00C118B4" w:rsidP="001636E0">
      <w:pPr>
        <w:pStyle w:val="ANormal"/>
      </w:pPr>
    </w:p>
    <w:p w14:paraId="778F62A9" w14:textId="77777777" w:rsidR="00B37FFA" w:rsidRDefault="00B37FFA" w:rsidP="00B37FFA">
      <w:pPr>
        <w:pStyle w:val="LagHuvRubr"/>
      </w:pPr>
      <w:bookmarkStart w:id="30" w:name="_Toc65663777"/>
      <w:r>
        <w:t>Lag om koncernbidrag vid beskattningen</w:t>
      </w:r>
      <w:bookmarkEnd w:id="30"/>
    </w:p>
    <w:p w14:paraId="009DA05A" w14:textId="77777777" w:rsidR="00B37FFA" w:rsidRDefault="00B37FFA" w:rsidP="00B37FFA">
      <w:pPr>
        <w:pStyle w:val="ANormal"/>
      </w:pPr>
    </w:p>
    <w:p w14:paraId="3A1D49A7" w14:textId="4160F648" w:rsidR="00B37FFA" w:rsidRDefault="00B37FFA" w:rsidP="00B37FFA">
      <w:pPr>
        <w:pStyle w:val="ANormal"/>
      </w:pPr>
      <w:r>
        <w:tab/>
        <w:t>I enlighet med riksdagens beslut stadgas:</w:t>
      </w:r>
    </w:p>
    <w:p w14:paraId="109F64E9" w14:textId="77777777" w:rsidR="00B37FFA" w:rsidRDefault="00B37FFA" w:rsidP="00B37FFA">
      <w:pPr>
        <w:pStyle w:val="ANormal"/>
      </w:pPr>
    </w:p>
    <w:p w14:paraId="4DEF0A66" w14:textId="39DE50E3" w:rsidR="00B37FFA" w:rsidRDefault="00B37FFA" w:rsidP="00B37FFA">
      <w:pPr>
        <w:pStyle w:val="LagParagraf"/>
      </w:pPr>
      <w:r>
        <w:t>1</w:t>
      </w:r>
      <w:r w:rsidR="00740664">
        <w:t> §</w:t>
      </w:r>
    </w:p>
    <w:p w14:paraId="666EB708" w14:textId="6D8FDE8A" w:rsidR="00B37FFA" w:rsidRDefault="00B37FFA" w:rsidP="00B37FFA">
      <w:pPr>
        <w:pStyle w:val="ANormal"/>
      </w:pPr>
      <w:r>
        <w:tab/>
        <w:t>I denna lag stadgas om hur koncernbidrag vid beskattningen skall dras av från givarens inkomster och hänföras till mottagarens inkomster.</w:t>
      </w:r>
    </w:p>
    <w:p w14:paraId="40708ECA" w14:textId="77777777" w:rsidR="00B37FFA" w:rsidRDefault="00B37FFA" w:rsidP="00B37FFA">
      <w:pPr>
        <w:pStyle w:val="ANormal"/>
      </w:pPr>
    </w:p>
    <w:p w14:paraId="3922AFE7" w14:textId="327343B4" w:rsidR="00B37FFA" w:rsidRDefault="00B37FFA" w:rsidP="00B37FFA">
      <w:pPr>
        <w:pStyle w:val="LagParagraf"/>
      </w:pPr>
      <w:r>
        <w:t>2</w:t>
      </w:r>
      <w:r w:rsidR="00740664">
        <w:t> §</w:t>
      </w:r>
    </w:p>
    <w:p w14:paraId="02C30691" w14:textId="14CE8D57" w:rsidR="00B37FFA" w:rsidRDefault="00B37FFA" w:rsidP="00B37FFA">
      <w:pPr>
        <w:pStyle w:val="ANormal"/>
      </w:pPr>
      <w:r>
        <w:tab/>
        <w:t xml:space="preserve">Ett aktiebolag eller </w:t>
      </w:r>
      <w:proofErr w:type="gramStart"/>
      <w:r>
        <w:t>ett andelslag</w:t>
      </w:r>
      <w:proofErr w:type="gramEnd"/>
      <w:r>
        <w:t xml:space="preserve"> får ge ett annat aktiebolag eller andelslag koncernbidrag, om lagen om beskattning av inkomst av näringsverksamhet (360/1968) tillämpas på beskattningen av såväl givaren som mottagaren. Med koncernbidrag avses annat bidrag än kapitalplacering som inte enligt lagen om beskattning av inkomst av näringsverksamhet får avdras från inkomsten.</w:t>
      </w:r>
    </w:p>
    <w:p w14:paraId="31400F52" w14:textId="73D7DC4D" w:rsidR="00B37FFA" w:rsidRDefault="00B37FFA" w:rsidP="00B37FFA">
      <w:pPr>
        <w:pStyle w:val="ANormal"/>
      </w:pPr>
      <w:r>
        <w:tab/>
        <w:t>Vad som i 1</w:t>
      </w:r>
      <w:r w:rsidR="00740664">
        <w:t> mom.</w:t>
      </w:r>
      <w:r>
        <w:t xml:space="preserve"> föreskrivs om aktiebolag och andelslag tillämpas också på sådana i 9</w:t>
      </w:r>
      <w:r w:rsidR="00740664">
        <w:t> §</w:t>
      </w:r>
      <w:r>
        <w:t xml:space="preserve"> 1</w:t>
      </w:r>
      <w:r w:rsidR="00740664">
        <w:t> mom.</w:t>
      </w:r>
      <w:r>
        <w:t xml:space="preserve"> 1</w:t>
      </w:r>
      <w:r w:rsidR="00740664">
        <w:t> punkt</w:t>
      </w:r>
      <w:r>
        <w:t>en i inkomstskattelagen (1535/1992) avsedda allmänt skattskyldiga utländska samfund som jämställs med sådana aktiebolag eller andelslag som avses i 3</w:t>
      </w:r>
      <w:r w:rsidR="00740664">
        <w:t> §</w:t>
      </w:r>
      <w:r>
        <w:t xml:space="preserve"> 4</w:t>
      </w:r>
      <w:r w:rsidR="00740664">
        <w:t> punkt</w:t>
      </w:r>
      <w:r>
        <w:t>en i den lagen.</w:t>
      </w:r>
    </w:p>
    <w:p w14:paraId="19BA78EA" w14:textId="77777777" w:rsidR="00B37FFA" w:rsidRDefault="00B37FFA" w:rsidP="00B37FFA">
      <w:pPr>
        <w:pStyle w:val="ANormal"/>
      </w:pPr>
    </w:p>
    <w:p w14:paraId="21BD6E3E" w14:textId="014FD8BC" w:rsidR="00B37FFA" w:rsidRDefault="00B37FFA" w:rsidP="00B37FFA">
      <w:pPr>
        <w:pStyle w:val="LagParagraf"/>
      </w:pPr>
      <w:r>
        <w:t>3</w:t>
      </w:r>
      <w:r w:rsidR="00740664">
        <w:t> §</w:t>
      </w:r>
    </w:p>
    <w:p w14:paraId="247DBE53" w14:textId="22B6B5C2" w:rsidR="00B37FFA" w:rsidRDefault="00B37FFA" w:rsidP="00B37FFA">
      <w:pPr>
        <w:pStyle w:val="ANormal"/>
      </w:pPr>
      <w:r>
        <w:tab/>
        <w:t xml:space="preserve">Om ett inhemskt aktiebolag eller andelslag (modersamfund) äger minst nio tiondedelar av aktiekapitalet i ett annat inhemskt aktiebolag eller av andelarna i </w:t>
      </w:r>
      <w:proofErr w:type="gramStart"/>
      <w:r>
        <w:t>ett annat inhemskt andelslag</w:t>
      </w:r>
      <w:proofErr w:type="gramEnd"/>
      <w:r>
        <w:t xml:space="preserve"> (dottersamfund), får modersamfundet från sin skattepliktiga näringsinkomst dra av ett koncernbidrag som har betalts till dottersamfundet. Det betalda koncernbidraget betraktas som skattepliktig näringsinkomst för dottersamfundet.</w:t>
      </w:r>
    </w:p>
    <w:p w14:paraId="06FB2A3B" w14:textId="3AA158D3" w:rsidR="00B37FFA" w:rsidRDefault="00B37FFA" w:rsidP="00B37FFA">
      <w:pPr>
        <w:pStyle w:val="ANormal"/>
      </w:pPr>
      <w:r>
        <w:tab/>
        <w:t>Som dottersamfund betraktas även ett aktiebolag eller andelslag i vilket modersamfundet tillsammans med ett eller flera av sina dottersamfund äger minst nio tiondedelar av aktiekapitalet respektive andelarna.</w:t>
      </w:r>
    </w:p>
    <w:p w14:paraId="65166868" w14:textId="377BFCB5" w:rsidR="00B37FFA" w:rsidRDefault="00B37FFA" w:rsidP="00B37FFA">
      <w:pPr>
        <w:pStyle w:val="ANormal"/>
      </w:pPr>
      <w:r>
        <w:tab/>
        <w:t>Vad som stadgas i 1</w:t>
      </w:r>
      <w:r w:rsidR="00740664">
        <w:t> mom.</w:t>
      </w:r>
      <w:r>
        <w:t xml:space="preserve"> skall på motsvarande sätt tillämpas på koncernbidrag som ett dottersamfund betalt till sitt modersamfund eller till ett annat av modersamfundets dottersamfund.</w:t>
      </w:r>
    </w:p>
    <w:p w14:paraId="27B05572" w14:textId="77777777" w:rsidR="00B37FFA" w:rsidRDefault="00B37FFA" w:rsidP="00B37FFA">
      <w:pPr>
        <w:pStyle w:val="ANormal"/>
      </w:pPr>
    </w:p>
    <w:p w14:paraId="32CAACF7" w14:textId="2DC46767" w:rsidR="00B37FFA" w:rsidRDefault="00B37FFA" w:rsidP="00B37FFA">
      <w:pPr>
        <w:pStyle w:val="LagParagraf"/>
      </w:pPr>
      <w:r>
        <w:t>4</w:t>
      </w:r>
      <w:r w:rsidR="00740664">
        <w:t> §</w:t>
      </w:r>
    </w:p>
    <w:p w14:paraId="245A3C33" w14:textId="61C90E70" w:rsidR="00B37FFA" w:rsidRDefault="00B37FFA" w:rsidP="00B37FFA">
      <w:pPr>
        <w:pStyle w:val="ANormal"/>
      </w:pPr>
      <w:r>
        <w:tab/>
        <w:t>Ett koncernbidrag anses vid beskattningen utgöra kostnad för givaren och intäkt för mottagaren under det skatteår, under vilket bidraget har betalts.</w:t>
      </w:r>
    </w:p>
    <w:p w14:paraId="34C43A68" w14:textId="77777777" w:rsidR="00B37FFA" w:rsidRDefault="00B37FFA" w:rsidP="00B37FFA">
      <w:pPr>
        <w:pStyle w:val="ANormal"/>
      </w:pPr>
    </w:p>
    <w:p w14:paraId="6701855D" w14:textId="6F78D963" w:rsidR="00B37FFA" w:rsidRDefault="00B37FFA" w:rsidP="00B37FFA">
      <w:pPr>
        <w:pStyle w:val="LagParagraf"/>
      </w:pPr>
      <w:r>
        <w:t>5</w:t>
      </w:r>
      <w:r w:rsidR="00740664">
        <w:t> §</w:t>
      </w:r>
    </w:p>
    <w:p w14:paraId="40663BF8" w14:textId="793BBD18" w:rsidR="00B37FFA" w:rsidRDefault="00B37FFA" w:rsidP="00B37FFA">
      <w:pPr>
        <w:pStyle w:val="ANormal"/>
      </w:pPr>
      <w:r>
        <w:tab/>
        <w:t>Den skattskyldige har rätt att avdra koncernbidraget såsom kostnad endast om överensstämmande utgifts- och inkomstregistreringar har gjorts i givarens och mottagarens bokföring.</w:t>
      </w:r>
    </w:p>
    <w:p w14:paraId="2D176440" w14:textId="77777777" w:rsidR="00B37FFA" w:rsidRDefault="00B37FFA" w:rsidP="00B37FFA">
      <w:pPr>
        <w:pStyle w:val="ANormal"/>
      </w:pPr>
    </w:p>
    <w:p w14:paraId="756DA5D7" w14:textId="39BDF15F" w:rsidR="00B37FFA" w:rsidRDefault="00B37FFA" w:rsidP="00B37FFA">
      <w:pPr>
        <w:pStyle w:val="LagParagraf"/>
      </w:pPr>
      <w:r>
        <w:t>6</w:t>
      </w:r>
      <w:r w:rsidR="00740664">
        <w:t> §</w:t>
      </w:r>
    </w:p>
    <w:p w14:paraId="0A802AF6" w14:textId="305791D6" w:rsidR="00B37FFA" w:rsidRDefault="00B37FFA" w:rsidP="00B37FFA">
      <w:pPr>
        <w:pStyle w:val="ANormal"/>
      </w:pPr>
      <w:r>
        <w:tab/>
        <w:t>Ett koncernbidrag får inte överstiga näringsverksamhetens resultat före avdrag för koncernbidraget.</w:t>
      </w:r>
    </w:p>
    <w:p w14:paraId="6F8EB903" w14:textId="77777777" w:rsidR="00B37FFA" w:rsidRDefault="00B37FFA" w:rsidP="00B37FFA">
      <w:pPr>
        <w:pStyle w:val="ANormal"/>
      </w:pPr>
    </w:p>
    <w:p w14:paraId="1674CE74" w14:textId="57253DCF" w:rsidR="00B37FFA" w:rsidRDefault="00B37FFA" w:rsidP="00B37FFA">
      <w:pPr>
        <w:pStyle w:val="LagParagraf"/>
      </w:pPr>
      <w:r>
        <w:t>7</w:t>
      </w:r>
      <w:r w:rsidR="00740664">
        <w:t> §</w:t>
      </w:r>
    </w:p>
    <w:p w14:paraId="1A210744" w14:textId="515CA8D1" w:rsidR="00B37FFA" w:rsidRDefault="00B37FFA" w:rsidP="00B37FFA">
      <w:pPr>
        <w:pStyle w:val="ANormal"/>
      </w:pPr>
      <w:r>
        <w:tab/>
        <w:t>För att ett bidrag skall behandlas som koncernbidrag förutsätts det dessutom</w:t>
      </w:r>
    </w:p>
    <w:p w14:paraId="7C01D394" w14:textId="6C0A8608" w:rsidR="00B37FFA" w:rsidRDefault="00B37FFA" w:rsidP="00B37FFA">
      <w:pPr>
        <w:pStyle w:val="ANormal"/>
      </w:pPr>
      <w:r>
        <w:tab/>
        <w:t>1) att det koncernförhållande mellan givaren och mottagaren som nämns i 3</w:t>
      </w:r>
      <w:r w:rsidR="00740664">
        <w:t> §</w:t>
      </w:r>
      <w:r>
        <w:t xml:space="preserve"> har fortgått hela skatteåret,</w:t>
      </w:r>
    </w:p>
    <w:p w14:paraId="6D1EE082" w14:textId="77777777" w:rsidR="00B37FFA" w:rsidRDefault="00B37FFA" w:rsidP="00B37FFA">
      <w:pPr>
        <w:pStyle w:val="ANormal"/>
      </w:pPr>
    </w:p>
    <w:p w14:paraId="5497BA4F" w14:textId="3B5336F8" w:rsidR="00B37FFA" w:rsidRDefault="00B37FFA" w:rsidP="00B37FFA">
      <w:pPr>
        <w:pStyle w:val="ANormal"/>
      </w:pPr>
      <w:r>
        <w:lastRenderedPageBreak/>
        <w:tab/>
        <w:t>2) att både givarens och mottagarens räkenskapsperioder utgår samtidigt, om inte bokföringsnämnden beviljat undantag enligt 11</w:t>
      </w:r>
      <w:r w:rsidR="00740664">
        <w:t> kap.</w:t>
      </w:r>
      <w:r>
        <w:t xml:space="preserve"> 10</w:t>
      </w:r>
      <w:r w:rsidR="00740664">
        <w:t> §</w:t>
      </w:r>
      <w:r>
        <w:t xml:space="preserve"> lagen om aktiebolag (734/78), och</w:t>
      </w:r>
    </w:p>
    <w:p w14:paraId="55921870" w14:textId="1F5E9C1A" w:rsidR="00B37FFA" w:rsidRDefault="00B37FFA" w:rsidP="00B37FFA">
      <w:pPr>
        <w:pStyle w:val="ANormal"/>
      </w:pPr>
      <w:r>
        <w:tab/>
        <w:t xml:space="preserve">3) att varken givaren eller mottagaren är en depositionsbank, ett kreditinstitut eller en försäkrings- eller pensionsanstalt som avses i lagen om beskattning av inkomst av näringsverksamhet. </w:t>
      </w:r>
    </w:p>
    <w:p w14:paraId="4FF02C9C" w14:textId="0C72D8C2" w:rsidR="00B37FFA" w:rsidRDefault="00B37FFA" w:rsidP="00B37FFA">
      <w:pPr>
        <w:pStyle w:val="ANormal"/>
      </w:pPr>
      <w:r>
        <w:tab/>
        <w:t>Vid tillämpningen av 1</w:t>
      </w:r>
      <w:r w:rsidR="00740664">
        <w:t> mom.</w:t>
      </w:r>
      <w:r>
        <w:t xml:space="preserve"> 1</w:t>
      </w:r>
      <w:r w:rsidR="00740664">
        <w:t> punkt</w:t>
      </w:r>
      <w:r>
        <w:t>en i en sådan situation som avses i 2</w:t>
      </w:r>
      <w:r w:rsidR="00740664">
        <w:t> §</w:t>
      </w:r>
      <w:r>
        <w:t xml:space="preserve"> 2</w:t>
      </w:r>
      <w:r w:rsidR="00740664">
        <w:t> mom.</w:t>
      </w:r>
      <w:r>
        <w:t xml:space="preserve"> anses koncernförhållandet ha existerat endast under den tid då det utländska samfundet har varit allmänt skattskyldigt i Finland.</w:t>
      </w:r>
    </w:p>
    <w:p w14:paraId="5E204F92" w14:textId="77777777" w:rsidR="00B37FFA" w:rsidRDefault="00B37FFA" w:rsidP="00B37FFA">
      <w:pPr>
        <w:pStyle w:val="ANormal"/>
      </w:pPr>
    </w:p>
    <w:p w14:paraId="18997EE4" w14:textId="6CEE90B5" w:rsidR="00B37FFA" w:rsidRDefault="00B37FFA" w:rsidP="00B37FFA">
      <w:pPr>
        <w:pStyle w:val="LagParagraf"/>
      </w:pPr>
      <w:r>
        <w:t>8</w:t>
      </w:r>
      <w:r w:rsidR="00740664">
        <w:t> §</w:t>
      </w:r>
    </w:p>
    <w:p w14:paraId="53A5A50D" w14:textId="5BDD3319" w:rsidR="00B37FFA" w:rsidRDefault="00B37FFA" w:rsidP="00B37FFA">
      <w:pPr>
        <w:pStyle w:val="ANormal"/>
      </w:pPr>
      <w:r>
        <w:tab/>
        <w:t>Denna lag träder i kraft den i januari 1987.</w:t>
      </w:r>
    </w:p>
    <w:p w14:paraId="083B4A1C" w14:textId="205674D6" w:rsidR="00B37FFA" w:rsidRDefault="00B37FFA" w:rsidP="00B37FFA">
      <w:pPr>
        <w:pStyle w:val="ANormal"/>
      </w:pPr>
      <w:r>
        <w:tab/>
        <w:t>Lagen tillämpas första gången vid beskattningen för år 1987.</w:t>
      </w:r>
    </w:p>
    <w:p w14:paraId="2FCCF13D" w14:textId="644F6D2D" w:rsidR="000058DF" w:rsidRDefault="000058DF" w:rsidP="00B37FFA">
      <w:pPr>
        <w:pStyle w:val="ANormal"/>
      </w:pPr>
    </w:p>
    <w:p w14:paraId="561C4424" w14:textId="156F0F65" w:rsidR="000058DF" w:rsidRDefault="000058DF">
      <w:pPr>
        <w:rPr>
          <w:sz w:val="22"/>
          <w:szCs w:val="20"/>
          <w:lang w:val="sv-SE"/>
        </w:rPr>
      </w:pPr>
      <w:r>
        <w:br w:type="page"/>
      </w:r>
    </w:p>
    <w:p w14:paraId="60AE41E6" w14:textId="46683D3C" w:rsidR="000058DF" w:rsidRDefault="000058DF" w:rsidP="000058DF">
      <w:pPr>
        <w:pStyle w:val="RubrikA"/>
      </w:pPr>
      <w:bookmarkStart w:id="31" w:name="_Toc65663778"/>
      <w:r>
        <w:lastRenderedPageBreak/>
        <w:t>Parallelltexter</w:t>
      </w:r>
      <w:bookmarkEnd w:id="31"/>
    </w:p>
    <w:p w14:paraId="2801EE6E" w14:textId="6D24BE4F" w:rsidR="000058DF" w:rsidRDefault="000058DF" w:rsidP="000058DF">
      <w:pPr>
        <w:pStyle w:val="Rubrikmellanrum"/>
      </w:pPr>
    </w:p>
    <w:p w14:paraId="35A5E06D" w14:textId="471C06B1" w:rsidR="000058DF" w:rsidRPr="000058DF" w:rsidRDefault="000058DF" w:rsidP="000058DF">
      <w:pPr>
        <w:pStyle w:val="ArendeUnderRubrik"/>
      </w:pPr>
      <w:r>
        <w:t xml:space="preserve">Parallelltexter till landskapsregeringens lagförslag nr </w:t>
      </w:r>
      <w:r w:rsidR="00C8370B">
        <w:t>15</w:t>
      </w:r>
      <w:r>
        <w:t>/</w:t>
      </w:r>
      <w:proofErr w:type="gramStart"/>
      <w:r>
        <w:t>2020-2021</w:t>
      </w:r>
      <w:proofErr w:type="gramEnd"/>
    </w:p>
    <w:sectPr w:rsidR="000058DF" w:rsidRPr="000058DF">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0453" w14:textId="77777777" w:rsidR="00740664" w:rsidRDefault="00740664">
      <w:r>
        <w:separator/>
      </w:r>
    </w:p>
  </w:endnote>
  <w:endnote w:type="continuationSeparator" w:id="0">
    <w:p w14:paraId="094C47C6" w14:textId="77777777" w:rsidR="00740664" w:rsidRDefault="0074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B4E4" w14:textId="77777777" w:rsidR="00740664" w:rsidRDefault="0074066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1FDF" w14:textId="68BAEC34" w:rsidR="00740664" w:rsidRDefault="00740664">
    <w:pPr>
      <w:pStyle w:val="Sidfot"/>
      <w:rPr>
        <w:lang w:val="fi-FI"/>
      </w:rPr>
    </w:pPr>
    <w:r>
      <w:t>LF</w:t>
    </w:r>
    <w:r w:rsidR="00C8370B">
      <w:t>15</w:t>
    </w:r>
    <w: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FA0" w14:textId="77777777" w:rsidR="00740664" w:rsidRDefault="007406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074EB" w14:textId="77777777" w:rsidR="00740664" w:rsidRDefault="00740664">
      <w:r>
        <w:separator/>
      </w:r>
    </w:p>
  </w:footnote>
  <w:footnote w:type="continuationSeparator" w:id="0">
    <w:p w14:paraId="593B781C" w14:textId="77777777" w:rsidR="00740664" w:rsidRDefault="0074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0548" w14:textId="77777777" w:rsidR="00740664" w:rsidRDefault="0074066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5ED76ED9" w14:textId="77777777" w:rsidR="00740664" w:rsidRDefault="007406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C10E" w14:textId="77777777" w:rsidR="00740664" w:rsidRDefault="0074066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C05196"/>
    <w:multiLevelType w:val="hybridMultilevel"/>
    <w:tmpl w:val="5C8A8B4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547B6"/>
    <w:multiLevelType w:val="hybridMultilevel"/>
    <w:tmpl w:val="9F3C4CB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C2"/>
    <w:rsid w:val="0000010E"/>
    <w:rsid w:val="000058DF"/>
    <w:rsid w:val="00011109"/>
    <w:rsid w:val="00012CA3"/>
    <w:rsid w:val="000139CE"/>
    <w:rsid w:val="000143B5"/>
    <w:rsid w:val="000245D0"/>
    <w:rsid w:val="00037A58"/>
    <w:rsid w:val="00047839"/>
    <w:rsid w:val="00060461"/>
    <w:rsid w:val="00062957"/>
    <w:rsid w:val="00077059"/>
    <w:rsid w:val="00093907"/>
    <w:rsid w:val="0009767F"/>
    <w:rsid w:val="000D067E"/>
    <w:rsid w:val="000E62D7"/>
    <w:rsid w:val="000E770C"/>
    <w:rsid w:val="000F59B6"/>
    <w:rsid w:val="001115C1"/>
    <w:rsid w:val="00126721"/>
    <w:rsid w:val="00133195"/>
    <w:rsid w:val="001439F7"/>
    <w:rsid w:val="00147B30"/>
    <w:rsid w:val="00150B71"/>
    <w:rsid w:val="00154DDB"/>
    <w:rsid w:val="001617C2"/>
    <w:rsid w:val="001636E0"/>
    <w:rsid w:val="00177584"/>
    <w:rsid w:val="001865D1"/>
    <w:rsid w:val="001A7641"/>
    <w:rsid w:val="001C6E5E"/>
    <w:rsid w:val="001D205B"/>
    <w:rsid w:val="001E185A"/>
    <w:rsid w:val="001E4CC1"/>
    <w:rsid w:val="001F279B"/>
    <w:rsid w:val="001F2FBC"/>
    <w:rsid w:val="001F5E2B"/>
    <w:rsid w:val="001F7A05"/>
    <w:rsid w:val="00202894"/>
    <w:rsid w:val="002061FD"/>
    <w:rsid w:val="00212A12"/>
    <w:rsid w:val="00214F2F"/>
    <w:rsid w:val="0021647E"/>
    <w:rsid w:val="00227078"/>
    <w:rsid w:val="00231BB7"/>
    <w:rsid w:val="002332AB"/>
    <w:rsid w:val="00235D9A"/>
    <w:rsid w:val="00236C5C"/>
    <w:rsid w:val="00256D1A"/>
    <w:rsid w:val="0026543E"/>
    <w:rsid w:val="0026746A"/>
    <w:rsid w:val="0027480B"/>
    <w:rsid w:val="00275BC2"/>
    <w:rsid w:val="002C48AE"/>
    <w:rsid w:val="002C687F"/>
    <w:rsid w:val="002D1CC1"/>
    <w:rsid w:val="002F12DC"/>
    <w:rsid w:val="002F23F8"/>
    <w:rsid w:val="00306CAF"/>
    <w:rsid w:val="003102BD"/>
    <w:rsid w:val="0033176F"/>
    <w:rsid w:val="00342FC4"/>
    <w:rsid w:val="003541A2"/>
    <w:rsid w:val="00360815"/>
    <w:rsid w:val="00361550"/>
    <w:rsid w:val="00364B50"/>
    <w:rsid w:val="003760D2"/>
    <w:rsid w:val="00380693"/>
    <w:rsid w:val="0038328E"/>
    <w:rsid w:val="003940B9"/>
    <w:rsid w:val="00394271"/>
    <w:rsid w:val="003A4C1D"/>
    <w:rsid w:val="003C17CD"/>
    <w:rsid w:val="003C6489"/>
    <w:rsid w:val="003C7CAA"/>
    <w:rsid w:val="003D1B62"/>
    <w:rsid w:val="003D1C5A"/>
    <w:rsid w:val="003F18DB"/>
    <w:rsid w:val="003F78E4"/>
    <w:rsid w:val="003F7EAA"/>
    <w:rsid w:val="004063B0"/>
    <w:rsid w:val="00421854"/>
    <w:rsid w:val="00422A60"/>
    <w:rsid w:val="00425A31"/>
    <w:rsid w:val="004430BF"/>
    <w:rsid w:val="00446E08"/>
    <w:rsid w:val="004530C5"/>
    <w:rsid w:val="0045600E"/>
    <w:rsid w:val="00460478"/>
    <w:rsid w:val="004634FC"/>
    <w:rsid w:val="00464E03"/>
    <w:rsid w:val="00485CE6"/>
    <w:rsid w:val="0049445A"/>
    <w:rsid w:val="00495B29"/>
    <w:rsid w:val="004A6BA1"/>
    <w:rsid w:val="004D1372"/>
    <w:rsid w:val="004E3C8B"/>
    <w:rsid w:val="004F5E26"/>
    <w:rsid w:val="004F799F"/>
    <w:rsid w:val="00500B72"/>
    <w:rsid w:val="00512B95"/>
    <w:rsid w:val="00515472"/>
    <w:rsid w:val="005204A6"/>
    <w:rsid w:val="00530EB7"/>
    <w:rsid w:val="00533F9B"/>
    <w:rsid w:val="005354B7"/>
    <w:rsid w:val="00544615"/>
    <w:rsid w:val="0055756E"/>
    <w:rsid w:val="0056053A"/>
    <w:rsid w:val="005615A8"/>
    <w:rsid w:val="00562324"/>
    <w:rsid w:val="005706E8"/>
    <w:rsid w:val="00573AC8"/>
    <w:rsid w:val="00576E51"/>
    <w:rsid w:val="00583175"/>
    <w:rsid w:val="00583A82"/>
    <w:rsid w:val="00586F5B"/>
    <w:rsid w:val="005965DF"/>
    <w:rsid w:val="005C0D6B"/>
    <w:rsid w:val="005D12D3"/>
    <w:rsid w:val="005D3911"/>
    <w:rsid w:val="005E18BE"/>
    <w:rsid w:val="005E2CD2"/>
    <w:rsid w:val="005F1DF9"/>
    <w:rsid w:val="0060463D"/>
    <w:rsid w:val="006165D8"/>
    <w:rsid w:val="00621D39"/>
    <w:rsid w:val="00624E4C"/>
    <w:rsid w:val="006332D0"/>
    <w:rsid w:val="00643D9F"/>
    <w:rsid w:val="00674D07"/>
    <w:rsid w:val="00684567"/>
    <w:rsid w:val="006A198B"/>
    <w:rsid w:val="006A1A83"/>
    <w:rsid w:val="006A4F0D"/>
    <w:rsid w:val="006B633C"/>
    <w:rsid w:val="006D56A9"/>
    <w:rsid w:val="006D5E21"/>
    <w:rsid w:val="006E3064"/>
    <w:rsid w:val="006F5046"/>
    <w:rsid w:val="0071419A"/>
    <w:rsid w:val="00714BE3"/>
    <w:rsid w:val="00715586"/>
    <w:rsid w:val="0071740E"/>
    <w:rsid w:val="00722128"/>
    <w:rsid w:val="00735DB9"/>
    <w:rsid w:val="00736E1A"/>
    <w:rsid w:val="00740664"/>
    <w:rsid w:val="00746F47"/>
    <w:rsid w:val="007571C0"/>
    <w:rsid w:val="00761B65"/>
    <w:rsid w:val="00763E00"/>
    <w:rsid w:val="00765712"/>
    <w:rsid w:val="0077184C"/>
    <w:rsid w:val="00786E06"/>
    <w:rsid w:val="00797B28"/>
    <w:rsid w:val="007A18B3"/>
    <w:rsid w:val="007A376F"/>
    <w:rsid w:val="007A5864"/>
    <w:rsid w:val="007C79AA"/>
    <w:rsid w:val="007D3E0D"/>
    <w:rsid w:val="007D7F9A"/>
    <w:rsid w:val="007E23FD"/>
    <w:rsid w:val="007E6F75"/>
    <w:rsid w:val="007F1FEB"/>
    <w:rsid w:val="007F7F46"/>
    <w:rsid w:val="00810CA6"/>
    <w:rsid w:val="008113F2"/>
    <w:rsid w:val="00814B4D"/>
    <w:rsid w:val="008236C0"/>
    <w:rsid w:val="00830F2D"/>
    <w:rsid w:val="00833EAF"/>
    <w:rsid w:val="00834974"/>
    <w:rsid w:val="008406D2"/>
    <w:rsid w:val="008450DA"/>
    <w:rsid w:val="0084625F"/>
    <w:rsid w:val="00872C2B"/>
    <w:rsid w:val="00890BBE"/>
    <w:rsid w:val="008A29A1"/>
    <w:rsid w:val="008A6005"/>
    <w:rsid w:val="008A6551"/>
    <w:rsid w:val="008B5416"/>
    <w:rsid w:val="008D2FA8"/>
    <w:rsid w:val="008F47FD"/>
    <w:rsid w:val="00902BF6"/>
    <w:rsid w:val="0090367D"/>
    <w:rsid w:val="00906C18"/>
    <w:rsid w:val="00911A03"/>
    <w:rsid w:val="00914246"/>
    <w:rsid w:val="00916370"/>
    <w:rsid w:val="00923894"/>
    <w:rsid w:val="009265D2"/>
    <w:rsid w:val="009633A3"/>
    <w:rsid w:val="009639F0"/>
    <w:rsid w:val="00967B7E"/>
    <w:rsid w:val="009800B0"/>
    <w:rsid w:val="00981A0D"/>
    <w:rsid w:val="0098221D"/>
    <w:rsid w:val="00987710"/>
    <w:rsid w:val="0099142A"/>
    <w:rsid w:val="009A31CE"/>
    <w:rsid w:val="009A3F95"/>
    <w:rsid w:val="009A6A09"/>
    <w:rsid w:val="009B09F8"/>
    <w:rsid w:val="009B41C3"/>
    <w:rsid w:val="009B4A90"/>
    <w:rsid w:val="009B5846"/>
    <w:rsid w:val="009C20AE"/>
    <w:rsid w:val="009C6AAA"/>
    <w:rsid w:val="009C7847"/>
    <w:rsid w:val="009D1072"/>
    <w:rsid w:val="009D5FF1"/>
    <w:rsid w:val="009E203C"/>
    <w:rsid w:val="009E48D6"/>
    <w:rsid w:val="00A04462"/>
    <w:rsid w:val="00A07934"/>
    <w:rsid w:val="00A16104"/>
    <w:rsid w:val="00A25021"/>
    <w:rsid w:val="00A259B4"/>
    <w:rsid w:val="00A32351"/>
    <w:rsid w:val="00A44403"/>
    <w:rsid w:val="00A567C9"/>
    <w:rsid w:val="00A77D18"/>
    <w:rsid w:val="00A83942"/>
    <w:rsid w:val="00A853BC"/>
    <w:rsid w:val="00A95A42"/>
    <w:rsid w:val="00AA42C2"/>
    <w:rsid w:val="00AA624A"/>
    <w:rsid w:val="00AB228E"/>
    <w:rsid w:val="00AB73B5"/>
    <w:rsid w:val="00AC4526"/>
    <w:rsid w:val="00AE06A1"/>
    <w:rsid w:val="00AE7446"/>
    <w:rsid w:val="00AF3004"/>
    <w:rsid w:val="00B062FC"/>
    <w:rsid w:val="00B11044"/>
    <w:rsid w:val="00B1315C"/>
    <w:rsid w:val="00B16625"/>
    <w:rsid w:val="00B236F7"/>
    <w:rsid w:val="00B35A35"/>
    <w:rsid w:val="00B37FFA"/>
    <w:rsid w:val="00B5596E"/>
    <w:rsid w:val="00B571FB"/>
    <w:rsid w:val="00B70F01"/>
    <w:rsid w:val="00B73F5D"/>
    <w:rsid w:val="00B83558"/>
    <w:rsid w:val="00B9287E"/>
    <w:rsid w:val="00B95A13"/>
    <w:rsid w:val="00BB21E1"/>
    <w:rsid w:val="00BB4B04"/>
    <w:rsid w:val="00BB4E0D"/>
    <w:rsid w:val="00BC6C5E"/>
    <w:rsid w:val="00BD5946"/>
    <w:rsid w:val="00BD6E75"/>
    <w:rsid w:val="00C0099E"/>
    <w:rsid w:val="00C025E7"/>
    <w:rsid w:val="00C03CA5"/>
    <w:rsid w:val="00C118B4"/>
    <w:rsid w:val="00C15D41"/>
    <w:rsid w:val="00C211F2"/>
    <w:rsid w:val="00C254F2"/>
    <w:rsid w:val="00C25FA4"/>
    <w:rsid w:val="00C43182"/>
    <w:rsid w:val="00C72269"/>
    <w:rsid w:val="00C72E86"/>
    <w:rsid w:val="00C8370B"/>
    <w:rsid w:val="00C841F7"/>
    <w:rsid w:val="00CA6C11"/>
    <w:rsid w:val="00CB4B0A"/>
    <w:rsid w:val="00CC4FFF"/>
    <w:rsid w:val="00CC58EA"/>
    <w:rsid w:val="00CD200E"/>
    <w:rsid w:val="00CD48CE"/>
    <w:rsid w:val="00CE25F9"/>
    <w:rsid w:val="00CF3241"/>
    <w:rsid w:val="00CF6EBC"/>
    <w:rsid w:val="00D01EC4"/>
    <w:rsid w:val="00D03A76"/>
    <w:rsid w:val="00D10286"/>
    <w:rsid w:val="00D32B63"/>
    <w:rsid w:val="00D34D2B"/>
    <w:rsid w:val="00D41455"/>
    <w:rsid w:val="00D53EC6"/>
    <w:rsid w:val="00D85BCD"/>
    <w:rsid w:val="00D91FF4"/>
    <w:rsid w:val="00D97F18"/>
    <w:rsid w:val="00DA482B"/>
    <w:rsid w:val="00DA70F5"/>
    <w:rsid w:val="00DB29CE"/>
    <w:rsid w:val="00DB382E"/>
    <w:rsid w:val="00DB405C"/>
    <w:rsid w:val="00DD0318"/>
    <w:rsid w:val="00DD5E39"/>
    <w:rsid w:val="00DF4794"/>
    <w:rsid w:val="00DF494A"/>
    <w:rsid w:val="00DF6BFC"/>
    <w:rsid w:val="00E0441F"/>
    <w:rsid w:val="00E06E57"/>
    <w:rsid w:val="00E2562E"/>
    <w:rsid w:val="00E30FCB"/>
    <w:rsid w:val="00E337EF"/>
    <w:rsid w:val="00E41677"/>
    <w:rsid w:val="00E57139"/>
    <w:rsid w:val="00E57218"/>
    <w:rsid w:val="00E622BC"/>
    <w:rsid w:val="00E6265A"/>
    <w:rsid w:val="00E63817"/>
    <w:rsid w:val="00E7294F"/>
    <w:rsid w:val="00E76F5F"/>
    <w:rsid w:val="00E85860"/>
    <w:rsid w:val="00E93984"/>
    <w:rsid w:val="00E946C8"/>
    <w:rsid w:val="00EA2063"/>
    <w:rsid w:val="00EC04A1"/>
    <w:rsid w:val="00EC17DE"/>
    <w:rsid w:val="00ED0D64"/>
    <w:rsid w:val="00ED0F52"/>
    <w:rsid w:val="00ED2410"/>
    <w:rsid w:val="00ED3071"/>
    <w:rsid w:val="00F1267F"/>
    <w:rsid w:val="00F2119D"/>
    <w:rsid w:val="00F25994"/>
    <w:rsid w:val="00F339F5"/>
    <w:rsid w:val="00F477D7"/>
    <w:rsid w:val="00F55C7B"/>
    <w:rsid w:val="00F56BA9"/>
    <w:rsid w:val="00F76072"/>
    <w:rsid w:val="00F80993"/>
    <w:rsid w:val="00F84AAB"/>
    <w:rsid w:val="00FA2EE9"/>
    <w:rsid w:val="00FD6449"/>
    <w:rsid w:val="00FE0D01"/>
    <w:rsid w:val="00FE7FB4"/>
    <w:rsid w:val="00FF07AA"/>
    <w:rsid w:val="00FF29BE"/>
    <w:rsid w:val="00FF75A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AC53F"/>
  <w15:chartTrackingRefBased/>
  <w15:docId w15:val="{60567CC0-7FB9-4A8A-BEFE-E3E4E832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B4"/>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lang w:val="sv-SE"/>
    </w:rPr>
  </w:style>
  <w:style w:type="paragraph" w:styleId="Rubrik4">
    <w:name w:val="heading 4"/>
    <w:basedOn w:val="Normal"/>
    <w:next w:val="Normal"/>
    <w:qFormat/>
    <w:pPr>
      <w:keepNext/>
      <w:numPr>
        <w:ilvl w:val="3"/>
        <w:numId w:val="40"/>
      </w:numPr>
      <w:spacing w:before="240" w:after="60"/>
      <w:outlineLvl w:val="3"/>
    </w:pPr>
    <w:rPr>
      <w:b/>
      <w:bCs/>
      <w:sz w:val="28"/>
      <w:szCs w:val="28"/>
      <w:lang w:val="sv-SE"/>
    </w:rPr>
  </w:style>
  <w:style w:type="paragraph" w:styleId="Rubrik5">
    <w:name w:val="heading 5"/>
    <w:basedOn w:val="Normal"/>
    <w:next w:val="Normal"/>
    <w:qFormat/>
    <w:pPr>
      <w:numPr>
        <w:ilvl w:val="4"/>
        <w:numId w:val="41"/>
      </w:numPr>
      <w:spacing w:before="240" w:after="60"/>
      <w:outlineLvl w:val="4"/>
    </w:pPr>
    <w:rPr>
      <w:b/>
      <w:bCs/>
      <w:i/>
      <w:iCs/>
      <w:sz w:val="26"/>
      <w:szCs w:val="26"/>
      <w:lang w:val="sv-SE"/>
    </w:rPr>
  </w:style>
  <w:style w:type="paragraph" w:styleId="Rubrik6">
    <w:name w:val="heading 6"/>
    <w:basedOn w:val="Normal"/>
    <w:next w:val="Normal"/>
    <w:qFormat/>
    <w:pPr>
      <w:numPr>
        <w:ilvl w:val="5"/>
        <w:numId w:val="42"/>
      </w:numPr>
      <w:spacing w:before="240" w:after="60"/>
      <w:outlineLvl w:val="5"/>
    </w:pPr>
    <w:rPr>
      <w:b/>
      <w:bCs/>
      <w:sz w:val="22"/>
      <w:szCs w:val="22"/>
      <w:lang w:val="sv-SE"/>
    </w:rPr>
  </w:style>
  <w:style w:type="paragraph" w:styleId="Rubrik7">
    <w:name w:val="heading 7"/>
    <w:basedOn w:val="Normal"/>
    <w:next w:val="Normal"/>
    <w:qFormat/>
    <w:pPr>
      <w:numPr>
        <w:ilvl w:val="6"/>
        <w:numId w:val="43"/>
      </w:numPr>
      <w:spacing w:before="240" w:after="60"/>
      <w:outlineLvl w:val="6"/>
    </w:pPr>
    <w:rPr>
      <w:lang w:val="sv-SE"/>
    </w:rPr>
  </w:style>
  <w:style w:type="paragraph" w:styleId="Rubrik8">
    <w:name w:val="heading 8"/>
    <w:basedOn w:val="Normal"/>
    <w:next w:val="Normal"/>
    <w:qFormat/>
    <w:pPr>
      <w:numPr>
        <w:ilvl w:val="7"/>
        <w:numId w:val="44"/>
      </w:numPr>
      <w:spacing w:before="240" w:after="60"/>
      <w:outlineLvl w:val="7"/>
    </w:pPr>
    <w:rPr>
      <w:i/>
      <w:iCs/>
      <w:lang w:val="sv-SE"/>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rPr>
      <w:lang w:val="sv-SE"/>
    </w:rPr>
  </w:style>
  <w:style w:type="paragraph" w:styleId="Brdtextmedindrag">
    <w:name w:val="Body Text Indent"/>
    <w:basedOn w:val="Normal"/>
    <w:semiHidden/>
    <w:pPr>
      <w:spacing w:after="120"/>
      <w:ind w:left="283"/>
    </w:pPr>
    <w:rPr>
      <w:lang w:val="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lang w:val="sv-SE"/>
    </w:rPr>
  </w:style>
  <w:style w:type="paragraph" w:styleId="Sidfot">
    <w:name w:val="footer"/>
    <w:basedOn w:val="Normal"/>
    <w:semiHidden/>
    <w:pPr>
      <w:tabs>
        <w:tab w:val="right" w:pos="8165"/>
      </w:tabs>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lang w:val="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rPr>
      <w:lang w:val="sv-SE"/>
    </w:rPr>
  </w:style>
  <w:style w:type="paragraph" w:styleId="Innehll6">
    <w:name w:val="toc 6"/>
    <w:basedOn w:val="Normal"/>
    <w:next w:val="Normal"/>
    <w:autoRedefine/>
    <w:semiHidden/>
    <w:pPr>
      <w:ind w:left="1200"/>
    </w:pPr>
    <w:rPr>
      <w:lang w:val="sv-SE"/>
    </w:rPr>
  </w:style>
  <w:style w:type="paragraph" w:styleId="Innehll7">
    <w:name w:val="toc 7"/>
    <w:basedOn w:val="Normal"/>
    <w:next w:val="Normal"/>
    <w:autoRedefine/>
    <w:semiHidden/>
    <w:pPr>
      <w:ind w:left="1440"/>
    </w:pPr>
    <w:rPr>
      <w:lang w:val="sv-SE"/>
    </w:rPr>
  </w:style>
  <w:style w:type="paragraph" w:styleId="Innehll8">
    <w:name w:val="toc 8"/>
    <w:basedOn w:val="Normal"/>
    <w:next w:val="Normal"/>
    <w:autoRedefine/>
    <w:semiHidden/>
    <w:pPr>
      <w:ind w:left="1680"/>
    </w:pPr>
    <w:rPr>
      <w:lang w:val="sv-SE"/>
    </w:rPr>
  </w:style>
  <w:style w:type="paragraph" w:styleId="Innehll9">
    <w:name w:val="toc 9"/>
    <w:basedOn w:val="Normal"/>
    <w:next w:val="Normal"/>
    <w:autoRedefine/>
    <w:semiHidden/>
    <w:pPr>
      <w:ind w:left="1920"/>
    </w:pPr>
    <w:rPr>
      <w:lang w:val="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6332D0"/>
    <w:rPr>
      <w:rFonts w:ascii="Segoe UI" w:hAnsi="Segoe UI" w:cs="Segoe UI"/>
      <w:sz w:val="18"/>
      <w:szCs w:val="18"/>
      <w:lang w:val="sv-SE"/>
    </w:rPr>
  </w:style>
  <w:style w:type="character" w:customStyle="1" w:styleId="BallongtextChar">
    <w:name w:val="Ballongtext Char"/>
    <w:basedOn w:val="Standardstycketeckensnitt"/>
    <w:link w:val="Ballongtext"/>
    <w:uiPriority w:val="99"/>
    <w:semiHidden/>
    <w:rsid w:val="006332D0"/>
    <w:rPr>
      <w:rFonts w:ascii="Segoe UI" w:hAnsi="Segoe UI" w:cs="Segoe UI"/>
      <w:sz w:val="18"/>
      <w:szCs w:val="18"/>
      <w:lang w:val="sv-SE" w:eastAsia="sv-SE"/>
    </w:rPr>
  </w:style>
  <w:style w:type="table" w:styleId="Tabellrutnt">
    <w:name w:val="Table Grid"/>
    <w:basedOn w:val="Normaltabell"/>
    <w:uiPriority w:val="59"/>
    <w:rsid w:val="009A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rmal0">
    <w:name w:val="anormal"/>
    <w:basedOn w:val="Normal"/>
    <w:rsid w:val="0056053A"/>
    <w:pPr>
      <w:spacing w:before="100" w:beforeAutospacing="1" w:after="100" w:afterAutospacing="1"/>
    </w:pPr>
    <w:rPr>
      <w:lang w:eastAsia="sv-FI"/>
    </w:rPr>
  </w:style>
  <w:style w:type="paragraph" w:customStyle="1" w:styleId="tabelltext0">
    <w:name w:val="tabelltext"/>
    <w:basedOn w:val="Normal"/>
    <w:rsid w:val="0056053A"/>
    <w:pPr>
      <w:spacing w:before="100" w:beforeAutospacing="1" w:after="100" w:afterAutospacing="1"/>
    </w:pPr>
    <w:rPr>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F750F-D7FB-48FF-B73A-3191A7BE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20</Pages>
  <Words>7903</Words>
  <Characters>41887</Characters>
  <Application>Microsoft Office Word</Application>
  <DocSecurity>0</DocSecurity>
  <Lines>349</Lines>
  <Paragraphs>99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49691</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Jessica Laaksonen</cp:lastModifiedBy>
  <cp:revision>2</cp:revision>
  <cp:lastPrinted>2021-03-04T13:26:00Z</cp:lastPrinted>
  <dcterms:created xsi:type="dcterms:W3CDTF">2021-03-04T13:27:00Z</dcterms:created>
  <dcterms:modified xsi:type="dcterms:W3CDTF">2021-03-04T13:27:00Z</dcterms:modified>
</cp:coreProperties>
</file>