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14:paraId="56A2CAD5" w14:textId="77777777">
        <w:trPr>
          <w:cantSplit/>
          <w:trHeight w:val="20"/>
        </w:trPr>
        <w:tc>
          <w:tcPr>
            <w:tcW w:w="861" w:type="dxa"/>
            <w:vMerge w:val="restart"/>
          </w:tcPr>
          <w:p w14:paraId="1D4FF38D" w14:textId="76955B4E" w:rsidR="002401D0" w:rsidRDefault="0043134B">
            <w:pPr>
              <w:pStyle w:val="xLedtext"/>
              <w:rPr>
                <w:noProof/>
              </w:rPr>
            </w:pPr>
            <w:bookmarkStart w:id="0" w:name="_top"/>
            <w:bookmarkEnd w:id="0"/>
            <w:r>
              <w:rPr>
                <w:noProof/>
              </w:rPr>
              <w:drawing>
                <wp:inline distT="0" distB="0" distL="0" distR="0" wp14:anchorId="00BB5EC6" wp14:editId="0964AEDF">
                  <wp:extent cx="476250"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14:paraId="1F3F3361" w14:textId="109CCD00" w:rsidR="002401D0" w:rsidRDefault="0043134B">
            <w:pPr>
              <w:pStyle w:val="xMellanrum"/>
            </w:pPr>
            <w:r>
              <w:rPr>
                <w:noProof/>
              </w:rPr>
              <w:drawing>
                <wp:inline distT="0" distB="0" distL="0" distR="0" wp14:anchorId="2F2F8E9F" wp14:editId="1490C330">
                  <wp:extent cx="47625" cy="476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14:paraId="4804A428" w14:textId="77777777">
        <w:trPr>
          <w:cantSplit/>
          <w:trHeight w:val="299"/>
        </w:trPr>
        <w:tc>
          <w:tcPr>
            <w:tcW w:w="861" w:type="dxa"/>
            <w:vMerge/>
          </w:tcPr>
          <w:p w14:paraId="3E4C28DE" w14:textId="77777777" w:rsidR="002401D0" w:rsidRDefault="002401D0">
            <w:pPr>
              <w:pStyle w:val="xLedtext"/>
            </w:pPr>
          </w:p>
        </w:tc>
        <w:tc>
          <w:tcPr>
            <w:tcW w:w="4448" w:type="dxa"/>
            <w:vAlign w:val="bottom"/>
          </w:tcPr>
          <w:p w14:paraId="0AC89E2D" w14:textId="77777777" w:rsidR="002401D0" w:rsidRDefault="002401D0">
            <w:pPr>
              <w:pStyle w:val="xAvsandare1"/>
            </w:pPr>
            <w:r>
              <w:t>Ålands lagting</w:t>
            </w:r>
          </w:p>
        </w:tc>
        <w:tc>
          <w:tcPr>
            <w:tcW w:w="4288" w:type="dxa"/>
            <w:gridSpan w:val="2"/>
            <w:vAlign w:val="bottom"/>
          </w:tcPr>
          <w:p w14:paraId="4D68C970" w14:textId="49FB5B1E" w:rsidR="002401D0" w:rsidRDefault="002401D0" w:rsidP="00B36A8F">
            <w:pPr>
              <w:pStyle w:val="xDokTypNr"/>
            </w:pPr>
            <w:r>
              <w:t xml:space="preserve">BETÄNKANDE nr </w:t>
            </w:r>
            <w:r w:rsidR="00824BD0">
              <w:t>6</w:t>
            </w:r>
            <w:r>
              <w:t>/</w:t>
            </w:r>
            <w:proofErr w:type="gramStart"/>
            <w:r>
              <w:t>20</w:t>
            </w:r>
            <w:r w:rsidR="009B3F1E">
              <w:t>20</w:t>
            </w:r>
            <w:r w:rsidR="0015337C">
              <w:t>-20</w:t>
            </w:r>
            <w:r w:rsidR="009B3F1E">
              <w:t>21</w:t>
            </w:r>
            <w:proofErr w:type="gramEnd"/>
          </w:p>
        </w:tc>
      </w:tr>
      <w:tr w:rsidR="002401D0" w14:paraId="5F7A6E32" w14:textId="77777777">
        <w:trPr>
          <w:cantSplit/>
          <w:trHeight w:val="238"/>
        </w:trPr>
        <w:tc>
          <w:tcPr>
            <w:tcW w:w="861" w:type="dxa"/>
            <w:vMerge/>
          </w:tcPr>
          <w:p w14:paraId="751A5D88" w14:textId="77777777" w:rsidR="002401D0" w:rsidRDefault="002401D0">
            <w:pPr>
              <w:pStyle w:val="xLedtext"/>
            </w:pPr>
          </w:p>
        </w:tc>
        <w:tc>
          <w:tcPr>
            <w:tcW w:w="4448" w:type="dxa"/>
            <w:vAlign w:val="bottom"/>
          </w:tcPr>
          <w:p w14:paraId="0F8323CB" w14:textId="77777777" w:rsidR="002401D0" w:rsidRDefault="002401D0">
            <w:pPr>
              <w:pStyle w:val="xLedtext"/>
            </w:pPr>
          </w:p>
        </w:tc>
        <w:tc>
          <w:tcPr>
            <w:tcW w:w="1725" w:type="dxa"/>
            <w:vAlign w:val="bottom"/>
          </w:tcPr>
          <w:p w14:paraId="3500E01D" w14:textId="77777777" w:rsidR="002401D0" w:rsidRDefault="002401D0">
            <w:pPr>
              <w:pStyle w:val="xLedtext"/>
            </w:pPr>
            <w:r>
              <w:t>Datum</w:t>
            </w:r>
          </w:p>
        </w:tc>
        <w:tc>
          <w:tcPr>
            <w:tcW w:w="2563" w:type="dxa"/>
            <w:vAlign w:val="bottom"/>
          </w:tcPr>
          <w:p w14:paraId="7DA2894E" w14:textId="77777777" w:rsidR="002401D0" w:rsidRDefault="002401D0">
            <w:pPr>
              <w:pStyle w:val="xLedtext"/>
            </w:pPr>
          </w:p>
        </w:tc>
      </w:tr>
      <w:tr w:rsidR="002401D0" w14:paraId="6D53584C" w14:textId="77777777">
        <w:trPr>
          <w:cantSplit/>
          <w:trHeight w:val="238"/>
        </w:trPr>
        <w:tc>
          <w:tcPr>
            <w:tcW w:w="861" w:type="dxa"/>
            <w:vMerge/>
          </w:tcPr>
          <w:p w14:paraId="76E24D8D" w14:textId="77777777" w:rsidR="002401D0" w:rsidRDefault="002401D0">
            <w:pPr>
              <w:pStyle w:val="xAvsandare2"/>
            </w:pPr>
          </w:p>
        </w:tc>
        <w:tc>
          <w:tcPr>
            <w:tcW w:w="4448" w:type="dxa"/>
            <w:vAlign w:val="center"/>
          </w:tcPr>
          <w:p w14:paraId="62C60ECF" w14:textId="4A8D0093" w:rsidR="002401D0" w:rsidRDefault="009B3F1E">
            <w:pPr>
              <w:pStyle w:val="xAvsandare2"/>
            </w:pPr>
            <w:r>
              <w:t>Social- och miljö</w:t>
            </w:r>
            <w:r w:rsidR="002401D0">
              <w:t>utskottet</w:t>
            </w:r>
          </w:p>
        </w:tc>
        <w:tc>
          <w:tcPr>
            <w:tcW w:w="1725" w:type="dxa"/>
            <w:vAlign w:val="center"/>
          </w:tcPr>
          <w:p w14:paraId="63330D50" w14:textId="43BB33C2" w:rsidR="002401D0" w:rsidRDefault="002401D0">
            <w:pPr>
              <w:pStyle w:val="xDatum1"/>
            </w:pPr>
            <w:r>
              <w:t>20</w:t>
            </w:r>
            <w:r w:rsidR="009B3F1E">
              <w:t>21-03-</w:t>
            </w:r>
            <w:r w:rsidR="00824BD0">
              <w:t>11</w:t>
            </w:r>
          </w:p>
        </w:tc>
        <w:tc>
          <w:tcPr>
            <w:tcW w:w="2563" w:type="dxa"/>
            <w:vAlign w:val="center"/>
          </w:tcPr>
          <w:p w14:paraId="3892A867" w14:textId="77777777" w:rsidR="002401D0" w:rsidRDefault="002401D0">
            <w:pPr>
              <w:pStyle w:val="xBeteckning1"/>
            </w:pPr>
          </w:p>
        </w:tc>
      </w:tr>
      <w:tr w:rsidR="002401D0" w14:paraId="55933850" w14:textId="77777777">
        <w:trPr>
          <w:cantSplit/>
          <w:trHeight w:val="238"/>
        </w:trPr>
        <w:tc>
          <w:tcPr>
            <w:tcW w:w="861" w:type="dxa"/>
            <w:vMerge/>
          </w:tcPr>
          <w:p w14:paraId="316F567E" w14:textId="77777777" w:rsidR="002401D0" w:rsidRDefault="002401D0">
            <w:pPr>
              <w:pStyle w:val="xLedtext"/>
            </w:pPr>
          </w:p>
        </w:tc>
        <w:tc>
          <w:tcPr>
            <w:tcW w:w="4448" w:type="dxa"/>
            <w:vAlign w:val="bottom"/>
          </w:tcPr>
          <w:p w14:paraId="1755F56B" w14:textId="77777777" w:rsidR="002401D0" w:rsidRDefault="002401D0">
            <w:pPr>
              <w:pStyle w:val="xLedtext"/>
            </w:pPr>
          </w:p>
        </w:tc>
        <w:tc>
          <w:tcPr>
            <w:tcW w:w="1725" w:type="dxa"/>
            <w:vAlign w:val="bottom"/>
          </w:tcPr>
          <w:p w14:paraId="57B4D4F3" w14:textId="77777777" w:rsidR="002401D0" w:rsidRDefault="002401D0">
            <w:pPr>
              <w:pStyle w:val="xLedtext"/>
            </w:pPr>
          </w:p>
        </w:tc>
        <w:tc>
          <w:tcPr>
            <w:tcW w:w="2563" w:type="dxa"/>
            <w:vAlign w:val="bottom"/>
          </w:tcPr>
          <w:p w14:paraId="4F5A4844" w14:textId="77777777" w:rsidR="002401D0" w:rsidRDefault="002401D0">
            <w:pPr>
              <w:pStyle w:val="xLedtext"/>
            </w:pPr>
          </w:p>
        </w:tc>
      </w:tr>
      <w:tr w:rsidR="002401D0" w14:paraId="1BFBF37D" w14:textId="77777777">
        <w:trPr>
          <w:cantSplit/>
          <w:trHeight w:val="238"/>
        </w:trPr>
        <w:tc>
          <w:tcPr>
            <w:tcW w:w="861" w:type="dxa"/>
            <w:vMerge/>
            <w:tcBorders>
              <w:bottom w:val="single" w:sz="4" w:space="0" w:color="auto"/>
            </w:tcBorders>
          </w:tcPr>
          <w:p w14:paraId="0BE42637" w14:textId="77777777" w:rsidR="002401D0" w:rsidRDefault="002401D0">
            <w:pPr>
              <w:pStyle w:val="xAvsandare3"/>
            </w:pPr>
          </w:p>
        </w:tc>
        <w:tc>
          <w:tcPr>
            <w:tcW w:w="4448" w:type="dxa"/>
            <w:tcBorders>
              <w:bottom w:val="single" w:sz="4" w:space="0" w:color="auto"/>
            </w:tcBorders>
            <w:vAlign w:val="center"/>
          </w:tcPr>
          <w:p w14:paraId="4A9AB497" w14:textId="77777777" w:rsidR="002401D0" w:rsidRDefault="002401D0">
            <w:pPr>
              <w:pStyle w:val="xAvsandare3"/>
            </w:pPr>
          </w:p>
        </w:tc>
        <w:tc>
          <w:tcPr>
            <w:tcW w:w="1725" w:type="dxa"/>
            <w:tcBorders>
              <w:bottom w:val="single" w:sz="4" w:space="0" w:color="auto"/>
            </w:tcBorders>
            <w:vAlign w:val="center"/>
          </w:tcPr>
          <w:p w14:paraId="2C0EEFEE" w14:textId="77777777" w:rsidR="002401D0" w:rsidRDefault="002401D0">
            <w:pPr>
              <w:pStyle w:val="xDatum2"/>
            </w:pPr>
          </w:p>
        </w:tc>
        <w:tc>
          <w:tcPr>
            <w:tcW w:w="2563" w:type="dxa"/>
            <w:tcBorders>
              <w:bottom w:val="single" w:sz="4" w:space="0" w:color="auto"/>
            </w:tcBorders>
            <w:vAlign w:val="center"/>
          </w:tcPr>
          <w:p w14:paraId="54174697" w14:textId="77777777" w:rsidR="002401D0" w:rsidRDefault="002401D0">
            <w:pPr>
              <w:pStyle w:val="xBeteckning2"/>
            </w:pPr>
          </w:p>
        </w:tc>
      </w:tr>
      <w:tr w:rsidR="002401D0" w14:paraId="2D560B28" w14:textId="77777777">
        <w:trPr>
          <w:cantSplit/>
          <w:trHeight w:val="238"/>
        </w:trPr>
        <w:tc>
          <w:tcPr>
            <w:tcW w:w="861" w:type="dxa"/>
            <w:tcBorders>
              <w:top w:val="single" w:sz="4" w:space="0" w:color="auto"/>
            </w:tcBorders>
            <w:vAlign w:val="bottom"/>
          </w:tcPr>
          <w:p w14:paraId="2BB8B3B7" w14:textId="77777777" w:rsidR="002401D0" w:rsidRDefault="002401D0">
            <w:pPr>
              <w:pStyle w:val="xLedtext"/>
            </w:pPr>
          </w:p>
        </w:tc>
        <w:tc>
          <w:tcPr>
            <w:tcW w:w="4448" w:type="dxa"/>
            <w:tcBorders>
              <w:top w:val="single" w:sz="4" w:space="0" w:color="auto"/>
            </w:tcBorders>
            <w:vAlign w:val="bottom"/>
          </w:tcPr>
          <w:p w14:paraId="67D33AE3" w14:textId="77777777" w:rsidR="002401D0" w:rsidRDefault="002401D0">
            <w:pPr>
              <w:pStyle w:val="xLedtext"/>
            </w:pPr>
          </w:p>
        </w:tc>
        <w:tc>
          <w:tcPr>
            <w:tcW w:w="4288" w:type="dxa"/>
            <w:gridSpan w:val="2"/>
            <w:tcBorders>
              <w:top w:val="single" w:sz="4" w:space="0" w:color="auto"/>
            </w:tcBorders>
            <w:vAlign w:val="bottom"/>
          </w:tcPr>
          <w:p w14:paraId="2D86F447" w14:textId="77777777" w:rsidR="002401D0" w:rsidRDefault="002401D0">
            <w:pPr>
              <w:pStyle w:val="xLedtext"/>
            </w:pPr>
          </w:p>
        </w:tc>
      </w:tr>
      <w:tr w:rsidR="002401D0" w14:paraId="3BF18F42" w14:textId="77777777">
        <w:trPr>
          <w:cantSplit/>
          <w:trHeight w:val="238"/>
        </w:trPr>
        <w:tc>
          <w:tcPr>
            <w:tcW w:w="861" w:type="dxa"/>
          </w:tcPr>
          <w:p w14:paraId="58F6BC52" w14:textId="77777777" w:rsidR="002401D0" w:rsidRDefault="002401D0">
            <w:pPr>
              <w:pStyle w:val="xCelltext"/>
            </w:pPr>
          </w:p>
        </w:tc>
        <w:tc>
          <w:tcPr>
            <w:tcW w:w="4448" w:type="dxa"/>
            <w:vMerge w:val="restart"/>
          </w:tcPr>
          <w:p w14:paraId="0CA377E0" w14:textId="77777777" w:rsidR="002401D0" w:rsidRDefault="002401D0">
            <w:pPr>
              <w:pStyle w:val="xMottagare1"/>
            </w:pPr>
            <w:r>
              <w:t>Till Ålands lagting</w:t>
            </w:r>
          </w:p>
        </w:tc>
        <w:tc>
          <w:tcPr>
            <w:tcW w:w="4288" w:type="dxa"/>
            <w:gridSpan w:val="2"/>
            <w:vMerge w:val="restart"/>
          </w:tcPr>
          <w:p w14:paraId="763A76EE" w14:textId="77777777" w:rsidR="002401D0" w:rsidRDefault="002401D0">
            <w:pPr>
              <w:pStyle w:val="xMottagare1"/>
              <w:tabs>
                <w:tab w:val="left" w:pos="2349"/>
              </w:tabs>
            </w:pPr>
          </w:p>
        </w:tc>
      </w:tr>
      <w:tr w:rsidR="002401D0" w14:paraId="6357A029" w14:textId="77777777">
        <w:trPr>
          <w:cantSplit/>
          <w:trHeight w:val="238"/>
        </w:trPr>
        <w:tc>
          <w:tcPr>
            <w:tcW w:w="861" w:type="dxa"/>
          </w:tcPr>
          <w:p w14:paraId="3D11A820" w14:textId="77777777" w:rsidR="002401D0" w:rsidRDefault="002401D0">
            <w:pPr>
              <w:pStyle w:val="xCelltext"/>
            </w:pPr>
          </w:p>
        </w:tc>
        <w:tc>
          <w:tcPr>
            <w:tcW w:w="4448" w:type="dxa"/>
            <w:vMerge/>
            <w:vAlign w:val="center"/>
          </w:tcPr>
          <w:p w14:paraId="696BA299" w14:textId="77777777" w:rsidR="002401D0" w:rsidRDefault="002401D0">
            <w:pPr>
              <w:pStyle w:val="xCelltext"/>
            </w:pPr>
          </w:p>
        </w:tc>
        <w:tc>
          <w:tcPr>
            <w:tcW w:w="4288" w:type="dxa"/>
            <w:gridSpan w:val="2"/>
            <w:vMerge/>
            <w:vAlign w:val="center"/>
          </w:tcPr>
          <w:p w14:paraId="6149B2A7" w14:textId="77777777" w:rsidR="002401D0" w:rsidRDefault="002401D0">
            <w:pPr>
              <w:pStyle w:val="xCelltext"/>
            </w:pPr>
          </w:p>
        </w:tc>
      </w:tr>
      <w:tr w:rsidR="002401D0" w14:paraId="3059D279" w14:textId="77777777">
        <w:trPr>
          <w:cantSplit/>
          <w:trHeight w:val="238"/>
        </w:trPr>
        <w:tc>
          <w:tcPr>
            <w:tcW w:w="861" w:type="dxa"/>
          </w:tcPr>
          <w:p w14:paraId="33A82986" w14:textId="77777777" w:rsidR="002401D0" w:rsidRDefault="002401D0">
            <w:pPr>
              <w:pStyle w:val="xCelltext"/>
            </w:pPr>
          </w:p>
        </w:tc>
        <w:tc>
          <w:tcPr>
            <w:tcW w:w="4448" w:type="dxa"/>
            <w:vMerge/>
            <w:vAlign w:val="center"/>
          </w:tcPr>
          <w:p w14:paraId="554DD158" w14:textId="77777777" w:rsidR="002401D0" w:rsidRDefault="002401D0">
            <w:pPr>
              <w:pStyle w:val="xCelltext"/>
            </w:pPr>
          </w:p>
        </w:tc>
        <w:tc>
          <w:tcPr>
            <w:tcW w:w="4288" w:type="dxa"/>
            <w:gridSpan w:val="2"/>
            <w:vMerge/>
            <w:vAlign w:val="center"/>
          </w:tcPr>
          <w:p w14:paraId="25650ABE" w14:textId="77777777" w:rsidR="002401D0" w:rsidRDefault="002401D0">
            <w:pPr>
              <w:pStyle w:val="xCelltext"/>
            </w:pPr>
          </w:p>
        </w:tc>
      </w:tr>
      <w:tr w:rsidR="002401D0" w14:paraId="2B08075F" w14:textId="77777777">
        <w:trPr>
          <w:cantSplit/>
          <w:trHeight w:val="238"/>
        </w:trPr>
        <w:tc>
          <w:tcPr>
            <w:tcW w:w="861" w:type="dxa"/>
          </w:tcPr>
          <w:p w14:paraId="00EC2F52" w14:textId="77777777" w:rsidR="002401D0" w:rsidRDefault="002401D0">
            <w:pPr>
              <w:pStyle w:val="xCelltext"/>
            </w:pPr>
          </w:p>
        </w:tc>
        <w:tc>
          <w:tcPr>
            <w:tcW w:w="4448" w:type="dxa"/>
            <w:vMerge/>
            <w:vAlign w:val="center"/>
          </w:tcPr>
          <w:p w14:paraId="7FE01B93" w14:textId="77777777" w:rsidR="002401D0" w:rsidRDefault="002401D0">
            <w:pPr>
              <w:pStyle w:val="xCelltext"/>
            </w:pPr>
          </w:p>
        </w:tc>
        <w:tc>
          <w:tcPr>
            <w:tcW w:w="4288" w:type="dxa"/>
            <w:gridSpan w:val="2"/>
            <w:vMerge/>
            <w:vAlign w:val="center"/>
          </w:tcPr>
          <w:p w14:paraId="538EDED9" w14:textId="77777777" w:rsidR="002401D0" w:rsidRDefault="002401D0">
            <w:pPr>
              <w:pStyle w:val="xCelltext"/>
            </w:pPr>
          </w:p>
        </w:tc>
      </w:tr>
      <w:tr w:rsidR="002401D0" w14:paraId="75E27C45" w14:textId="77777777">
        <w:trPr>
          <w:cantSplit/>
          <w:trHeight w:val="238"/>
        </w:trPr>
        <w:tc>
          <w:tcPr>
            <w:tcW w:w="861" w:type="dxa"/>
          </w:tcPr>
          <w:p w14:paraId="6E0F877F" w14:textId="77777777" w:rsidR="002401D0" w:rsidRDefault="002401D0">
            <w:pPr>
              <w:pStyle w:val="xCelltext"/>
            </w:pPr>
          </w:p>
        </w:tc>
        <w:tc>
          <w:tcPr>
            <w:tcW w:w="4448" w:type="dxa"/>
            <w:vMerge/>
            <w:vAlign w:val="center"/>
          </w:tcPr>
          <w:p w14:paraId="64CE17FC" w14:textId="77777777" w:rsidR="002401D0" w:rsidRDefault="002401D0">
            <w:pPr>
              <w:pStyle w:val="xCelltext"/>
            </w:pPr>
          </w:p>
        </w:tc>
        <w:tc>
          <w:tcPr>
            <w:tcW w:w="4288" w:type="dxa"/>
            <w:gridSpan w:val="2"/>
            <w:vMerge/>
            <w:vAlign w:val="center"/>
          </w:tcPr>
          <w:p w14:paraId="517AFA55" w14:textId="77777777" w:rsidR="002401D0" w:rsidRDefault="002401D0">
            <w:pPr>
              <w:pStyle w:val="xCelltext"/>
            </w:pPr>
          </w:p>
        </w:tc>
      </w:tr>
    </w:tbl>
    <w:p w14:paraId="0CC66AC4" w14:textId="77777777" w:rsidR="002401D0" w:rsidRDefault="002401D0">
      <w:pPr>
        <w:rPr>
          <w:b/>
          <w:bCs/>
        </w:rPr>
        <w:sectPr w:rsidR="002401D0">
          <w:footerReference w:type="even" r:id="rId9"/>
          <w:footerReference w:type="default" r:id="rId10"/>
          <w:pgSz w:w="11906" w:h="16838" w:code="9"/>
          <w:pgMar w:top="567" w:right="1134" w:bottom="1134" w:left="1191" w:header="624" w:footer="737" w:gutter="0"/>
          <w:cols w:space="708"/>
          <w:docGrid w:linePitch="360"/>
        </w:sectPr>
      </w:pPr>
    </w:p>
    <w:p w14:paraId="32FA92E2" w14:textId="0C0843E1" w:rsidR="002401D0" w:rsidRDefault="009B3F1E">
      <w:pPr>
        <w:pStyle w:val="ArendeOverRubrik"/>
      </w:pPr>
      <w:r>
        <w:t>Social- och miljö</w:t>
      </w:r>
      <w:r w:rsidR="002401D0">
        <w:t>utskottets betänkande</w:t>
      </w:r>
    </w:p>
    <w:p w14:paraId="51E1ABFC" w14:textId="5675A455" w:rsidR="002401D0" w:rsidRDefault="009B3F1E">
      <w:pPr>
        <w:pStyle w:val="ArendeRubrik"/>
      </w:pPr>
      <w:r w:rsidRPr="00B33EA7">
        <w:t>Ändring av tobakslagen</w:t>
      </w:r>
    </w:p>
    <w:p w14:paraId="598FD21D" w14:textId="5A5A3AA0" w:rsidR="002401D0" w:rsidRDefault="009B3F1E">
      <w:pPr>
        <w:pStyle w:val="ArendeUnderRubrik"/>
      </w:pPr>
      <w:r>
        <w:t xml:space="preserve">Landskapsregeringens lagförslag LF </w:t>
      </w:r>
      <w:r w:rsidR="0065479D">
        <w:t>13/2020-2021</w:t>
      </w:r>
    </w:p>
    <w:p w14:paraId="7D7C8E21" w14:textId="77777777" w:rsidR="002401D0" w:rsidRDefault="002401D0">
      <w:pPr>
        <w:pStyle w:val="ANormal"/>
      </w:pPr>
    </w:p>
    <w:p w14:paraId="2E6581E6" w14:textId="77777777" w:rsidR="002401D0" w:rsidRDefault="002401D0">
      <w:pPr>
        <w:pStyle w:val="Innehll1"/>
      </w:pPr>
      <w:r>
        <w:t>INNEHÅLL</w:t>
      </w:r>
    </w:p>
    <w:p w14:paraId="7AB98D53" w14:textId="5D4EF203" w:rsidR="004254CE"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66090390" w:history="1">
        <w:r w:rsidR="004254CE" w:rsidRPr="00012B19">
          <w:rPr>
            <w:rStyle w:val="Hyperlnk"/>
          </w:rPr>
          <w:t>Sammanfattning</w:t>
        </w:r>
        <w:r w:rsidR="004254CE">
          <w:rPr>
            <w:webHidden/>
          </w:rPr>
          <w:tab/>
        </w:r>
        <w:r w:rsidR="004254CE">
          <w:rPr>
            <w:webHidden/>
          </w:rPr>
          <w:fldChar w:fldCharType="begin"/>
        </w:r>
        <w:r w:rsidR="004254CE">
          <w:rPr>
            <w:webHidden/>
          </w:rPr>
          <w:instrText xml:space="preserve"> PAGEREF _Toc66090390 \h </w:instrText>
        </w:r>
        <w:r w:rsidR="004254CE">
          <w:rPr>
            <w:webHidden/>
          </w:rPr>
        </w:r>
        <w:r w:rsidR="004254CE">
          <w:rPr>
            <w:webHidden/>
          </w:rPr>
          <w:fldChar w:fldCharType="separate"/>
        </w:r>
        <w:r w:rsidR="004254CE">
          <w:rPr>
            <w:webHidden/>
          </w:rPr>
          <w:t>1</w:t>
        </w:r>
        <w:r w:rsidR="004254CE">
          <w:rPr>
            <w:webHidden/>
          </w:rPr>
          <w:fldChar w:fldCharType="end"/>
        </w:r>
      </w:hyperlink>
    </w:p>
    <w:p w14:paraId="3B6F9A72" w14:textId="47D43F3E" w:rsidR="004254CE" w:rsidRDefault="00973BF7">
      <w:pPr>
        <w:pStyle w:val="Innehll2"/>
        <w:rPr>
          <w:rFonts w:asciiTheme="minorHAnsi" w:eastAsiaTheme="minorEastAsia" w:hAnsiTheme="minorHAnsi" w:cstheme="minorBidi"/>
          <w:sz w:val="22"/>
          <w:szCs w:val="22"/>
          <w:lang w:val="sv-FI" w:eastAsia="sv-FI"/>
        </w:rPr>
      </w:pPr>
      <w:hyperlink w:anchor="_Toc66090391" w:history="1">
        <w:r w:rsidR="004254CE" w:rsidRPr="00012B19">
          <w:rPr>
            <w:rStyle w:val="Hyperlnk"/>
          </w:rPr>
          <w:t>Landskapsregeringens förslag</w:t>
        </w:r>
        <w:r w:rsidR="004254CE">
          <w:rPr>
            <w:webHidden/>
          </w:rPr>
          <w:tab/>
        </w:r>
        <w:r w:rsidR="004254CE">
          <w:rPr>
            <w:webHidden/>
          </w:rPr>
          <w:fldChar w:fldCharType="begin"/>
        </w:r>
        <w:r w:rsidR="004254CE">
          <w:rPr>
            <w:webHidden/>
          </w:rPr>
          <w:instrText xml:space="preserve"> PAGEREF _Toc66090391 \h </w:instrText>
        </w:r>
        <w:r w:rsidR="004254CE">
          <w:rPr>
            <w:webHidden/>
          </w:rPr>
        </w:r>
        <w:r w:rsidR="004254CE">
          <w:rPr>
            <w:webHidden/>
          </w:rPr>
          <w:fldChar w:fldCharType="separate"/>
        </w:r>
        <w:r w:rsidR="004254CE">
          <w:rPr>
            <w:webHidden/>
          </w:rPr>
          <w:t>1</w:t>
        </w:r>
        <w:r w:rsidR="004254CE">
          <w:rPr>
            <w:webHidden/>
          </w:rPr>
          <w:fldChar w:fldCharType="end"/>
        </w:r>
      </w:hyperlink>
    </w:p>
    <w:p w14:paraId="4384D377" w14:textId="15B2A773" w:rsidR="004254CE" w:rsidRDefault="00973BF7">
      <w:pPr>
        <w:pStyle w:val="Innehll2"/>
        <w:rPr>
          <w:rFonts w:asciiTheme="minorHAnsi" w:eastAsiaTheme="minorEastAsia" w:hAnsiTheme="minorHAnsi" w:cstheme="minorBidi"/>
          <w:sz w:val="22"/>
          <w:szCs w:val="22"/>
          <w:lang w:val="sv-FI" w:eastAsia="sv-FI"/>
        </w:rPr>
      </w:pPr>
      <w:hyperlink w:anchor="_Toc66090392" w:history="1">
        <w:r w:rsidR="004254CE" w:rsidRPr="00012B19">
          <w:rPr>
            <w:rStyle w:val="Hyperlnk"/>
          </w:rPr>
          <w:t>Utskottets förslag</w:t>
        </w:r>
        <w:r w:rsidR="004254CE">
          <w:rPr>
            <w:webHidden/>
          </w:rPr>
          <w:tab/>
        </w:r>
        <w:r w:rsidR="004254CE">
          <w:rPr>
            <w:webHidden/>
          </w:rPr>
          <w:fldChar w:fldCharType="begin"/>
        </w:r>
        <w:r w:rsidR="004254CE">
          <w:rPr>
            <w:webHidden/>
          </w:rPr>
          <w:instrText xml:space="preserve"> PAGEREF _Toc66090392 \h </w:instrText>
        </w:r>
        <w:r w:rsidR="004254CE">
          <w:rPr>
            <w:webHidden/>
          </w:rPr>
        </w:r>
        <w:r w:rsidR="004254CE">
          <w:rPr>
            <w:webHidden/>
          </w:rPr>
          <w:fldChar w:fldCharType="separate"/>
        </w:r>
        <w:r w:rsidR="004254CE">
          <w:rPr>
            <w:webHidden/>
          </w:rPr>
          <w:t>1</w:t>
        </w:r>
        <w:r w:rsidR="004254CE">
          <w:rPr>
            <w:webHidden/>
          </w:rPr>
          <w:fldChar w:fldCharType="end"/>
        </w:r>
      </w:hyperlink>
    </w:p>
    <w:p w14:paraId="59B16414" w14:textId="20B0C4AA" w:rsidR="004254CE" w:rsidRDefault="00973BF7">
      <w:pPr>
        <w:pStyle w:val="Innehll1"/>
        <w:rPr>
          <w:rFonts w:asciiTheme="minorHAnsi" w:eastAsiaTheme="minorEastAsia" w:hAnsiTheme="minorHAnsi" w:cstheme="minorBidi"/>
          <w:sz w:val="22"/>
          <w:szCs w:val="22"/>
          <w:lang w:val="sv-FI" w:eastAsia="sv-FI"/>
        </w:rPr>
      </w:pPr>
      <w:hyperlink w:anchor="_Toc66090393" w:history="1">
        <w:r w:rsidR="004254CE" w:rsidRPr="00012B19">
          <w:rPr>
            <w:rStyle w:val="Hyperlnk"/>
          </w:rPr>
          <w:t>Utskottets synpunkter</w:t>
        </w:r>
        <w:r w:rsidR="004254CE">
          <w:rPr>
            <w:webHidden/>
          </w:rPr>
          <w:tab/>
        </w:r>
        <w:r w:rsidR="004254CE">
          <w:rPr>
            <w:webHidden/>
          </w:rPr>
          <w:fldChar w:fldCharType="begin"/>
        </w:r>
        <w:r w:rsidR="004254CE">
          <w:rPr>
            <w:webHidden/>
          </w:rPr>
          <w:instrText xml:space="preserve"> PAGEREF _Toc66090393 \h </w:instrText>
        </w:r>
        <w:r w:rsidR="004254CE">
          <w:rPr>
            <w:webHidden/>
          </w:rPr>
        </w:r>
        <w:r w:rsidR="004254CE">
          <w:rPr>
            <w:webHidden/>
          </w:rPr>
          <w:fldChar w:fldCharType="separate"/>
        </w:r>
        <w:r w:rsidR="004254CE">
          <w:rPr>
            <w:webHidden/>
          </w:rPr>
          <w:t>1</w:t>
        </w:r>
        <w:r w:rsidR="004254CE">
          <w:rPr>
            <w:webHidden/>
          </w:rPr>
          <w:fldChar w:fldCharType="end"/>
        </w:r>
      </w:hyperlink>
    </w:p>
    <w:p w14:paraId="05594A08" w14:textId="7560C1F8" w:rsidR="004254CE" w:rsidRDefault="00973BF7">
      <w:pPr>
        <w:pStyle w:val="Innehll1"/>
        <w:rPr>
          <w:rFonts w:asciiTheme="minorHAnsi" w:eastAsiaTheme="minorEastAsia" w:hAnsiTheme="minorHAnsi" w:cstheme="minorBidi"/>
          <w:sz w:val="22"/>
          <w:szCs w:val="22"/>
          <w:lang w:val="sv-FI" w:eastAsia="sv-FI"/>
        </w:rPr>
      </w:pPr>
      <w:hyperlink w:anchor="_Toc66090394" w:history="1">
        <w:r w:rsidR="004254CE" w:rsidRPr="00012B19">
          <w:rPr>
            <w:rStyle w:val="Hyperlnk"/>
          </w:rPr>
          <w:t>Ärendets behandling</w:t>
        </w:r>
        <w:r w:rsidR="004254CE">
          <w:rPr>
            <w:webHidden/>
          </w:rPr>
          <w:tab/>
        </w:r>
        <w:r w:rsidR="004254CE">
          <w:rPr>
            <w:webHidden/>
          </w:rPr>
          <w:fldChar w:fldCharType="begin"/>
        </w:r>
        <w:r w:rsidR="004254CE">
          <w:rPr>
            <w:webHidden/>
          </w:rPr>
          <w:instrText xml:space="preserve"> PAGEREF _Toc66090394 \h </w:instrText>
        </w:r>
        <w:r w:rsidR="004254CE">
          <w:rPr>
            <w:webHidden/>
          </w:rPr>
        </w:r>
        <w:r w:rsidR="004254CE">
          <w:rPr>
            <w:webHidden/>
          </w:rPr>
          <w:fldChar w:fldCharType="separate"/>
        </w:r>
        <w:r w:rsidR="004254CE">
          <w:rPr>
            <w:webHidden/>
          </w:rPr>
          <w:t>1</w:t>
        </w:r>
        <w:r w:rsidR="004254CE">
          <w:rPr>
            <w:webHidden/>
          </w:rPr>
          <w:fldChar w:fldCharType="end"/>
        </w:r>
      </w:hyperlink>
    </w:p>
    <w:p w14:paraId="4D79C48F" w14:textId="55C400E5" w:rsidR="004254CE" w:rsidRDefault="00973BF7">
      <w:pPr>
        <w:pStyle w:val="Innehll1"/>
        <w:rPr>
          <w:rFonts w:asciiTheme="minorHAnsi" w:eastAsiaTheme="minorEastAsia" w:hAnsiTheme="minorHAnsi" w:cstheme="minorBidi"/>
          <w:sz w:val="22"/>
          <w:szCs w:val="22"/>
          <w:lang w:val="sv-FI" w:eastAsia="sv-FI"/>
        </w:rPr>
      </w:pPr>
      <w:hyperlink w:anchor="_Toc66090395" w:history="1">
        <w:r w:rsidR="004254CE" w:rsidRPr="00012B19">
          <w:rPr>
            <w:rStyle w:val="Hyperlnk"/>
          </w:rPr>
          <w:t>Utskottets förslag</w:t>
        </w:r>
        <w:r w:rsidR="004254CE">
          <w:rPr>
            <w:webHidden/>
          </w:rPr>
          <w:tab/>
        </w:r>
        <w:r w:rsidR="004254CE">
          <w:rPr>
            <w:webHidden/>
          </w:rPr>
          <w:fldChar w:fldCharType="begin"/>
        </w:r>
        <w:r w:rsidR="004254CE">
          <w:rPr>
            <w:webHidden/>
          </w:rPr>
          <w:instrText xml:space="preserve"> PAGEREF _Toc66090395 \h </w:instrText>
        </w:r>
        <w:r w:rsidR="004254CE">
          <w:rPr>
            <w:webHidden/>
          </w:rPr>
        </w:r>
        <w:r w:rsidR="004254CE">
          <w:rPr>
            <w:webHidden/>
          </w:rPr>
          <w:fldChar w:fldCharType="separate"/>
        </w:r>
        <w:r w:rsidR="004254CE">
          <w:rPr>
            <w:webHidden/>
          </w:rPr>
          <w:t>1</w:t>
        </w:r>
        <w:r w:rsidR="004254CE">
          <w:rPr>
            <w:webHidden/>
          </w:rPr>
          <w:fldChar w:fldCharType="end"/>
        </w:r>
      </w:hyperlink>
    </w:p>
    <w:p w14:paraId="65715AF6" w14:textId="53768FDE" w:rsidR="002401D0" w:rsidRDefault="002401D0">
      <w:pPr>
        <w:pStyle w:val="ANormal"/>
        <w:rPr>
          <w:noProof/>
        </w:rPr>
      </w:pPr>
      <w:r>
        <w:rPr>
          <w:rFonts w:ascii="Verdana" w:hAnsi="Verdana"/>
          <w:noProof/>
          <w:sz w:val="16"/>
          <w:szCs w:val="36"/>
        </w:rPr>
        <w:fldChar w:fldCharType="end"/>
      </w:r>
    </w:p>
    <w:p w14:paraId="48BB7B0A" w14:textId="77777777" w:rsidR="002401D0" w:rsidRDefault="002401D0">
      <w:pPr>
        <w:pStyle w:val="ANormal"/>
      </w:pPr>
    </w:p>
    <w:p w14:paraId="5B6C0925" w14:textId="77777777" w:rsidR="002401D0" w:rsidRDefault="002401D0">
      <w:pPr>
        <w:pStyle w:val="RubrikA"/>
      </w:pPr>
      <w:bookmarkStart w:id="1" w:name="_Toc529800932"/>
      <w:bookmarkStart w:id="2" w:name="_Toc66090390"/>
      <w:r>
        <w:t>Sammanfattning</w:t>
      </w:r>
      <w:bookmarkEnd w:id="1"/>
      <w:bookmarkEnd w:id="2"/>
    </w:p>
    <w:p w14:paraId="5AA7BA77" w14:textId="77777777" w:rsidR="002401D0" w:rsidRDefault="002401D0">
      <w:pPr>
        <w:pStyle w:val="Rubrikmellanrum"/>
      </w:pPr>
    </w:p>
    <w:p w14:paraId="6FA941E4" w14:textId="72933698" w:rsidR="002401D0" w:rsidRDefault="009B3F1E">
      <w:pPr>
        <w:pStyle w:val="RubrikB"/>
      </w:pPr>
      <w:bookmarkStart w:id="3" w:name="_Toc529800933"/>
      <w:bookmarkStart w:id="4" w:name="_Toc66090391"/>
      <w:r>
        <w:t>Landskapsregeringens</w:t>
      </w:r>
      <w:r w:rsidR="002401D0">
        <w:t xml:space="preserve"> förslag</w:t>
      </w:r>
      <w:bookmarkEnd w:id="3"/>
      <w:bookmarkEnd w:id="4"/>
    </w:p>
    <w:p w14:paraId="4B51BFCA" w14:textId="77777777" w:rsidR="002401D0" w:rsidRDefault="002401D0">
      <w:pPr>
        <w:pStyle w:val="Rubrikmellanrum"/>
      </w:pPr>
    </w:p>
    <w:p w14:paraId="0407EBE8" w14:textId="77777777" w:rsidR="009B3F1E" w:rsidRDefault="009B3F1E" w:rsidP="009B3F1E">
      <w:pPr>
        <w:pStyle w:val="ANormal"/>
      </w:pPr>
      <w:r w:rsidRPr="00B33EA7">
        <w:t xml:space="preserve">Landskapsregeringen föreslår att </w:t>
      </w:r>
      <w:r>
        <w:t xml:space="preserve">lagtinget antar en landskapslag om ändring av </w:t>
      </w:r>
      <w:r w:rsidRPr="00EB16E0">
        <w:t>landskapslagen om tobak och relaterade produkte</w:t>
      </w:r>
      <w:r>
        <w:t>r. Lagen ersätter bestämmelser i den landskapslag som Republikens president den 2 oktober 2020 har förordnat delvis ska förfalla.</w:t>
      </w:r>
    </w:p>
    <w:p w14:paraId="3EF1DACE" w14:textId="77777777" w:rsidR="009B3F1E" w:rsidRDefault="009B3F1E" w:rsidP="009B3F1E">
      <w:pPr>
        <w:pStyle w:val="ANormal"/>
      </w:pPr>
      <w:r>
        <w:tab/>
        <w:t>De föreslagna bestämmelserna överensstämmer innehållsmässigt med det lagförslag som lagtinget antog den 27 maj 2020 (LTB 41/2020), dock så att de brister som Republikens president konstaterat har beaktats.</w:t>
      </w:r>
    </w:p>
    <w:p w14:paraId="1A377AE2" w14:textId="2AA4817A" w:rsidR="002401D0" w:rsidRDefault="002401D0">
      <w:pPr>
        <w:pStyle w:val="ANormal"/>
      </w:pPr>
    </w:p>
    <w:p w14:paraId="75205757" w14:textId="77777777" w:rsidR="002401D0" w:rsidRDefault="002401D0">
      <w:pPr>
        <w:pStyle w:val="RubrikB"/>
      </w:pPr>
      <w:bookmarkStart w:id="5" w:name="_Toc529800934"/>
      <w:bookmarkStart w:id="6" w:name="_Toc66090392"/>
      <w:r>
        <w:t>Utskottets förslag</w:t>
      </w:r>
      <w:bookmarkEnd w:id="5"/>
      <w:bookmarkEnd w:id="6"/>
    </w:p>
    <w:p w14:paraId="74C39AD7" w14:textId="77777777" w:rsidR="002401D0" w:rsidRDefault="002401D0">
      <w:pPr>
        <w:pStyle w:val="Rubrikmellanrum"/>
      </w:pPr>
    </w:p>
    <w:p w14:paraId="0F181C39" w14:textId="6C3A6D0D" w:rsidR="002401D0" w:rsidRDefault="003E11FD">
      <w:pPr>
        <w:pStyle w:val="ANormal"/>
      </w:pPr>
      <w:r w:rsidRPr="003E11FD">
        <w:t>Utskottet föreslår att lagförslaget antas utan ändringar</w:t>
      </w:r>
      <w:r>
        <w:t>.</w:t>
      </w:r>
    </w:p>
    <w:p w14:paraId="2AFF82C3" w14:textId="77777777" w:rsidR="002401D0" w:rsidRDefault="002401D0">
      <w:pPr>
        <w:pStyle w:val="ANormal"/>
      </w:pPr>
    </w:p>
    <w:p w14:paraId="27483454" w14:textId="2C1E670E" w:rsidR="002401D0" w:rsidRDefault="002401D0">
      <w:pPr>
        <w:pStyle w:val="RubrikA"/>
      </w:pPr>
      <w:bookmarkStart w:id="7" w:name="_Toc529800935"/>
      <w:bookmarkStart w:id="8" w:name="_Toc66090393"/>
      <w:r>
        <w:t>Utskottets synpunkter</w:t>
      </w:r>
      <w:bookmarkEnd w:id="7"/>
      <w:bookmarkEnd w:id="8"/>
    </w:p>
    <w:p w14:paraId="25645C21" w14:textId="162F21E0" w:rsidR="00DC7BB3" w:rsidRDefault="00DC7BB3" w:rsidP="00DC7BB3">
      <w:pPr>
        <w:pStyle w:val="Rubrikmellanrum"/>
      </w:pPr>
    </w:p>
    <w:p w14:paraId="29335795" w14:textId="5CECD9D3" w:rsidR="00DC7BB3" w:rsidRPr="00660FCA" w:rsidRDefault="00660FCA" w:rsidP="00DC7BB3">
      <w:pPr>
        <w:pStyle w:val="ANormal"/>
        <w:rPr>
          <w:i/>
          <w:iCs/>
        </w:rPr>
      </w:pPr>
      <w:r>
        <w:rPr>
          <w:i/>
          <w:iCs/>
        </w:rPr>
        <w:t>Allmänt</w:t>
      </w:r>
    </w:p>
    <w:p w14:paraId="180C4AEB" w14:textId="77777777" w:rsidR="002401D0" w:rsidRDefault="002401D0">
      <w:pPr>
        <w:pStyle w:val="Rubrikmellanrum"/>
      </w:pPr>
    </w:p>
    <w:p w14:paraId="13EB11FD" w14:textId="70FEF47F" w:rsidR="00CD00DB" w:rsidRDefault="00CD00DB" w:rsidP="00CD00DB">
      <w:pPr>
        <w:pStyle w:val="ANormal"/>
        <w:rPr>
          <w:lang w:val="sv-FI"/>
        </w:rPr>
      </w:pPr>
      <w:r w:rsidRPr="00CD00DB">
        <w:rPr>
          <w:lang w:val="sv-FI"/>
        </w:rPr>
        <w:t>För att genomföra den Europeiska unionens närmare bestämmelser om märkning och spårbarhet</w:t>
      </w:r>
      <w:r>
        <w:rPr>
          <w:lang w:val="sv-FI"/>
        </w:rPr>
        <w:t xml:space="preserve"> </w:t>
      </w:r>
      <w:r w:rsidRPr="00CD00DB">
        <w:rPr>
          <w:lang w:val="sv-FI"/>
        </w:rPr>
        <w:t xml:space="preserve">fattade lagtinget </w:t>
      </w:r>
      <w:r>
        <w:rPr>
          <w:lang w:val="sv-FI"/>
        </w:rPr>
        <w:t>den 27 maj 2020</w:t>
      </w:r>
      <w:r w:rsidRPr="00CD00DB">
        <w:rPr>
          <w:lang w:val="sv-FI"/>
        </w:rPr>
        <w:t xml:space="preserve"> ett beslut om ändring av </w:t>
      </w:r>
      <w:r>
        <w:rPr>
          <w:lang w:val="sv-FI"/>
        </w:rPr>
        <w:t xml:space="preserve">landskapslagen om tobak och relaterade produkter. </w:t>
      </w:r>
      <w:r w:rsidRPr="00CD00DB">
        <w:rPr>
          <w:lang w:val="sv-FI"/>
        </w:rPr>
        <w:t xml:space="preserve">Enligt </w:t>
      </w:r>
      <w:r w:rsidR="002456EF" w:rsidRPr="002456EF">
        <w:rPr>
          <w:lang w:val="sv-FI"/>
        </w:rPr>
        <w:t>k</w:t>
      </w:r>
      <w:proofErr w:type="spellStart"/>
      <w:r w:rsidR="002456EF" w:rsidRPr="002456EF">
        <w:t>ommissionens</w:t>
      </w:r>
      <w:proofErr w:type="spellEnd"/>
      <w:r w:rsidR="002456EF" w:rsidRPr="002456EF">
        <w:t xml:space="preserve"> genomförandeförordning (EU) 2018/574 om tekniska standarder för inrättande och drift av ett spårbarhetssystem för tobaksprodukter</w:t>
      </w:r>
      <w:r w:rsidR="002456EF">
        <w:t xml:space="preserve">, nedan spårbarhetsförordningen, </w:t>
      </w:r>
      <w:r w:rsidRPr="00CD00DB">
        <w:rPr>
          <w:lang w:val="sv-FI"/>
        </w:rPr>
        <w:t xml:space="preserve">ska varje medlemsstat utnämna en id-utfärdare som på ett opartiskt sätt ansvarar för utfärdandet av </w:t>
      </w:r>
      <w:proofErr w:type="spellStart"/>
      <w:r w:rsidRPr="00CD00DB">
        <w:rPr>
          <w:lang w:val="sv-FI"/>
        </w:rPr>
        <w:t>id-märkningar</w:t>
      </w:r>
      <w:proofErr w:type="spellEnd"/>
      <w:r w:rsidRPr="00CD00DB">
        <w:rPr>
          <w:lang w:val="sv-FI"/>
        </w:rPr>
        <w:t xml:space="preserve"> för varje tobaksförpackning. </w:t>
      </w:r>
      <w:r w:rsidR="00623E82">
        <w:rPr>
          <w:lang w:val="sv-FI"/>
        </w:rPr>
        <w:t xml:space="preserve">Landskapsregeringen har som id-utfärdare </w:t>
      </w:r>
      <w:r w:rsidR="00660FCA">
        <w:rPr>
          <w:lang w:val="sv-FI"/>
        </w:rPr>
        <w:t>godkänt</w:t>
      </w:r>
      <w:r w:rsidR="00623E82">
        <w:rPr>
          <w:lang w:val="sv-FI"/>
        </w:rPr>
        <w:t xml:space="preserve"> det slovakiska </w:t>
      </w:r>
      <w:r w:rsidR="00660FCA">
        <w:rPr>
          <w:lang w:val="sv-FI"/>
        </w:rPr>
        <w:t xml:space="preserve">företaget </w:t>
      </w:r>
      <w:proofErr w:type="spellStart"/>
      <w:r w:rsidR="00660FCA">
        <w:rPr>
          <w:lang w:val="sv-FI"/>
        </w:rPr>
        <w:t>Allexis</w:t>
      </w:r>
      <w:proofErr w:type="spellEnd"/>
      <w:r w:rsidR="00660FCA">
        <w:rPr>
          <w:lang w:val="sv-FI"/>
        </w:rPr>
        <w:t xml:space="preserve"> som verkar som id-utfärdare även i Finland och Sverige. </w:t>
      </w:r>
    </w:p>
    <w:p w14:paraId="7FF69B1A" w14:textId="32A93519" w:rsidR="00660FCA" w:rsidRDefault="00660FCA" w:rsidP="00CD00DB">
      <w:pPr>
        <w:pStyle w:val="ANormal"/>
        <w:rPr>
          <w:lang w:val="sv-FI"/>
        </w:rPr>
      </w:pPr>
    </w:p>
    <w:p w14:paraId="2066D547" w14:textId="070668C0" w:rsidR="00660FCA" w:rsidRDefault="00660FCA" w:rsidP="00CD00DB">
      <w:pPr>
        <w:pStyle w:val="ANormal"/>
        <w:rPr>
          <w:i/>
          <w:iCs/>
          <w:lang w:val="sv-FI"/>
        </w:rPr>
      </w:pPr>
      <w:r>
        <w:rPr>
          <w:i/>
          <w:iCs/>
          <w:lang w:val="sv-FI"/>
        </w:rPr>
        <w:t>Högsta domstolens utlåtande</w:t>
      </w:r>
    </w:p>
    <w:p w14:paraId="1BED3624" w14:textId="77777777" w:rsidR="00660FCA" w:rsidRPr="00660FCA" w:rsidRDefault="00660FCA" w:rsidP="00CD00DB">
      <w:pPr>
        <w:pStyle w:val="ANormal"/>
        <w:rPr>
          <w:i/>
          <w:iCs/>
          <w:sz w:val="10"/>
          <w:szCs w:val="10"/>
          <w:lang w:val="sv-FI"/>
        </w:rPr>
      </w:pPr>
    </w:p>
    <w:p w14:paraId="4298D026" w14:textId="1EF9A538" w:rsidR="006D4A48" w:rsidRPr="006D4A48" w:rsidRDefault="006D4A48" w:rsidP="006D4A48">
      <w:pPr>
        <w:pStyle w:val="ANormal"/>
        <w:rPr>
          <w:lang w:val="sv-FI"/>
        </w:rPr>
      </w:pPr>
      <w:r w:rsidRPr="006D4A48">
        <w:rPr>
          <w:lang w:val="sv-FI"/>
        </w:rPr>
        <w:t xml:space="preserve">På förslag av </w:t>
      </w:r>
      <w:r w:rsidR="002C32E8">
        <w:rPr>
          <w:lang w:val="sv-FI"/>
        </w:rPr>
        <w:t>H</w:t>
      </w:r>
      <w:r w:rsidRPr="006D4A48">
        <w:rPr>
          <w:lang w:val="sv-FI"/>
        </w:rPr>
        <w:t>ögsta</w:t>
      </w:r>
      <w:r w:rsidR="00DC7BB3">
        <w:rPr>
          <w:lang w:val="sv-FI"/>
        </w:rPr>
        <w:t xml:space="preserve"> </w:t>
      </w:r>
      <w:r w:rsidRPr="006D4A48">
        <w:rPr>
          <w:lang w:val="sv-FI"/>
        </w:rPr>
        <w:t xml:space="preserve">domstolen förordnade presidenten att delar av </w:t>
      </w:r>
      <w:r>
        <w:rPr>
          <w:lang w:val="sv-FI"/>
        </w:rPr>
        <w:t>den landskapslag om ändring av landskapslagen om tobak och relaterade produkter som lagtinget antog den 27 maj 2020 skulle förfalla.</w:t>
      </w:r>
      <w:r w:rsidRPr="006D4A48">
        <w:rPr>
          <w:lang w:val="sv-FI"/>
        </w:rPr>
        <w:t xml:space="preserve"> Högsta domstolen konstaterade </w:t>
      </w:r>
      <w:r w:rsidR="00CD00DB">
        <w:rPr>
          <w:lang w:val="sv-FI"/>
        </w:rPr>
        <w:t xml:space="preserve">i sitt utlåtande att </w:t>
      </w:r>
      <w:r w:rsidRPr="006D4A48">
        <w:rPr>
          <w:lang w:val="sv-FI"/>
        </w:rPr>
        <w:t xml:space="preserve">det av spårbarhetsförordningen framgår att meningen med systemet är att det </w:t>
      </w:r>
      <w:r w:rsidR="002456EF">
        <w:rPr>
          <w:lang w:val="sv-FI"/>
        </w:rPr>
        <w:t xml:space="preserve">ska </w:t>
      </w:r>
      <w:r w:rsidRPr="006D4A48">
        <w:rPr>
          <w:lang w:val="sv-FI"/>
        </w:rPr>
        <w:t>finn</w:t>
      </w:r>
      <w:r w:rsidR="002456EF">
        <w:rPr>
          <w:lang w:val="sv-FI"/>
        </w:rPr>
        <w:t>a</w:t>
      </w:r>
      <w:r w:rsidRPr="006D4A48">
        <w:rPr>
          <w:lang w:val="sv-FI"/>
        </w:rPr>
        <w:t xml:space="preserve">s enbart en id-utfärdare för varje medlemsstat och trots att en id-utfärdare inte är en förvaltningsmyndighet </w:t>
      </w:r>
      <w:r w:rsidRPr="006D4A48">
        <w:rPr>
          <w:lang w:val="sv-FI"/>
        </w:rPr>
        <w:lastRenderedPageBreak/>
        <w:t>utan har offentliga förvaltningsuppgifter ska det utnämnande av en id-utfärdare som avses i spårbarhetsförordningen med beaktande av id-utfärdarens uppgifter samt kravet på dess oberoende och opartiskhet, jämställas i självstyrelselagens systematik med ett sådant utseende av en förvaltningsmyndighet som avses i 59b § 3 mom. självstyrelselagen. Eftersom bestämmelser</w:t>
      </w:r>
      <w:r w:rsidR="00912C57">
        <w:rPr>
          <w:lang w:val="sv-FI"/>
        </w:rPr>
        <w:t>na</w:t>
      </w:r>
      <w:r w:rsidRPr="006D4A48">
        <w:rPr>
          <w:lang w:val="sv-FI"/>
        </w:rPr>
        <w:t xml:space="preserve"> </w:t>
      </w:r>
      <w:r w:rsidR="00912C57">
        <w:rPr>
          <w:lang w:val="sv-FI"/>
        </w:rPr>
        <w:t xml:space="preserve">i </w:t>
      </w:r>
      <w:r w:rsidR="00912C57" w:rsidRPr="00912C57">
        <w:rPr>
          <w:lang w:val="sv-FI"/>
        </w:rPr>
        <w:t>den ändring av landskapslagen om tobak och relaterade produkter som antogs av lagtinget den 27 maj 2020</w:t>
      </w:r>
      <w:r w:rsidR="00912C57">
        <w:rPr>
          <w:lang w:val="sv-FI"/>
        </w:rPr>
        <w:t xml:space="preserve"> </w:t>
      </w:r>
      <w:r w:rsidRPr="006D4A48">
        <w:rPr>
          <w:lang w:val="sv-FI"/>
        </w:rPr>
        <w:t xml:space="preserve">formulerats så att det skulle höra till landskapsregeringens uppgifter att förordna id-utfärdaren för landskapets del anser </w:t>
      </w:r>
      <w:r w:rsidR="002C32E8">
        <w:rPr>
          <w:lang w:val="sv-FI"/>
        </w:rPr>
        <w:t>H</w:t>
      </w:r>
      <w:r w:rsidR="002456EF">
        <w:rPr>
          <w:lang w:val="sv-FI"/>
        </w:rPr>
        <w:t>ögsta domstolen a</w:t>
      </w:r>
      <w:r w:rsidRPr="006D4A48">
        <w:rPr>
          <w:lang w:val="sv-FI"/>
        </w:rPr>
        <w:t>tt dessa bestämmelser utgör en behörighetsöverskridning och bör förordnas att förfalla. H</w:t>
      </w:r>
      <w:r w:rsidR="002456EF">
        <w:rPr>
          <w:lang w:val="sv-FI"/>
        </w:rPr>
        <w:t>ögsta domstolen h</w:t>
      </w:r>
      <w:r w:rsidRPr="006D4A48">
        <w:rPr>
          <w:lang w:val="sv-FI"/>
        </w:rPr>
        <w:t>änvisar till 124 § grundlagen, enligt vilken offentliga förvaltningsuppgifter kan anförtros andra än myndigheter endast genom lag eller med stöd av lag om det behövs för en ändamålsenlig skötsel av uppgifterna och det inte äventyrar de grundläggande fri- och rättigheterna, rättssäkerheten eller andra krav på god förvaltning. Uppgifter som innebär betydande utövning av offentlig makt får dock ges endast myndigheter.</w:t>
      </w:r>
    </w:p>
    <w:p w14:paraId="2AA2C907" w14:textId="01648C66" w:rsidR="002401D0" w:rsidRDefault="002401D0">
      <w:pPr>
        <w:pStyle w:val="ANormal"/>
      </w:pPr>
    </w:p>
    <w:p w14:paraId="096ACCE2" w14:textId="118C91EE" w:rsidR="002456EF" w:rsidRDefault="002456EF">
      <w:pPr>
        <w:pStyle w:val="ANormal"/>
        <w:rPr>
          <w:i/>
          <w:iCs/>
        </w:rPr>
      </w:pPr>
      <w:r>
        <w:rPr>
          <w:i/>
          <w:iCs/>
        </w:rPr>
        <w:t>Självstyrelsepolitiska nämndens utlåtande</w:t>
      </w:r>
    </w:p>
    <w:p w14:paraId="58C70923" w14:textId="77777777" w:rsidR="002456EF" w:rsidRPr="002456EF" w:rsidRDefault="002456EF">
      <w:pPr>
        <w:pStyle w:val="ANormal"/>
        <w:rPr>
          <w:i/>
          <w:iCs/>
          <w:sz w:val="10"/>
          <w:szCs w:val="10"/>
        </w:rPr>
      </w:pPr>
    </w:p>
    <w:p w14:paraId="4480550E" w14:textId="4E27D214" w:rsidR="001E512D" w:rsidRPr="001E512D" w:rsidRDefault="003201E0" w:rsidP="001E512D">
      <w:pPr>
        <w:pStyle w:val="ANormal"/>
        <w:rPr>
          <w:lang w:val="sv-FI"/>
        </w:rPr>
      </w:pPr>
      <w:r>
        <w:t xml:space="preserve">Social- och miljöutskottet har med stöd av 56 § i arbetsordningen för Ålands lagting begärt om ett utlåtande i ärendet av självstyrelsepolitiska </w:t>
      </w:r>
      <w:r w:rsidR="001E512D">
        <w:t>nämnden</w:t>
      </w:r>
      <w:r>
        <w:t xml:space="preserve">. Självstyrelsepolitiska nämnden </w:t>
      </w:r>
      <w:r w:rsidR="001E512D">
        <w:t xml:space="preserve">konstaterar i sitt utlåtande att utgångspunkten i </w:t>
      </w:r>
      <w:r w:rsidR="001E512D" w:rsidRPr="001E512D">
        <w:rPr>
          <w:lang w:val="sv-FI"/>
        </w:rPr>
        <w:t xml:space="preserve">självstyrelselagen är </w:t>
      </w:r>
      <w:r w:rsidR="001E512D">
        <w:rPr>
          <w:lang w:val="sv-FI"/>
        </w:rPr>
        <w:t>a</w:t>
      </w:r>
      <w:r w:rsidR="001E512D" w:rsidRPr="001E512D">
        <w:rPr>
          <w:lang w:val="sv-FI"/>
        </w:rPr>
        <w:t xml:space="preserve">tt medlemskapet i Europeiska unionen inte inverkar på behörighetsfördelningen mellan landskapet och riket. Detta framgår uttryckligen bland annat av RP 18/2002 </w:t>
      </w:r>
      <w:proofErr w:type="spellStart"/>
      <w:r w:rsidR="001E512D" w:rsidRPr="001E512D">
        <w:rPr>
          <w:lang w:val="sv-FI"/>
        </w:rPr>
        <w:t>rd</w:t>
      </w:r>
      <w:proofErr w:type="spellEnd"/>
      <w:r w:rsidR="001E512D" w:rsidRPr="001E512D">
        <w:rPr>
          <w:lang w:val="sv-FI"/>
        </w:rPr>
        <w:t xml:space="preserve"> med förslag till en ändring av självstyrelselagen vars syfte var att garantera att landskapets inflytande inom EU säkerställs i de frågor som enligt självstyrelselagen hör till landskapets behörighet.  </w:t>
      </w:r>
    </w:p>
    <w:p w14:paraId="0A4BCE89" w14:textId="6091F558" w:rsidR="001E512D" w:rsidRPr="001E512D" w:rsidRDefault="001E512D" w:rsidP="001E512D">
      <w:pPr>
        <w:pStyle w:val="ANormal"/>
        <w:rPr>
          <w:lang w:val="sv-FI"/>
        </w:rPr>
      </w:pPr>
      <w:r>
        <w:rPr>
          <w:lang w:val="sv-FI"/>
        </w:rPr>
        <w:tab/>
      </w:r>
      <w:r w:rsidR="00DC7BB3">
        <w:rPr>
          <w:lang w:val="sv-FI"/>
        </w:rPr>
        <w:t>Nämnden konstaterar dock att det i</w:t>
      </w:r>
      <w:r w:rsidRPr="001E512D">
        <w:rPr>
          <w:lang w:val="sv-FI"/>
        </w:rPr>
        <w:t xml:space="preserve"> 59 § 3 mom. i självstyrelselagen finns</w:t>
      </w:r>
      <w:r w:rsidR="00973BF7">
        <w:rPr>
          <w:lang w:val="sv-FI"/>
        </w:rPr>
        <w:t xml:space="preserve"> </w:t>
      </w:r>
      <w:r w:rsidRPr="001E512D">
        <w:rPr>
          <w:lang w:val="sv-FI"/>
        </w:rPr>
        <w:t xml:space="preserve">  ett undantag från principen att medlemskapet inte inverkar på behörighetsfördelningen. I situationer där medlemsstaten enligt gemenskapsrätten kan utse endast en förvaltningsmyndighet för att sköta vissa frågor i medlemsstaten ankommer det nämligen på riket att utse myndigheten men en myndighet som utses på det sättet ska, när den fattar ett beslut som annars skulle höra till landskapets behörighet, fatta beslutet i enlighet med landskapsregeringens ståndpunkt så långt det är juridiskt möjligt. </w:t>
      </w:r>
    </w:p>
    <w:p w14:paraId="193F0615" w14:textId="2AD20A30" w:rsidR="001E512D" w:rsidRPr="001E512D" w:rsidRDefault="001E512D" w:rsidP="001E512D">
      <w:pPr>
        <w:pStyle w:val="ANormal"/>
        <w:rPr>
          <w:lang w:val="sv-FI"/>
        </w:rPr>
      </w:pPr>
      <w:r>
        <w:rPr>
          <w:lang w:val="sv-FI"/>
        </w:rPr>
        <w:tab/>
      </w:r>
      <w:r w:rsidRPr="001E512D">
        <w:rPr>
          <w:lang w:val="sv-FI"/>
        </w:rPr>
        <w:t>Enligt självstyrelsepolitiska nämndens mening bör självstyrelselagen alltid tolkas utifrån dess syfte ”att göra det möjligt för befolkningen att själv ordna sin tillvaro inom gränserna för landskapets statsrättsliga ställning” (RP 73/1990). Utgångspunkten i självstyrelselagen är därtill att medlemskapet i Europeiska unionen inte inverkar på behörighetsfördelningen mellan landskapet och riket med i lagen preciserade undantag. Vid all tolkning av självstyrelselagen bör därför utgångspunkten enligt nämndens mening vara att självstyrelsen så långt det är möjligt respekteras.</w:t>
      </w:r>
    </w:p>
    <w:p w14:paraId="21D922D5" w14:textId="11C57E7B" w:rsidR="001E512D" w:rsidRDefault="001E512D" w:rsidP="001E512D">
      <w:pPr>
        <w:pStyle w:val="ANormal"/>
        <w:rPr>
          <w:lang w:val="sv-FI"/>
        </w:rPr>
      </w:pPr>
      <w:r>
        <w:rPr>
          <w:lang w:val="sv-FI"/>
        </w:rPr>
        <w:tab/>
      </w:r>
      <w:r w:rsidRPr="001E512D">
        <w:rPr>
          <w:lang w:val="sv-FI"/>
        </w:rPr>
        <w:t xml:space="preserve">Självstyrelsepolitiska nämnden delar mot denna bakgrund inte </w:t>
      </w:r>
      <w:r w:rsidR="00973BF7">
        <w:rPr>
          <w:lang w:val="sv-FI"/>
        </w:rPr>
        <w:t>H</w:t>
      </w:r>
      <w:r w:rsidRPr="001E512D">
        <w:rPr>
          <w:lang w:val="sv-FI"/>
        </w:rPr>
        <w:t xml:space="preserve">ögsta domstolens uppfattning att ett företag är att betrakta som en i självstyreselagens 59b § 3 mom. avsedd myndighet. Möjligheten till så kallad medelbar förvaltning enligt grundlagens 124 § föreligger visserligen även inom lagtingets behörighet men nämnden anser inte att en så extensiv tolkning av självstyrelselagen att man med myndighet avser även privata företag som utför förvaltningsuppgifter, är förenlig med lagens syfte. Nämnden har dessutom svårt att se hur bestämmelsen i 59b § 3 mom. om att den myndighet som riket utsett ska, när den fattar ett beslut som annars skulle höra till landskapets behörighet, fatta beslutet i enlighet med landskapsregeringens ståndpunkt, ska kunna uppfyllas. </w:t>
      </w:r>
    </w:p>
    <w:p w14:paraId="31111799" w14:textId="77C3147B" w:rsidR="00912C57" w:rsidRDefault="00912C57" w:rsidP="001E512D">
      <w:pPr>
        <w:pStyle w:val="ANormal"/>
        <w:rPr>
          <w:lang w:val="sv-FI"/>
        </w:rPr>
      </w:pPr>
    </w:p>
    <w:p w14:paraId="656F0486" w14:textId="77777777" w:rsidR="00912C57" w:rsidRDefault="00912C57" w:rsidP="001E512D">
      <w:pPr>
        <w:pStyle w:val="ANormal"/>
        <w:rPr>
          <w:i/>
          <w:iCs/>
          <w:lang w:val="sv-FI"/>
        </w:rPr>
      </w:pPr>
    </w:p>
    <w:p w14:paraId="11F5B2F7" w14:textId="6F0D6D75" w:rsidR="00912C57" w:rsidRDefault="00912C57" w:rsidP="001E512D">
      <w:pPr>
        <w:pStyle w:val="ANormal"/>
        <w:rPr>
          <w:i/>
          <w:iCs/>
          <w:lang w:val="sv-FI"/>
        </w:rPr>
      </w:pPr>
      <w:r>
        <w:rPr>
          <w:i/>
          <w:iCs/>
          <w:lang w:val="sv-FI"/>
        </w:rPr>
        <w:lastRenderedPageBreak/>
        <w:t>Utskottets slutsats</w:t>
      </w:r>
    </w:p>
    <w:p w14:paraId="712D071B" w14:textId="77777777" w:rsidR="00912C57" w:rsidRPr="00912C57" w:rsidRDefault="00912C57" w:rsidP="001E512D">
      <w:pPr>
        <w:pStyle w:val="ANormal"/>
        <w:rPr>
          <w:i/>
          <w:iCs/>
          <w:sz w:val="10"/>
          <w:szCs w:val="10"/>
          <w:lang w:val="sv-FI"/>
        </w:rPr>
      </w:pPr>
    </w:p>
    <w:p w14:paraId="1F3F7119" w14:textId="4ECE3510" w:rsidR="0048685A" w:rsidRDefault="0048685A" w:rsidP="001E512D">
      <w:pPr>
        <w:pStyle w:val="ANormal"/>
        <w:rPr>
          <w:lang w:val="sv-FI"/>
        </w:rPr>
      </w:pPr>
      <w:r>
        <w:rPr>
          <w:lang w:val="sv-FI"/>
        </w:rPr>
        <w:t>Utskottet omfattar självstyrelsepolitiska nämndens utlåtande</w:t>
      </w:r>
      <w:r w:rsidR="00687C83">
        <w:rPr>
          <w:lang w:val="sv-FI"/>
        </w:rPr>
        <w:t xml:space="preserve">, men </w:t>
      </w:r>
      <w:r w:rsidR="00DC7BB3">
        <w:rPr>
          <w:lang w:val="sv-FI"/>
        </w:rPr>
        <w:t>k</w:t>
      </w:r>
      <w:r>
        <w:rPr>
          <w:lang w:val="sv-FI"/>
        </w:rPr>
        <w:t xml:space="preserve">onstaterar i likhet med nämnden att det inte föreligger någon möjlighet för Åland att överpröva presidentens och </w:t>
      </w:r>
      <w:r w:rsidR="002C32E8">
        <w:rPr>
          <w:lang w:val="sv-FI"/>
        </w:rPr>
        <w:t>H</w:t>
      </w:r>
      <w:r>
        <w:rPr>
          <w:lang w:val="sv-FI"/>
        </w:rPr>
        <w:t xml:space="preserve">ögsta domstolens beslut utan att lagtinget har att rätta sig efter dem </w:t>
      </w:r>
      <w:r w:rsidR="00B0645B">
        <w:rPr>
          <w:lang w:val="sv-FI"/>
        </w:rPr>
        <w:t>och anta det föreliggande lagförslaget.</w:t>
      </w:r>
    </w:p>
    <w:p w14:paraId="4491FB5D" w14:textId="2F64EBD0" w:rsidR="001E512D" w:rsidRPr="001E512D" w:rsidRDefault="001E512D" w:rsidP="001E512D">
      <w:pPr>
        <w:pStyle w:val="ANormal"/>
        <w:rPr>
          <w:lang w:val="sv-FI"/>
        </w:rPr>
      </w:pPr>
      <w:r>
        <w:rPr>
          <w:lang w:val="sv-FI"/>
        </w:rPr>
        <w:tab/>
      </w:r>
    </w:p>
    <w:p w14:paraId="1BC37FD5" w14:textId="77777777" w:rsidR="002401D0" w:rsidRDefault="002401D0">
      <w:pPr>
        <w:pStyle w:val="RubrikA"/>
      </w:pPr>
      <w:bookmarkStart w:id="9" w:name="_Toc529800936"/>
      <w:bookmarkStart w:id="10" w:name="_Toc66090394"/>
      <w:r>
        <w:t>Ärendets behandling</w:t>
      </w:r>
      <w:bookmarkEnd w:id="9"/>
      <w:bookmarkEnd w:id="10"/>
    </w:p>
    <w:p w14:paraId="360BC980" w14:textId="77777777" w:rsidR="002401D0" w:rsidRDefault="002401D0">
      <w:pPr>
        <w:pStyle w:val="Rubrikmellanrum"/>
      </w:pPr>
    </w:p>
    <w:p w14:paraId="05CC29EE" w14:textId="7E6B1D0C" w:rsidR="009B3F1E" w:rsidRDefault="009B3F1E" w:rsidP="009B3F1E">
      <w:pPr>
        <w:pStyle w:val="ANormal"/>
      </w:pPr>
      <w:r>
        <w:t xml:space="preserve">Lagtinget har den 27 januari 2021 </w:t>
      </w:r>
      <w:proofErr w:type="spellStart"/>
      <w:r>
        <w:t>inbegärt</w:t>
      </w:r>
      <w:proofErr w:type="spellEnd"/>
      <w:r>
        <w:t xml:space="preserve"> social- och miljöutskottets yttrande i ärendet. </w:t>
      </w:r>
    </w:p>
    <w:p w14:paraId="6E465363" w14:textId="0626DA72" w:rsidR="00756737" w:rsidRDefault="00756737" w:rsidP="009B3F1E">
      <w:pPr>
        <w:pStyle w:val="ANormal"/>
      </w:pPr>
      <w:r>
        <w:tab/>
      </w:r>
      <w:r w:rsidRPr="00756737">
        <w:t>S</w:t>
      </w:r>
      <w:r>
        <w:t xml:space="preserve">jälvstyrelsepolitiska nämnden </w:t>
      </w:r>
      <w:r w:rsidRPr="00756737">
        <w:t xml:space="preserve">har </w:t>
      </w:r>
      <w:r w:rsidR="0094463C">
        <w:t xml:space="preserve">den 2 mars 2021 </w:t>
      </w:r>
      <w:r w:rsidRPr="00756737">
        <w:t>avgett ett utlåtande över lagförslaget. Utlåtandet bifogas betänkandet.</w:t>
      </w:r>
    </w:p>
    <w:p w14:paraId="0471468A" w14:textId="7145377D" w:rsidR="009B3F1E" w:rsidRPr="00ED0B51" w:rsidRDefault="009B3F1E" w:rsidP="009B3F1E">
      <w:pPr>
        <w:pStyle w:val="ANormal"/>
      </w:pPr>
      <w:r>
        <w:tab/>
        <w:t>Utskottet har i ärendet hört</w:t>
      </w:r>
      <w:r w:rsidR="003E11FD">
        <w:t xml:space="preserve"> ministern Annette Holmberg-Jansson, juristen Joel </w:t>
      </w:r>
      <w:proofErr w:type="spellStart"/>
      <w:r w:rsidR="003E11FD">
        <w:t>Bremius</w:t>
      </w:r>
      <w:proofErr w:type="spellEnd"/>
      <w:r w:rsidR="003E11FD">
        <w:t xml:space="preserve"> och lagberedaren Olle Ekström.</w:t>
      </w:r>
      <w:r>
        <w:t xml:space="preserve"> </w:t>
      </w:r>
    </w:p>
    <w:p w14:paraId="08ABBCA8" w14:textId="66BFCD53" w:rsidR="009B3F1E" w:rsidRPr="00CA0EA6" w:rsidRDefault="009B3F1E" w:rsidP="009B3F1E">
      <w:pPr>
        <w:pStyle w:val="ANormal"/>
        <w:rPr>
          <w:color w:val="000000"/>
        </w:rPr>
      </w:pPr>
      <w:r>
        <w:rPr>
          <w:color w:val="000000"/>
        </w:rPr>
        <w:tab/>
      </w:r>
      <w:r w:rsidRPr="00CA0EA6">
        <w:rPr>
          <w:color w:val="000000"/>
        </w:rPr>
        <w:t xml:space="preserve">I ärendets avgörande behandling deltog ordföranden </w:t>
      </w:r>
      <w:r>
        <w:rPr>
          <w:color w:val="000000"/>
        </w:rPr>
        <w:t>Pernilla Söderlund</w:t>
      </w:r>
      <w:r w:rsidRPr="00CA0EA6">
        <w:rPr>
          <w:color w:val="000000"/>
        </w:rPr>
        <w:t xml:space="preserve">, viceordföranden </w:t>
      </w:r>
      <w:r>
        <w:rPr>
          <w:color w:val="000000"/>
        </w:rPr>
        <w:t>Mikael Lindholm</w:t>
      </w:r>
      <w:r w:rsidRPr="00CA0EA6">
        <w:rPr>
          <w:color w:val="000000"/>
        </w:rPr>
        <w:t xml:space="preserve"> samt ledamöterna</w:t>
      </w:r>
      <w:r>
        <w:rPr>
          <w:color w:val="000000"/>
        </w:rPr>
        <w:t xml:space="preserve"> Stellan </w:t>
      </w:r>
      <w:proofErr w:type="spellStart"/>
      <w:r>
        <w:rPr>
          <w:color w:val="000000"/>
        </w:rPr>
        <w:t>Egeland</w:t>
      </w:r>
      <w:proofErr w:type="spellEnd"/>
      <w:r>
        <w:rPr>
          <w:color w:val="000000"/>
        </w:rPr>
        <w:t xml:space="preserve">, Simon Holmström, Jesper Josefsson, Simon </w:t>
      </w:r>
      <w:proofErr w:type="spellStart"/>
      <w:r>
        <w:rPr>
          <w:color w:val="000000"/>
        </w:rPr>
        <w:t>Påvals</w:t>
      </w:r>
      <w:proofErr w:type="spellEnd"/>
      <w:r>
        <w:rPr>
          <w:color w:val="000000"/>
        </w:rPr>
        <w:t xml:space="preserve"> och Wille </w:t>
      </w:r>
      <w:proofErr w:type="spellStart"/>
      <w:r>
        <w:rPr>
          <w:color w:val="000000"/>
        </w:rPr>
        <w:t>Valve</w:t>
      </w:r>
      <w:proofErr w:type="spellEnd"/>
      <w:r>
        <w:rPr>
          <w:color w:val="000000"/>
        </w:rPr>
        <w:t xml:space="preserve">. </w:t>
      </w:r>
    </w:p>
    <w:p w14:paraId="3F712610" w14:textId="77777777" w:rsidR="009B3F1E" w:rsidRDefault="009B3F1E" w:rsidP="009B3F1E">
      <w:pPr>
        <w:pStyle w:val="ANormal"/>
      </w:pPr>
    </w:p>
    <w:p w14:paraId="6FC411A2" w14:textId="77777777" w:rsidR="002401D0" w:rsidRDefault="002401D0">
      <w:pPr>
        <w:pStyle w:val="RubrikA"/>
      </w:pPr>
      <w:bookmarkStart w:id="11" w:name="_Toc529800937"/>
      <w:bookmarkStart w:id="12" w:name="_Toc66090395"/>
      <w:r>
        <w:t>Utskottets förslag</w:t>
      </w:r>
      <w:bookmarkEnd w:id="11"/>
      <w:bookmarkEnd w:id="12"/>
    </w:p>
    <w:p w14:paraId="4FE55F00" w14:textId="77777777" w:rsidR="002401D0" w:rsidRDefault="002401D0">
      <w:pPr>
        <w:pStyle w:val="Rubrikmellanrum"/>
      </w:pPr>
    </w:p>
    <w:p w14:paraId="2D7A5340" w14:textId="77777777" w:rsidR="002401D0" w:rsidRDefault="002401D0">
      <w:pPr>
        <w:pStyle w:val="ANormal"/>
      </w:pPr>
      <w:r>
        <w:t>Med hänvisning till det anförda föreslår utskottet</w:t>
      </w:r>
    </w:p>
    <w:p w14:paraId="48D88655" w14:textId="77777777" w:rsidR="002401D0" w:rsidRDefault="002401D0">
      <w:pPr>
        <w:pStyle w:val="ANormal"/>
      </w:pPr>
    </w:p>
    <w:p w14:paraId="35A63AAE" w14:textId="302646E7" w:rsidR="002401D0" w:rsidRDefault="002401D0">
      <w:pPr>
        <w:pStyle w:val="Klam"/>
      </w:pPr>
      <w:r>
        <w:t>att lagtinget</w:t>
      </w:r>
      <w:r w:rsidR="009B3F1E">
        <w:t xml:space="preserve"> antar lagförslaget i </w:t>
      </w:r>
      <w:r w:rsidR="00756737">
        <w:t xml:space="preserve">oförändrad </w:t>
      </w:r>
      <w:r w:rsidR="009B3F1E">
        <w:t>lydelse</w:t>
      </w:r>
      <w:r w:rsidR="00756737">
        <w:t xml:space="preserve">. </w:t>
      </w:r>
    </w:p>
    <w:p w14:paraId="477AE5D5" w14:textId="50CFF505" w:rsidR="007F4B91" w:rsidRDefault="007F4B91" w:rsidP="007F4B91">
      <w:pPr>
        <w:pStyle w:val="ANormal"/>
      </w:pPr>
    </w:p>
    <w:p w14:paraId="54F79615" w14:textId="39459898" w:rsidR="007F4B91" w:rsidRDefault="007F4B91" w:rsidP="007F4B91">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7F4B91" w:rsidRPr="007F4B91" w14:paraId="3A255A4C" w14:textId="77777777" w:rsidTr="009A172C">
        <w:trPr>
          <w:cantSplit/>
        </w:trPr>
        <w:tc>
          <w:tcPr>
            <w:tcW w:w="7931" w:type="dxa"/>
            <w:gridSpan w:val="2"/>
          </w:tcPr>
          <w:p w14:paraId="476649AD" w14:textId="7DE808C9" w:rsidR="007F4B91" w:rsidRPr="007F4B91" w:rsidRDefault="007F4B91" w:rsidP="007F4B91">
            <w:pPr>
              <w:pStyle w:val="ANormal"/>
            </w:pPr>
            <w:r w:rsidRPr="007F4B91">
              <w:t xml:space="preserve">Mariehamn den </w:t>
            </w:r>
            <w:r w:rsidR="00824BD0">
              <w:t>11</w:t>
            </w:r>
            <w:r w:rsidRPr="007F4B91">
              <w:t xml:space="preserve"> </w:t>
            </w:r>
            <w:r>
              <w:t>mars</w:t>
            </w:r>
            <w:r w:rsidRPr="007F4B91">
              <w:t xml:space="preserve"> 202</w:t>
            </w:r>
            <w:r>
              <w:t>1</w:t>
            </w:r>
          </w:p>
        </w:tc>
      </w:tr>
      <w:tr w:rsidR="007F4B91" w:rsidRPr="007F4B91" w14:paraId="599D7ACB" w14:textId="77777777" w:rsidTr="009A172C">
        <w:tc>
          <w:tcPr>
            <w:tcW w:w="4454" w:type="dxa"/>
            <w:vAlign w:val="bottom"/>
          </w:tcPr>
          <w:p w14:paraId="4605F764" w14:textId="77777777" w:rsidR="007F4B91" w:rsidRPr="007F4B91" w:rsidRDefault="007F4B91" w:rsidP="007F4B91">
            <w:pPr>
              <w:pStyle w:val="ANormal"/>
            </w:pPr>
          </w:p>
          <w:p w14:paraId="6DF092BD" w14:textId="77777777" w:rsidR="007F4B91" w:rsidRPr="007F4B91" w:rsidRDefault="007F4B91" w:rsidP="007F4B91">
            <w:pPr>
              <w:pStyle w:val="ANormal"/>
            </w:pPr>
          </w:p>
          <w:p w14:paraId="413A4D94" w14:textId="77777777" w:rsidR="007F4B91" w:rsidRPr="007F4B91" w:rsidRDefault="007F4B91" w:rsidP="007F4B91">
            <w:pPr>
              <w:pStyle w:val="ANormal"/>
            </w:pPr>
            <w:r w:rsidRPr="007F4B91">
              <w:t>Ordförande</w:t>
            </w:r>
          </w:p>
        </w:tc>
        <w:tc>
          <w:tcPr>
            <w:tcW w:w="3477" w:type="dxa"/>
            <w:vAlign w:val="bottom"/>
          </w:tcPr>
          <w:p w14:paraId="74BEF669" w14:textId="77777777" w:rsidR="007F4B91" w:rsidRPr="007F4B91" w:rsidRDefault="007F4B91" w:rsidP="007F4B91">
            <w:pPr>
              <w:pStyle w:val="ANormal"/>
            </w:pPr>
          </w:p>
          <w:p w14:paraId="5D001D91" w14:textId="77777777" w:rsidR="007F4B91" w:rsidRPr="007F4B91" w:rsidRDefault="007F4B91" w:rsidP="007F4B91">
            <w:pPr>
              <w:pStyle w:val="ANormal"/>
            </w:pPr>
          </w:p>
          <w:p w14:paraId="687B3497" w14:textId="77777777" w:rsidR="007F4B91" w:rsidRPr="007F4B91" w:rsidRDefault="007F4B91" w:rsidP="007F4B91">
            <w:pPr>
              <w:pStyle w:val="ANormal"/>
            </w:pPr>
            <w:r w:rsidRPr="007F4B91">
              <w:t>Pernilla Söderlund</w:t>
            </w:r>
          </w:p>
        </w:tc>
      </w:tr>
      <w:tr w:rsidR="007F4B91" w:rsidRPr="007F4B91" w14:paraId="13082E2D" w14:textId="77777777" w:rsidTr="009A172C">
        <w:tc>
          <w:tcPr>
            <w:tcW w:w="4454" w:type="dxa"/>
            <w:vAlign w:val="bottom"/>
          </w:tcPr>
          <w:p w14:paraId="097C93D8" w14:textId="77777777" w:rsidR="007F4B91" w:rsidRPr="007F4B91" w:rsidRDefault="007F4B91" w:rsidP="007F4B91">
            <w:pPr>
              <w:pStyle w:val="ANormal"/>
            </w:pPr>
          </w:p>
          <w:p w14:paraId="0B406DA2" w14:textId="77777777" w:rsidR="007F4B91" w:rsidRPr="007F4B91" w:rsidRDefault="007F4B91" w:rsidP="007F4B91">
            <w:pPr>
              <w:pStyle w:val="ANormal"/>
            </w:pPr>
          </w:p>
          <w:p w14:paraId="41BAA11D" w14:textId="77777777" w:rsidR="007F4B91" w:rsidRPr="007F4B91" w:rsidRDefault="007F4B91" w:rsidP="007F4B91">
            <w:pPr>
              <w:pStyle w:val="ANormal"/>
            </w:pPr>
            <w:r w:rsidRPr="007F4B91">
              <w:t>Sekreterare</w:t>
            </w:r>
          </w:p>
        </w:tc>
        <w:tc>
          <w:tcPr>
            <w:tcW w:w="3477" w:type="dxa"/>
            <w:vAlign w:val="bottom"/>
          </w:tcPr>
          <w:p w14:paraId="2FC3B765" w14:textId="77777777" w:rsidR="007F4B91" w:rsidRPr="007F4B91" w:rsidRDefault="007F4B91" w:rsidP="007F4B91">
            <w:pPr>
              <w:pStyle w:val="ANormal"/>
            </w:pPr>
          </w:p>
          <w:p w14:paraId="025F59B7" w14:textId="77777777" w:rsidR="007F4B91" w:rsidRPr="007F4B91" w:rsidRDefault="007F4B91" w:rsidP="007F4B91">
            <w:pPr>
              <w:pStyle w:val="ANormal"/>
            </w:pPr>
          </w:p>
          <w:p w14:paraId="1F01618D" w14:textId="77777777" w:rsidR="007F4B91" w:rsidRPr="007F4B91" w:rsidRDefault="007F4B91" w:rsidP="007F4B91">
            <w:pPr>
              <w:pStyle w:val="ANormal"/>
            </w:pPr>
            <w:r w:rsidRPr="007F4B91">
              <w:t>Carina Strand</w:t>
            </w:r>
          </w:p>
        </w:tc>
      </w:tr>
    </w:tbl>
    <w:p w14:paraId="3DFBC773" w14:textId="5E389BFD" w:rsidR="007F4B91" w:rsidRPr="007F4B91" w:rsidRDefault="007F4B91" w:rsidP="007F4B91">
      <w:pPr>
        <w:pStyle w:val="ANormal"/>
      </w:pPr>
    </w:p>
    <w:sectPr w:rsidR="007F4B91" w:rsidRPr="007F4B91">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3DDF5" w14:textId="77777777" w:rsidR="009B3F1E" w:rsidRDefault="009B3F1E">
      <w:r>
        <w:separator/>
      </w:r>
    </w:p>
  </w:endnote>
  <w:endnote w:type="continuationSeparator" w:id="0">
    <w:p w14:paraId="3589FEEF" w14:textId="77777777" w:rsidR="009B3F1E" w:rsidRDefault="009B3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D064C" w14:textId="77777777" w:rsidR="002401D0" w:rsidRDefault="002401D0">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36DE3" w14:textId="77777777" w:rsidR="002401D0" w:rsidRDefault="002401D0">
    <w:pPr>
      <w:pStyle w:val="Sidfot"/>
      <w:rPr>
        <w:lang w:val="fi-FI"/>
      </w:rPr>
    </w:pPr>
    <w:r>
      <w:fldChar w:fldCharType="begin"/>
    </w:r>
    <w:r>
      <w:rPr>
        <w:lang w:val="fi-FI"/>
      </w:rPr>
      <w:instrText xml:space="preserve"> FILENAME  \* MERGEFORMAT </w:instrText>
    </w:r>
    <w:r>
      <w:fldChar w:fldCharType="separate"/>
    </w:r>
    <w:r w:rsidR="009B3F1E">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0D5B" w14:textId="77777777" w:rsidR="002401D0" w:rsidRDefault="002401D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7F488C" w14:textId="77777777" w:rsidR="009B3F1E" w:rsidRDefault="009B3F1E">
      <w:r>
        <w:separator/>
      </w:r>
    </w:p>
  </w:footnote>
  <w:footnote w:type="continuationSeparator" w:id="0">
    <w:p w14:paraId="4E6FDBAF" w14:textId="77777777" w:rsidR="009B3F1E" w:rsidRDefault="009B3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A651" w14:textId="77777777" w:rsidR="002401D0" w:rsidRDefault="002401D0">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17777BBF" w14:textId="77777777" w:rsidR="002401D0" w:rsidRDefault="002401D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73845" w14:textId="77777777" w:rsidR="002401D0" w:rsidRDefault="002401D0">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F1E"/>
    <w:rsid w:val="00015E9C"/>
    <w:rsid w:val="00051556"/>
    <w:rsid w:val="0005187D"/>
    <w:rsid w:val="000B2DC9"/>
    <w:rsid w:val="000D6353"/>
    <w:rsid w:val="000F7417"/>
    <w:rsid w:val="0015337C"/>
    <w:rsid w:val="001E512D"/>
    <w:rsid w:val="002401D0"/>
    <w:rsid w:val="002456EF"/>
    <w:rsid w:val="002562C2"/>
    <w:rsid w:val="002C32E8"/>
    <w:rsid w:val="003201E0"/>
    <w:rsid w:val="00325A7C"/>
    <w:rsid w:val="0036359C"/>
    <w:rsid w:val="003E11FD"/>
    <w:rsid w:val="004254CE"/>
    <w:rsid w:val="0043134B"/>
    <w:rsid w:val="0048685A"/>
    <w:rsid w:val="00623E82"/>
    <w:rsid w:val="0065479D"/>
    <w:rsid w:val="00660FCA"/>
    <w:rsid w:val="00687C83"/>
    <w:rsid w:val="006B2E9E"/>
    <w:rsid w:val="006D4A48"/>
    <w:rsid w:val="00723B93"/>
    <w:rsid w:val="00756737"/>
    <w:rsid w:val="007F4B91"/>
    <w:rsid w:val="00811D50"/>
    <w:rsid w:val="00817B04"/>
    <w:rsid w:val="00824BD0"/>
    <w:rsid w:val="00912C57"/>
    <w:rsid w:val="0094463C"/>
    <w:rsid w:val="00957C36"/>
    <w:rsid w:val="00973BF7"/>
    <w:rsid w:val="009B3F1E"/>
    <w:rsid w:val="009D73B2"/>
    <w:rsid w:val="009F7CE2"/>
    <w:rsid w:val="00B0645B"/>
    <w:rsid w:val="00B32E91"/>
    <w:rsid w:val="00B36A8F"/>
    <w:rsid w:val="00B90DEC"/>
    <w:rsid w:val="00CB087E"/>
    <w:rsid w:val="00CD00DB"/>
    <w:rsid w:val="00CF700E"/>
    <w:rsid w:val="00DC45B2"/>
    <w:rsid w:val="00DC7BB3"/>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65051F"/>
  <w15:chartTrackingRefBased/>
  <w15:docId w15:val="{7E303BAA-CAA4-411B-AB00-671BE54DE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character" w:customStyle="1" w:styleId="ANormalChar">
    <w:name w:val="ANormal Char"/>
    <w:link w:val="ANormal"/>
    <w:rsid w:val="009B3F1E"/>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t&#228;nk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LT-Betänkande.dot</Template>
  <TotalTime>41</TotalTime>
  <Pages>3</Pages>
  <Words>921</Words>
  <Characters>6527</Characters>
  <Application>Microsoft Office Word</Application>
  <DocSecurity>0</DocSecurity>
  <Lines>54</Lines>
  <Paragraphs>14</Paragraphs>
  <ScaleCrop>false</ScaleCrop>
  <HeadingPairs>
    <vt:vector size="2" baseType="variant">
      <vt:variant>
        <vt:lpstr>Rubrik</vt:lpstr>
      </vt:variant>
      <vt:variant>
        <vt:i4>1</vt:i4>
      </vt:variant>
    </vt:vector>
  </HeadingPairs>
  <TitlesOfParts>
    <vt:vector size="1" baseType="lpstr">
      <vt:lpstr>xutskottets betänkande nr x/2013-2014</vt:lpstr>
    </vt:vector>
  </TitlesOfParts>
  <Company>Ålands lagting</Company>
  <LinksUpToDate>false</LinksUpToDate>
  <CharactersWithSpaces>7434</CharactersWithSpaces>
  <SharedDoc>false</SharedDoc>
  <HLinks>
    <vt:vector size="36" baseType="variant">
      <vt:variant>
        <vt:i4>262192</vt:i4>
      </vt:variant>
      <vt:variant>
        <vt:i4>33</vt:i4>
      </vt:variant>
      <vt:variant>
        <vt:i4>0</vt:i4>
      </vt:variant>
      <vt:variant>
        <vt:i4>5</vt:i4>
      </vt:variant>
      <vt:variant>
        <vt:lpwstr/>
      </vt:variant>
      <vt:variant>
        <vt:lpwstr>_top</vt:lpwstr>
      </vt:variant>
      <vt:variant>
        <vt:i4>1441854</vt:i4>
      </vt:variant>
      <vt:variant>
        <vt:i4>26</vt:i4>
      </vt:variant>
      <vt:variant>
        <vt:i4>0</vt:i4>
      </vt:variant>
      <vt:variant>
        <vt:i4>5</vt:i4>
      </vt:variant>
      <vt:variant>
        <vt:lpwstr/>
      </vt:variant>
      <vt:variant>
        <vt:lpwstr>_Toc23924616</vt:lpwstr>
      </vt:variant>
      <vt:variant>
        <vt:i4>1376318</vt:i4>
      </vt:variant>
      <vt:variant>
        <vt:i4>20</vt:i4>
      </vt:variant>
      <vt:variant>
        <vt:i4>0</vt:i4>
      </vt:variant>
      <vt:variant>
        <vt:i4>5</vt:i4>
      </vt:variant>
      <vt:variant>
        <vt:lpwstr/>
      </vt:variant>
      <vt:variant>
        <vt:lpwstr>_Toc23924615</vt:lpwstr>
      </vt:variant>
      <vt:variant>
        <vt:i4>1310782</vt:i4>
      </vt:variant>
      <vt:variant>
        <vt:i4>14</vt:i4>
      </vt:variant>
      <vt:variant>
        <vt:i4>0</vt:i4>
      </vt:variant>
      <vt:variant>
        <vt:i4>5</vt:i4>
      </vt:variant>
      <vt:variant>
        <vt:lpwstr/>
      </vt:variant>
      <vt:variant>
        <vt:lpwstr>_Toc23924614</vt:lpwstr>
      </vt:variant>
      <vt:variant>
        <vt:i4>1245246</vt:i4>
      </vt:variant>
      <vt:variant>
        <vt:i4>8</vt:i4>
      </vt:variant>
      <vt:variant>
        <vt:i4>0</vt:i4>
      </vt:variant>
      <vt:variant>
        <vt:i4>5</vt:i4>
      </vt:variant>
      <vt:variant>
        <vt:lpwstr/>
      </vt:variant>
      <vt:variant>
        <vt:lpwstr>_Toc23924613</vt:lpwstr>
      </vt:variant>
      <vt:variant>
        <vt:i4>1179710</vt:i4>
      </vt:variant>
      <vt:variant>
        <vt:i4>2</vt:i4>
      </vt:variant>
      <vt:variant>
        <vt:i4>0</vt:i4>
      </vt:variant>
      <vt:variant>
        <vt:i4>5</vt:i4>
      </vt:variant>
      <vt:variant>
        <vt:lpwstr/>
      </vt:variant>
      <vt:variant>
        <vt:lpwstr>_Toc23924612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xutskottets betänkande nr x/2013-2014</dc:title>
  <dc:subject/>
  <dc:creator>Jessica Laaksonen</dc:creator>
  <cp:keywords/>
  <cp:lastModifiedBy>Carina Strand</cp:lastModifiedBy>
  <cp:revision>4</cp:revision>
  <cp:lastPrinted>2001-02-13T09:44:00Z</cp:lastPrinted>
  <dcterms:created xsi:type="dcterms:W3CDTF">2021-03-11T06:56:00Z</dcterms:created>
  <dcterms:modified xsi:type="dcterms:W3CDTF">2021-03-11T07:37:00Z</dcterms:modified>
</cp:coreProperties>
</file>