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3E1B21B0" w:rsidR="00337A19" w:rsidRDefault="00337A19" w:rsidP="009F1162">
            <w:pPr>
              <w:pStyle w:val="xDokTypNr"/>
            </w:pPr>
            <w:r>
              <w:t xml:space="preserve">BESLUT LTB </w:t>
            </w:r>
            <w:r w:rsidR="004F739F">
              <w:t>2</w:t>
            </w:r>
            <w:r w:rsidR="007F1601">
              <w:t>3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4C2EEA79" w14:textId="560EA8EB" w:rsidR="00FB00C9" w:rsidRPr="000527F3" w:rsidRDefault="00337A19" w:rsidP="00FB00C9">
      <w:pPr>
        <w:pStyle w:val="ArendeRubrik"/>
        <w:outlineLvl w:val="0"/>
      </w:pPr>
      <w:bookmarkStart w:id="1" w:name="_Toc65564307"/>
      <w:r>
        <w:t>Landskapslag</w:t>
      </w:r>
      <w:bookmarkEnd w:id="1"/>
      <w:r w:rsidR="00FB00C9">
        <w:t xml:space="preserve"> </w:t>
      </w:r>
      <w:r w:rsidR="00FB00C9" w:rsidRPr="000527F3">
        <w:t>om ändring av</w:t>
      </w:r>
      <w:r w:rsidR="00FB00C9">
        <w:t xml:space="preserve"> </w:t>
      </w:r>
      <w:r w:rsidR="00FB00C9" w:rsidRPr="00B840B5">
        <w:t>20</w:t>
      </w:r>
      <w:r w:rsidR="00FB00C9">
        <w:t> §</w:t>
      </w:r>
      <w:r w:rsidR="00FB00C9" w:rsidRPr="00B840B5">
        <w:t xml:space="preserve"> landskapslagen om Ålands ombudsmannamyndighet</w:t>
      </w:r>
    </w:p>
    <w:p w14:paraId="3EE611BA" w14:textId="77777777" w:rsidR="00FB00C9" w:rsidRDefault="00FB00C9" w:rsidP="00FB00C9">
      <w:pPr>
        <w:pStyle w:val="ANormal"/>
      </w:pPr>
    </w:p>
    <w:p w14:paraId="1B42EA62" w14:textId="77777777" w:rsidR="00FB00C9" w:rsidRDefault="00FB00C9" w:rsidP="00FB00C9">
      <w:pPr>
        <w:pStyle w:val="ANormal"/>
      </w:pPr>
      <w:r>
        <w:tab/>
      </w:r>
      <w:bookmarkStart w:id="2" w:name="_Hlk36188595"/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20 § 2 mom. landskapslagen </w:t>
      </w:r>
      <w:r w:rsidRPr="00B840B5">
        <w:t>(2014:33) om Ålands ombudsmannamyndighet</w:t>
      </w:r>
      <w:r>
        <w:t>, sådant momentet lyder i landskapslagen 2019/16,</w:t>
      </w:r>
      <w:r w:rsidRPr="00B840B5">
        <w:t xml:space="preserve"> </w:t>
      </w:r>
      <w:r>
        <w:t xml:space="preserve">som </w:t>
      </w:r>
      <w:r w:rsidRPr="00733DCE">
        <w:t>följer:</w:t>
      </w:r>
    </w:p>
    <w:bookmarkEnd w:id="2"/>
    <w:p w14:paraId="712674F6" w14:textId="77777777" w:rsidR="00FB00C9" w:rsidRDefault="00FB00C9" w:rsidP="00FB00C9">
      <w:pPr>
        <w:pStyle w:val="ANormal"/>
      </w:pPr>
    </w:p>
    <w:p w14:paraId="6B61E685" w14:textId="77777777" w:rsidR="00FB00C9" w:rsidRDefault="00FB00C9" w:rsidP="00FB00C9">
      <w:pPr>
        <w:pStyle w:val="LagParagraf"/>
      </w:pPr>
      <w:r>
        <w:t>20 §</w:t>
      </w:r>
    </w:p>
    <w:p w14:paraId="25D55E8D" w14:textId="77777777" w:rsidR="00FB00C9" w:rsidRPr="00082D10" w:rsidRDefault="00FB00C9" w:rsidP="00FB00C9">
      <w:pPr>
        <w:pStyle w:val="LagPararubrik"/>
      </w:pPr>
      <w:r w:rsidRPr="00B840B5">
        <w:t>Skyldighet att lämna uppgifter till ombudsmannamyndigheten</w:t>
      </w:r>
    </w:p>
    <w:p w14:paraId="0598FFCC" w14:textId="77777777" w:rsidR="00FB00C9" w:rsidRDefault="00FB00C9" w:rsidP="00FB00C9">
      <w:pPr>
        <w:pStyle w:val="ANormal"/>
      </w:pPr>
      <w:r w:rsidRPr="002A2F4F">
        <w:t>- - - - - - - - - - - - - - - - - - - - - - - - - - - - - - - - - - - - - - - - - - - - - - - - - - - -</w:t>
      </w:r>
    </w:p>
    <w:p w14:paraId="5999EDE7" w14:textId="77777777" w:rsidR="00FB00C9" w:rsidRDefault="00FB00C9" w:rsidP="00FB00C9">
      <w:pPr>
        <w:pStyle w:val="ANormal"/>
      </w:pPr>
      <w:r>
        <w:tab/>
        <w:t xml:space="preserve">Den i 1 mom. avsedda skyldigheten omfattar även sådana uppgifter som omfattas av sekretessbestämmelser om uppgifterna i fråga är nödvändiga för ombudsmannamyndighetens verksamhet. </w:t>
      </w:r>
      <w:r w:rsidRPr="00B90129">
        <w:t xml:space="preserve">Om handlingars och uppgifters offentlighet gäller i övrigt vad som föreskrivs i offentlighetslagen </w:t>
      </w:r>
      <w:r w:rsidRPr="00FB00C9">
        <w:t>(:)</w:t>
      </w:r>
      <w:r>
        <w:t xml:space="preserve"> </w:t>
      </w:r>
      <w:r w:rsidRPr="00B90129">
        <w:t>för Åland.</w:t>
      </w:r>
    </w:p>
    <w:p w14:paraId="0148AAFC" w14:textId="77777777" w:rsidR="00FB00C9" w:rsidRPr="000527F3" w:rsidRDefault="00FB00C9" w:rsidP="00FB00C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5BD446E2" w14:textId="77777777" w:rsidR="00FB00C9" w:rsidRPr="008735DA" w:rsidRDefault="00FB00C9" w:rsidP="00FB00C9">
      <w:pPr>
        <w:pStyle w:val="ANormal"/>
      </w:pPr>
    </w:p>
    <w:p w14:paraId="79B034ED" w14:textId="77777777" w:rsidR="00FB00C9" w:rsidRDefault="00FB00C9" w:rsidP="00FB00C9">
      <w:pPr>
        <w:pStyle w:val="ANormal"/>
      </w:pPr>
      <w:r>
        <w:tab/>
      </w:r>
      <w:r w:rsidRPr="008735DA">
        <w:t>Denna lag träder i kraft den</w:t>
      </w:r>
    </w:p>
    <w:p w14:paraId="77EB51D2" w14:textId="77777777" w:rsidR="00FB00C9" w:rsidRPr="008735DA" w:rsidRDefault="00FB00C9" w:rsidP="00FB00C9">
      <w:pPr>
        <w:pStyle w:val="ANormal"/>
      </w:pPr>
    </w:p>
    <w:p w14:paraId="19AECA85" w14:textId="77777777" w:rsidR="00FB00C9" w:rsidRPr="000527F3" w:rsidRDefault="00FB00C9" w:rsidP="00FB00C9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84C7A"/>
    <w:rsid w:val="002E1682"/>
    <w:rsid w:val="00317808"/>
    <w:rsid w:val="00337A19"/>
    <w:rsid w:val="00342EC3"/>
    <w:rsid w:val="0038180C"/>
    <w:rsid w:val="00493359"/>
    <w:rsid w:val="004B7AE4"/>
    <w:rsid w:val="004D7ED5"/>
    <w:rsid w:val="004E7D01"/>
    <w:rsid w:val="004F64FE"/>
    <w:rsid w:val="004F739F"/>
    <w:rsid w:val="005C5E44"/>
    <w:rsid w:val="005E1BD9"/>
    <w:rsid w:val="005F6898"/>
    <w:rsid w:val="006538ED"/>
    <w:rsid w:val="007F1601"/>
    <w:rsid w:val="00800940"/>
    <w:rsid w:val="008414E5"/>
    <w:rsid w:val="00867707"/>
    <w:rsid w:val="008A31BC"/>
    <w:rsid w:val="008B5FA2"/>
    <w:rsid w:val="009F1162"/>
    <w:rsid w:val="00A45EEC"/>
    <w:rsid w:val="00AC1F80"/>
    <w:rsid w:val="00AF7B2F"/>
    <w:rsid w:val="00B5110A"/>
    <w:rsid w:val="00BD48EF"/>
    <w:rsid w:val="00BE2983"/>
    <w:rsid w:val="00D636DC"/>
    <w:rsid w:val="00DD3988"/>
    <w:rsid w:val="00E6237B"/>
    <w:rsid w:val="00EB1FB6"/>
    <w:rsid w:val="00F94A35"/>
    <w:rsid w:val="00FB00C9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B00C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23/2021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2021-03-12T11:10:00Z</dcterms:created>
  <dcterms:modified xsi:type="dcterms:W3CDTF">2021-03-18T08:48:00Z</dcterms:modified>
</cp:coreProperties>
</file>