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3BB5C53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2BAFB61" w14:textId="4D74CF25" w:rsidR="00E023D9" w:rsidRDefault="00B17E59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1D23C10" wp14:editId="494DEC73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A4A9EAB" w14:textId="02899AB8" w:rsidR="00E023D9" w:rsidRDefault="00B17E59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09571B8A" wp14:editId="04C13136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585FC9CD" w14:textId="77777777">
        <w:trPr>
          <w:cantSplit/>
          <w:trHeight w:val="299"/>
        </w:trPr>
        <w:tc>
          <w:tcPr>
            <w:tcW w:w="861" w:type="dxa"/>
            <w:vMerge/>
          </w:tcPr>
          <w:p w14:paraId="475B803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C52580F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1E08F305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2F749A13" w14:textId="77777777">
        <w:trPr>
          <w:cantSplit/>
          <w:trHeight w:val="238"/>
        </w:trPr>
        <w:tc>
          <w:tcPr>
            <w:tcW w:w="861" w:type="dxa"/>
            <w:vMerge/>
          </w:tcPr>
          <w:p w14:paraId="6DCDA62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56BD022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41C510A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D5DB850" w14:textId="77777777" w:rsidR="00E023D9" w:rsidRDefault="00E023D9">
            <w:pPr>
              <w:pStyle w:val="xLedtext"/>
            </w:pPr>
          </w:p>
        </w:tc>
      </w:tr>
      <w:tr w:rsidR="00E023D9" w14:paraId="65CE9C9C" w14:textId="77777777">
        <w:trPr>
          <w:cantSplit/>
          <w:trHeight w:val="238"/>
        </w:trPr>
        <w:tc>
          <w:tcPr>
            <w:tcW w:w="861" w:type="dxa"/>
            <w:vMerge/>
          </w:tcPr>
          <w:p w14:paraId="2747898B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E746DA3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539F05BE" w14:textId="7478A409" w:rsidR="00E023D9" w:rsidRDefault="00E023D9">
            <w:pPr>
              <w:pStyle w:val="xDatum1"/>
            </w:pPr>
            <w:r>
              <w:t>20</w:t>
            </w:r>
            <w:r w:rsidR="00F62E1D">
              <w:t>20</w:t>
            </w:r>
            <w:r>
              <w:t>-</w:t>
            </w:r>
            <w:r w:rsidR="002474F9">
              <w:t>11-</w:t>
            </w:r>
            <w:r w:rsidR="00C733B1">
              <w:t>19</w:t>
            </w:r>
          </w:p>
        </w:tc>
        <w:tc>
          <w:tcPr>
            <w:tcW w:w="2563" w:type="dxa"/>
            <w:vAlign w:val="center"/>
          </w:tcPr>
          <w:p w14:paraId="16AC29DC" w14:textId="77777777" w:rsidR="00E023D9" w:rsidRDefault="00E023D9">
            <w:pPr>
              <w:pStyle w:val="xBeteckning1"/>
            </w:pPr>
          </w:p>
        </w:tc>
      </w:tr>
      <w:tr w:rsidR="00E023D9" w14:paraId="7413252E" w14:textId="77777777">
        <w:trPr>
          <w:cantSplit/>
          <w:trHeight w:val="238"/>
        </w:trPr>
        <w:tc>
          <w:tcPr>
            <w:tcW w:w="861" w:type="dxa"/>
            <w:vMerge/>
          </w:tcPr>
          <w:p w14:paraId="425AF5A6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68EA724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9AECEA5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23A5D1E" w14:textId="77777777" w:rsidR="00E023D9" w:rsidRDefault="00E023D9">
            <w:pPr>
              <w:pStyle w:val="xLedtext"/>
            </w:pPr>
          </w:p>
        </w:tc>
      </w:tr>
      <w:tr w:rsidR="00E023D9" w14:paraId="4DAF02A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D865B63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66C9A3D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F65F59E" w14:textId="09AC6A41" w:rsidR="00E023D9" w:rsidRPr="00055D5C" w:rsidRDefault="00E023D9">
            <w:pPr>
              <w:pStyle w:val="xDatum2"/>
              <w:rPr>
                <w:b/>
                <w:bCs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58C97FA" w14:textId="4234FCBA" w:rsidR="00E023D9" w:rsidRPr="00055D5C" w:rsidRDefault="00E023D9">
            <w:pPr>
              <w:pStyle w:val="xBeteckning2"/>
              <w:rPr>
                <w:b/>
                <w:bCs/>
              </w:rPr>
            </w:pPr>
          </w:p>
        </w:tc>
      </w:tr>
      <w:tr w:rsidR="00E023D9" w14:paraId="7EDBC3D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E066ACF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73C575F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0F0BEFE" w14:textId="77777777" w:rsidR="00E023D9" w:rsidRDefault="00E023D9">
            <w:pPr>
              <w:pStyle w:val="xLedtext"/>
            </w:pPr>
          </w:p>
        </w:tc>
      </w:tr>
    </w:tbl>
    <w:p w14:paraId="4FF486A3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72DE0755" w14:textId="76B54FB7" w:rsidR="00E023D9" w:rsidRDefault="00E023D9">
      <w:pPr>
        <w:pStyle w:val="ArendeOverRubrik"/>
      </w:pPr>
      <w:r>
        <w:t xml:space="preserve">Parallelltexter till landskapsregeringens </w:t>
      </w:r>
      <w:r w:rsidR="00F62E1D">
        <w:t>lagförslag</w:t>
      </w:r>
    </w:p>
    <w:p w14:paraId="4ACC4C34" w14:textId="635F8F07" w:rsidR="00E023D9" w:rsidRDefault="00F62E1D">
      <w:pPr>
        <w:pStyle w:val="ArendeRubrik"/>
      </w:pPr>
      <w:r>
        <w:t>Lagstiftning om kommunstruktur och förändringar av kommunindelningen</w:t>
      </w:r>
    </w:p>
    <w:p w14:paraId="1A943857" w14:textId="097D0939" w:rsidR="00E023D9" w:rsidRDefault="00E023D9">
      <w:pPr>
        <w:pStyle w:val="ArendeUnderRubrik"/>
      </w:pPr>
      <w:r>
        <w:t xml:space="preserve">Landskapsregeringens </w:t>
      </w:r>
      <w:r w:rsidR="00F62E1D">
        <w:t>lagförslag</w:t>
      </w:r>
      <w:r>
        <w:t xml:space="preserve"> nr </w:t>
      </w:r>
      <w:r w:rsidR="003B27F1">
        <w:t>5</w:t>
      </w:r>
      <w:r>
        <w:t>/</w:t>
      </w:r>
      <w:proofErr w:type="gramStart"/>
      <w:r>
        <w:t>20</w:t>
      </w:r>
      <w:r w:rsidR="00F62E1D">
        <w:t>20</w:t>
      </w:r>
      <w:r>
        <w:t>-20</w:t>
      </w:r>
      <w:r w:rsidR="00F62E1D">
        <w:t>21</w:t>
      </w:r>
      <w:proofErr w:type="gramEnd"/>
    </w:p>
    <w:p w14:paraId="43422617" w14:textId="77777777" w:rsidR="00E023D9" w:rsidRDefault="00E023D9">
      <w:pPr>
        <w:pStyle w:val="ANormal"/>
      </w:pPr>
    </w:p>
    <w:p w14:paraId="5BBC1AF1" w14:textId="77777777" w:rsidR="00E023D9" w:rsidRDefault="00E023D9">
      <w:pPr>
        <w:pStyle w:val="Innehll1"/>
      </w:pPr>
      <w:r>
        <w:t>INNEHÅLL</w:t>
      </w:r>
    </w:p>
    <w:p w14:paraId="66C8FD7F" w14:textId="3FF3393F" w:rsidR="00B17E59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51927694" w:history="1">
        <w:r w:rsidR="00B17E59" w:rsidRPr="00BA3A90">
          <w:rPr>
            <w:rStyle w:val="Hyperlnk"/>
            <w:lang w:val="en-GB"/>
          </w:rPr>
          <w:t xml:space="preserve">L A N D S K A P S L A G om </w:t>
        </w:r>
        <w:r w:rsidR="00B17E59" w:rsidRPr="00BA3A90">
          <w:rPr>
            <w:rStyle w:val="Hyperlnk"/>
          </w:rPr>
          <w:t>ändring av kommunstrukturlagen för Åland</w:t>
        </w:r>
        <w:r w:rsidR="00B17E59">
          <w:rPr>
            <w:webHidden/>
          </w:rPr>
          <w:tab/>
        </w:r>
        <w:r w:rsidR="00B17E59">
          <w:rPr>
            <w:webHidden/>
          </w:rPr>
          <w:fldChar w:fldCharType="begin"/>
        </w:r>
        <w:r w:rsidR="00B17E59">
          <w:rPr>
            <w:webHidden/>
          </w:rPr>
          <w:instrText xml:space="preserve"> PAGEREF _Toc51927694 \h </w:instrText>
        </w:r>
        <w:r w:rsidR="00B17E59">
          <w:rPr>
            <w:webHidden/>
          </w:rPr>
        </w:r>
        <w:r w:rsidR="00B17E59">
          <w:rPr>
            <w:webHidden/>
          </w:rPr>
          <w:fldChar w:fldCharType="separate"/>
        </w:r>
        <w:r w:rsidR="00A453C8">
          <w:rPr>
            <w:webHidden/>
          </w:rPr>
          <w:t>1</w:t>
        </w:r>
        <w:r w:rsidR="00B17E59">
          <w:rPr>
            <w:webHidden/>
          </w:rPr>
          <w:fldChar w:fldCharType="end"/>
        </w:r>
      </w:hyperlink>
    </w:p>
    <w:p w14:paraId="2581F09B" w14:textId="47B1DB16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04F83936" w14:textId="77777777" w:rsidR="00E023D9" w:rsidRDefault="00E023D9">
      <w:pPr>
        <w:pStyle w:val="ANormal"/>
        <w:rPr>
          <w:noProof/>
        </w:rPr>
      </w:pPr>
    </w:p>
    <w:p w14:paraId="41B78A5C" w14:textId="3BDFDB17" w:rsidR="00E023D9" w:rsidRPr="00D13B66" w:rsidRDefault="00F62E1D">
      <w:pPr>
        <w:pStyle w:val="ANormal"/>
        <w:rPr>
          <w:lang w:val="en-GB"/>
        </w:rPr>
      </w:pPr>
      <w:r>
        <w:rPr>
          <w:lang w:val="en-GB"/>
        </w:rPr>
        <w:t>2</w:t>
      </w:r>
      <w:r w:rsidR="00262245">
        <w:rPr>
          <w:lang w:val="en-GB"/>
        </w:rPr>
        <w:t>.</w:t>
      </w:r>
    </w:p>
    <w:p w14:paraId="3943B8AC" w14:textId="43DD6196" w:rsidR="00E023D9" w:rsidRPr="00D13B66" w:rsidRDefault="00E023D9">
      <w:pPr>
        <w:pStyle w:val="LagHuvRubr"/>
        <w:rPr>
          <w:lang w:val="en-GB"/>
        </w:rPr>
      </w:pPr>
      <w:bookmarkStart w:id="0" w:name="_Toc500921111"/>
      <w:bookmarkStart w:id="1" w:name="_Toc528640435"/>
      <w:bookmarkStart w:id="2" w:name="_Toc51927694"/>
      <w:r w:rsidRPr="00D13B66">
        <w:rPr>
          <w:lang w:val="en-GB"/>
        </w:rPr>
        <w:t>L A N D S K A P S L A G</w:t>
      </w:r>
      <w:r w:rsidRPr="00D13B66">
        <w:rPr>
          <w:lang w:val="en-GB"/>
        </w:rPr>
        <w:br/>
        <w:t>om</w:t>
      </w:r>
      <w:bookmarkEnd w:id="0"/>
      <w:bookmarkEnd w:id="1"/>
      <w:r w:rsidR="00F62E1D">
        <w:rPr>
          <w:lang w:val="en-GB"/>
        </w:rPr>
        <w:t xml:space="preserve"> </w:t>
      </w:r>
      <w:r w:rsidR="00F62E1D">
        <w:t>ändring av kommunstrukturlagen för Åland</w:t>
      </w:r>
      <w:bookmarkEnd w:id="2"/>
    </w:p>
    <w:p w14:paraId="761082BC" w14:textId="32497587" w:rsidR="00E023D9" w:rsidRDefault="00E023D9">
      <w:pPr>
        <w:pStyle w:val="ANormal"/>
        <w:rPr>
          <w:lang w:val="en-GB"/>
        </w:rPr>
      </w:pPr>
    </w:p>
    <w:p w14:paraId="472E8001" w14:textId="77777777" w:rsidR="00B17E59" w:rsidRDefault="00B17E59">
      <w:pPr>
        <w:pStyle w:val="ANormal"/>
        <w:rPr>
          <w:lang w:val="en-GB"/>
        </w:rPr>
      </w:pPr>
    </w:p>
    <w:p w14:paraId="5FF57216" w14:textId="77777777" w:rsidR="00F62E1D" w:rsidRDefault="00F62E1D" w:rsidP="00F62E1D">
      <w:pPr>
        <w:pStyle w:val="ANormal"/>
      </w:pPr>
      <w:r>
        <w:tab/>
        <w:t>I enlighet med lagtingets beslut</w:t>
      </w:r>
    </w:p>
    <w:p w14:paraId="6626A63C" w14:textId="77777777" w:rsidR="00F62E1D" w:rsidRPr="00F255F2" w:rsidRDefault="00F62E1D" w:rsidP="00F62E1D">
      <w:pPr>
        <w:pStyle w:val="ANormal"/>
        <w:rPr>
          <w:b/>
          <w:bCs/>
        </w:rPr>
      </w:pPr>
      <w:r>
        <w:rPr>
          <w:b/>
          <w:bCs/>
        </w:rPr>
        <w:tab/>
      </w:r>
      <w:r w:rsidRPr="00F255F2">
        <w:rPr>
          <w:b/>
          <w:bCs/>
        </w:rPr>
        <w:t xml:space="preserve">upphävs </w:t>
      </w:r>
      <w:r w:rsidRPr="00783B51">
        <w:t>55</w:t>
      </w:r>
      <w:r>
        <w:t> §</w:t>
      </w:r>
      <w:r w:rsidRPr="00F255F2">
        <w:t xml:space="preserve"> kommunstrukturlagen (2019:29) för Åland</w:t>
      </w:r>
      <w:r>
        <w:t>,</w:t>
      </w:r>
    </w:p>
    <w:p w14:paraId="73C42961" w14:textId="77777777" w:rsidR="00F62E1D" w:rsidRDefault="00F62E1D" w:rsidP="00F62E1D">
      <w:pPr>
        <w:pStyle w:val="ANormal"/>
      </w:pPr>
      <w:r>
        <w:rPr>
          <w:b/>
          <w:bCs/>
        </w:rPr>
        <w:tab/>
      </w:r>
      <w:r w:rsidRPr="00F255F2">
        <w:rPr>
          <w:b/>
          <w:bCs/>
        </w:rPr>
        <w:t>ändras</w:t>
      </w:r>
      <w:r>
        <w:rPr>
          <w:b/>
          <w:bCs/>
        </w:rPr>
        <w:t xml:space="preserve"> </w:t>
      </w:r>
      <w:r w:rsidRPr="005E63BD">
        <w:t xml:space="preserve">lagens </w:t>
      </w:r>
      <w:r>
        <w:t>41och 42 §§ samt</w:t>
      </w:r>
    </w:p>
    <w:p w14:paraId="4774696C" w14:textId="77777777" w:rsidR="00F62E1D" w:rsidRPr="005E63BD" w:rsidRDefault="00F62E1D" w:rsidP="00F62E1D">
      <w:pPr>
        <w:pStyle w:val="ANormal"/>
      </w:pPr>
      <w:r>
        <w:rPr>
          <w:b/>
          <w:bCs/>
        </w:rPr>
        <w:tab/>
        <w:t xml:space="preserve">fogas </w:t>
      </w:r>
      <w:r w:rsidRPr="008F2375">
        <w:t>till</w:t>
      </w:r>
      <w:r>
        <w:rPr>
          <w:b/>
          <w:bCs/>
        </w:rPr>
        <w:t xml:space="preserve"> </w:t>
      </w:r>
      <w:r>
        <w:t>lagen nya 41a och b §§ som följer:</w:t>
      </w:r>
    </w:p>
    <w:p w14:paraId="20460639" w14:textId="77777777" w:rsidR="00F62E1D" w:rsidRPr="00D13B66" w:rsidRDefault="00F62E1D">
      <w:pPr>
        <w:pStyle w:val="ANormal"/>
        <w:rPr>
          <w:lang w:val="en-GB"/>
        </w:rPr>
      </w:pPr>
    </w:p>
    <w:p w14:paraId="727467D8" w14:textId="11580B57" w:rsidR="00E023D9" w:rsidRDefault="00E023D9">
      <w:pPr>
        <w:pStyle w:val="ANormal"/>
        <w:rPr>
          <w:lang w:val="en-GB"/>
        </w:rPr>
      </w:pPr>
    </w:p>
    <w:p w14:paraId="79B7C153" w14:textId="77777777" w:rsidR="00DE583A" w:rsidRPr="00D13B66" w:rsidRDefault="00DE583A">
      <w:pPr>
        <w:pStyle w:val="ANormal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5F7E3BCD" w14:textId="77777777" w:rsidTr="00DE583A">
        <w:tc>
          <w:tcPr>
            <w:tcW w:w="2426" w:type="pct"/>
          </w:tcPr>
          <w:p w14:paraId="76C0CBEA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5D5BD95A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27AE2997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709176A4" w14:textId="77777777" w:rsidTr="00DE583A">
        <w:tc>
          <w:tcPr>
            <w:tcW w:w="2426" w:type="pct"/>
          </w:tcPr>
          <w:p w14:paraId="08C91F49" w14:textId="77777777" w:rsidR="00E023D9" w:rsidRDefault="00E023D9">
            <w:pPr>
              <w:pStyle w:val="ANormal"/>
            </w:pPr>
          </w:p>
          <w:p w14:paraId="74818B11" w14:textId="77777777" w:rsidR="005047A7" w:rsidRPr="00274C20" w:rsidRDefault="005047A7" w:rsidP="005047A7">
            <w:pPr>
              <w:pStyle w:val="LagParagraf"/>
            </w:pPr>
            <w:r w:rsidRPr="00274C20">
              <w:t>41 §</w:t>
            </w:r>
          </w:p>
          <w:p w14:paraId="28C0FF04" w14:textId="77777777" w:rsidR="005047A7" w:rsidRDefault="005047A7" w:rsidP="005047A7">
            <w:pPr>
              <w:pStyle w:val="LagPararubrik"/>
            </w:pPr>
            <w:r>
              <w:t>Samgångsunderstödets grunddel och tilläggsdel</w:t>
            </w:r>
          </w:p>
          <w:p w14:paraId="0F040F67" w14:textId="77777777" w:rsidR="005047A7" w:rsidRDefault="005047A7" w:rsidP="005047A7">
            <w:pPr>
              <w:pStyle w:val="ANormal"/>
            </w:pPr>
            <w:r>
              <w:tab/>
              <w:t>Samgångsunderstödet består av en fast grunddel och en rörlig tilläggsdel som bestäms utgående från kommunens invånarantal den 1 januari det år då ändringen av kommunindelningen träder i kraft. Grunddelens belopp påverkas även av antalet kommuner som deltar i samgången.</w:t>
            </w:r>
          </w:p>
          <w:p w14:paraId="29CF98D1" w14:textId="77777777" w:rsidR="005047A7" w:rsidRDefault="005047A7" w:rsidP="005047A7">
            <w:pPr>
              <w:pStyle w:val="ANormal"/>
            </w:pPr>
          </w:p>
          <w:p w14:paraId="1C265ED2" w14:textId="77777777" w:rsidR="005047A7" w:rsidRDefault="005047A7" w:rsidP="005047A7">
            <w:pPr>
              <w:pStyle w:val="ANormal"/>
            </w:pPr>
          </w:p>
          <w:p w14:paraId="0710706A" w14:textId="77777777" w:rsidR="005047A7" w:rsidRDefault="005047A7" w:rsidP="005047A7">
            <w:pPr>
              <w:pStyle w:val="ANormal"/>
            </w:pPr>
          </w:p>
          <w:p w14:paraId="1CB548FC" w14:textId="77777777" w:rsidR="005047A7" w:rsidRDefault="005047A7" w:rsidP="005047A7">
            <w:pPr>
              <w:pStyle w:val="ANormal"/>
            </w:pPr>
          </w:p>
          <w:p w14:paraId="71BDA10B" w14:textId="77777777" w:rsidR="005047A7" w:rsidRDefault="005047A7" w:rsidP="005047A7">
            <w:pPr>
              <w:pStyle w:val="ANormal"/>
            </w:pPr>
          </w:p>
          <w:p w14:paraId="12D8175D" w14:textId="77777777" w:rsidR="005047A7" w:rsidRDefault="005047A7" w:rsidP="005047A7">
            <w:pPr>
              <w:pStyle w:val="ANormal"/>
            </w:pPr>
          </w:p>
          <w:p w14:paraId="070501B6" w14:textId="33B5EACC" w:rsidR="005047A7" w:rsidRDefault="005047A7" w:rsidP="005047A7">
            <w:pPr>
              <w:pStyle w:val="ANormal"/>
            </w:pPr>
          </w:p>
          <w:p w14:paraId="2EEC2467" w14:textId="48D8C3E2" w:rsidR="003B27F1" w:rsidRDefault="003B27F1" w:rsidP="005047A7">
            <w:pPr>
              <w:pStyle w:val="ANormal"/>
            </w:pPr>
          </w:p>
          <w:p w14:paraId="3EDF7F48" w14:textId="77777777" w:rsidR="00A453C8" w:rsidRDefault="00A453C8" w:rsidP="005047A7">
            <w:pPr>
              <w:pStyle w:val="ANormal"/>
            </w:pPr>
          </w:p>
          <w:p w14:paraId="2CD9F43D" w14:textId="77777777" w:rsidR="005047A7" w:rsidRDefault="005047A7" w:rsidP="005047A7">
            <w:pPr>
              <w:pStyle w:val="ANormal"/>
            </w:pPr>
            <w:r>
              <w:tab/>
              <w:t>Grunddelens belopp är: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3"/>
              <w:gridCol w:w="1134"/>
              <w:gridCol w:w="1030"/>
            </w:tblGrid>
            <w:tr w:rsidR="005047A7" w:rsidRPr="008008AC" w14:paraId="5120C85D" w14:textId="77777777" w:rsidTr="00B17E59">
              <w:trPr>
                <w:trHeight w:val="157"/>
              </w:trPr>
              <w:tc>
                <w:tcPr>
                  <w:tcW w:w="1433" w:type="dxa"/>
                  <w:vMerge w:val="restart"/>
                  <w:shd w:val="clear" w:color="auto" w:fill="auto"/>
                </w:tcPr>
                <w:p w14:paraId="407B8B5F" w14:textId="77777777" w:rsidR="005047A7" w:rsidRPr="00917584" w:rsidRDefault="005047A7" w:rsidP="005047A7">
                  <w:pPr>
                    <w:pStyle w:val="ANormal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14:paraId="5E9E92BA" w14:textId="77777777" w:rsidR="005047A7" w:rsidRPr="00917584" w:rsidRDefault="005047A7" w:rsidP="005047A7">
                  <w:pPr>
                    <w:pStyle w:val="ANormal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917584">
                    <w:rPr>
                      <w:rFonts w:ascii="Calibri" w:hAnsi="Calibri"/>
                      <w:b/>
                      <w:sz w:val="18"/>
                      <w:szCs w:val="18"/>
                    </w:rPr>
                    <w:t>Invånarantal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046FD3E6" w14:textId="77777777" w:rsidR="005047A7" w:rsidRPr="00917584" w:rsidRDefault="005047A7" w:rsidP="005047A7">
                  <w:pPr>
                    <w:pStyle w:val="ANormal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917584">
                    <w:rPr>
                      <w:rFonts w:ascii="Calibri" w:hAnsi="Calibri"/>
                      <w:b/>
                      <w:sz w:val="18"/>
                      <w:szCs w:val="18"/>
                    </w:rPr>
                    <w:t>Antal kommuner</w:t>
                  </w:r>
                </w:p>
              </w:tc>
            </w:tr>
            <w:tr w:rsidR="005047A7" w:rsidRPr="008008AC" w14:paraId="3E9478A1" w14:textId="77777777" w:rsidTr="00B17E59">
              <w:trPr>
                <w:trHeight w:val="157"/>
              </w:trPr>
              <w:tc>
                <w:tcPr>
                  <w:tcW w:w="1433" w:type="dxa"/>
                  <w:vMerge/>
                  <w:shd w:val="clear" w:color="auto" w:fill="auto"/>
                </w:tcPr>
                <w:p w14:paraId="71B37F42" w14:textId="77777777" w:rsidR="005047A7" w:rsidRPr="00917584" w:rsidRDefault="005047A7" w:rsidP="005047A7">
                  <w:pPr>
                    <w:pStyle w:val="ANormal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E260143" w14:textId="77777777" w:rsidR="005047A7" w:rsidRPr="00917584" w:rsidRDefault="005047A7" w:rsidP="005047A7">
                  <w:pPr>
                    <w:pStyle w:val="ANormal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917584">
                    <w:rPr>
                      <w:rFonts w:ascii="Calibri" w:hAnsi="Calibri"/>
                      <w:b/>
                      <w:sz w:val="18"/>
                      <w:szCs w:val="18"/>
                    </w:rPr>
                    <w:t>2 - 3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14:paraId="630B2B99" w14:textId="77777777" w:rsidR="005047A7" w:rsidRPr="00917584" w:rsidRDefault="005047A7" w:rsidP="005047A7">
                  <w:pPr>
                    <w:pStyle w:val="ANormal"/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917584">
                    <w:rPr>
                      <w:rFonts w:ascii="Calibri" w:hAnsi="Calibri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5047A7" w:rsidRPr="00297281" w14:paraId="5ADDCF89" w14:textId="77777777" w:rsidTr="00B17E59">
              <w:tc>
                <w:tcPr>
                  <w:tcW w:w="1433" w:type="dxa"/>
                  <w:shd w:val="clear" w:color="auto" w:fill="auto"/>
                </w:tcPr>
                <w:p w14:paraId="60E48F7A" w14:textId="77777777" w:rsidR="005047A7" w:rsidRPr="00917584" w:rsidRDefault="005047A7" w:rsidP="005047A7">
                  <w:pPr>
                    <w:pStyle w:val="ANormal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högst </w:t>
                  </w:r>
                  <w:r w:rsidRPr="00917584">
                    <w:rPr>
                      <w:rFonts w:ascii="Calibri" w:hAnsi="Calibri"/>
                      <w:b/>
                      <w:sz w:val="18"/>
                      <w:szCs w:val="18"/>
                    </w:rPr>
                    <w:t>12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 </w:t>
                  </w:r>
                  <w:r w:rsidRPr="00917584">
                    <w:rPr>
                      <w:rFonts w:ascii="Calibri" w:hAnsi="Calibri"/>
                      <w:b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B61371A" w14:textId="77777777" w:rsidR="005047A7" w:rsidRPr="00917584" w:rsidRDefault="005047A7" w:rsidP="005047A7">
                  <w:pPr>
                    <w:pStyle w:val="ANormal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917584">
                    <w:rPr>
                      <w:rFonts w:ascii="Calibri" w:hAnsi="Calibri"/>
                      <w:sz w:val="18"/>
                      <w:szCs w:val="18"/>
                    </w:rPr>
                    <w:t>1 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440 </w:t>
                  </w:r>
                  <w:r w:rsidRPr="00917584">
                    <w:rPr>
                      <w:rFonts w:ascii="Calibri" w:hAnsi="Calibri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14:paraId="1B8BBCFC" w14:textId="77777777" w:rsidR="005047A7" w:rsidRPr="00917584" w:rsidRDefault="005047A7" w:rsidP="005047A7">
                  <w:pPr>
                    <w:pStyle w:val="ANormal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  <w:tr w:rsidR="005047A7" w:rsidRPr="00297281" w14:paraId="4F846F4B" w14:textId="77777777" w:rsidTr="00B17E59">
              <w:tc>
                <w:tcPr>
                  <w:tcW w:w="1433" w:type="dxa"/>
                  <w:shd w:val="clear" w:color="auto" w:fill="auto"/>
                </w:tcPr>
                <w:p w14:paraId="0A6F9942" w14:textId="77777777" w:rsidR="005047A7" w:rsidRPr="00917584" w:rsidRDefault="005047A7" w:rsidP="005047A7">
                  <w:pPr>
                    <w:pStyle w:val="ANormal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ö</w:t>
                  </w:r>
                  <w:r w:rsidRPr="00917584">
                    <w:rPr>
                      <w:rFonts w:ascii="Calibri" w:hAnsi="Calibri"/>
                      <w:b/>
                      <w:sz w:val="18"/>
                      <w:szCs w:val="18"/>
                    </w:rPr>
                    <w:t>ver 12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 </w:t>
                  </w:r>
                  <w:r w:rsidRPr="00917584">
                    <w:rPr>
                      <w:rFonts w:ascii="Calibri" w:hAnsi="Calibri"/>
                      <w:b/>
                      <w:sz w:val="18"/>
                      <w:szCs w:val="18"/>
                    </w:rPr>
                    <w:t>00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6572E53" w14:textId="77777777" w:rsidR="005047A7" w:rsidRPr="00917584" w:rsidRDefault="005047A7" w:rsidP="005047A7">
                  <w:pPr>
                    <w:pStyle w:val="ANormal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1 590 000</w:t>
                  </w:r>
                </w:p>
              </w:tc>
              <w:tc>
                <w:tcPr>
                  <w:tcW w:w="1030" w:type="dxa"/>
                  <w:shd w:val="clear" w:color="auto" w:fill="auto"/>
                </w:tcPr>
                <w:p w14:paraId="09990C95" w14:textId="77777777" w:rsidR="005047A7" w:rsidRPr="00917584" w:rsidRDefault="005047A7" w:rsidP="005047A7">
                  <w:pPr>
                    <w:pStyle w:val="ANormal"/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1 740 000</w:t>
                  </w:r>
                </w:p>
              </w:tc>
            </w:tr>
          </w:tbl>
          <w:p w14:paraId="26AE6ECF" w14:textId="77777777" w:rsidR="005047A7" w:rsidRDefault="005047A7" w:rsidP="005047A7">
            <w:pPr>
              <w:pStyle w:val="ANormal"/>
            </w:pPr>
            <w:r>
              <w:tab/>
              <w:t>Tilläggsdelens belopp är 153 euro per invånare.</w:t>
            </w:r>
          </w:p>
          <w:p w14:paraId="26C1F801" w14:textId="43715C83" w:rsidR="00E023D9" w:rsidRDefault="00E023D9" w:rsidP="005047A7">
            <w:pPr>
              <w:pStyle w:val="ANormal"/>
            </w:pPr>
          </w:p>
        </w:tc>
        <w:tc>
          <w:tcPr>
            <w:tcW w:w="146" w:type="pct"/>
          </w:tcPr>
          <w:p w14:paraId="7A5418F3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074E1346" w14:textId="77777777" w:rsidR="00E023D9" w:rsidRDefault="00E023D9">
            <w:pPr>
              <w:pStyle w:val="ANormal"/>
            </w:pPr>
          </w:p>
          <w:p w14:paraId="339521CF" w14:textId="77777777" w:rsidR="005047A7" w:rsidRDefault="005047A7" w:rsidP="005047A7">
            <w:pPr>
              <w:pStyle w:val="LagParagraf"/>
            </w:pPr>
            <w:r>
              <w:t>41 §</w:t>
            </w:r>
          </w:p>
          <w:p w14:paraId="7B3ED524" w14:textId="77777777" w:rsidR="005047A7" w:rsidRDefault="005047A7" w:rsidP="005047A7">
            <w:pPr>
              <w:pStyle w:val="LagPararubrik"/>
            </w:pPr>
            <w:r>
              <w:t xml:space="preserve">Samgångsunderstödets </w:t>
            </w:r>
            <w:r w:rsidRPr="002E4760">
              <w:rPr>
                <w:b/>
                <w:bCs/>
              </w:rPr>
              <w:t>belopp</w:t>
            </w:r>
          </w:p>
          <w:p w14:paraId="3483C934" w14:textId="77777777" w:rsidR="005047A7" w:rsidRDefault="005047A7" w:rsidP="005047A7">
            <w:pPr>
              <w:pStyle w:val="ANormal"/>
            </w:pPr>
          </w:p>
          <w:p w14:paraId="3ECAA4EF" w14:textId="77777777" w:rsidR="005047A7" w:rsidRPr="002E4760" w:rsidRDefault="005047A7" w:rsidP="005047A7">
            <w:pPr>
              <w:tabs>
                <w:tab w:val="left" w:pos="283"/>
              </w:tabs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ab/>
            </w:r>
            <w:r w:rsidRPr="00872912">
              <w:rPr>
                <w:sz w:val="22"/>
                <w:szCs w:val="20"/>
              </w:rPr>
              <w:t xml:space="preserve">Samgångsunderstödets </w:t>
            </w:r>
            <w:r w:rsidRPr="002E4760">
              <w:rPr>
                <w:b/>
                <w:bCs/>
                <w:sz w:val="22"/>
                <w:szCs w:val="20"/>
              </w:rPr>
              <w:t>belopp</w:t>
            </w:r>
            <w:r w:rsidRPr="00872912">
              <w:rPr>
                <w:sz w:val="22"/>
                <w:szCs w:val="20"/>
              </w:rPr>
              <w:t xml:space="preserve"> bestäms utgående från kommunens invånarantal den 1 januari det år då </w:t>
            </w:r>
            <w:r>
              <w:rPr>
                <w:sz w:val="22"/>
                <w:szCs w:val="20"/>
              </w:rPr>
              <w:t xml:space="preserve">ändringen av </w:t>
            </w:r>
            <w:r w:rsidRPr="00872912">
              <w:rPr>
                <w:sz w:val="22"/>
                <w:szCs w:val="20"/>
              </w:rPr>
              <w:t xml:space="preserve">kommunindelningen träder i kraft </w:t>
            </w:r>
            <w:r w:rsidRPr="002E4760">
              <w:rPr>
                <w:b/>
                <w:bCs/>
                <w:sz w:val="22"/>
                <w:szCs w:val="20"/>
              </w:rPr>
              <w:t>enligt följande:</w:t>
            </w:r>
          </w:p>
          <w:tbl>
            <w:tblPr>
              <w:tblStyle w:val="Tabellrutnt"/>
              <w:tblW w:w="3823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127"/>
            </w:tblGrid>
            <w:tr w:rsidR="005047A7" w:rsidRPr="005E63BD" w14:paraId="62C025B2" w14:textId="77777777" w:rsidTr="00B17E59">
              <w:tc>
                <w:tcPr>
                  <w:tcW w:w="1696" w:type="dxa"/>
                </w:tcPr>
                <w:p w14:paraId="7A2D66B1" w14:textId="77777777" w:rsidR="005047A7" w:rsidRPr="00F1073B" w:rsidRDefault="005047A7" w:rsidP="005047A7">
                  <w:pPr>
                    <w:pStyle w:val="ANormal"/>
                    <w:rPr>
                      <w:b/>
                    </w:rPr>
                  </w:pPr>
                  <w:r w:rsidRPr="00F1073B">
                    <w:rPr>
                      <w:b/>
                    </w:rPr>
                    <w:t>Invånarantal</w:t>
                  </w:r>
                </w:p>
              </w:tc>
              <w:tc>
                <w:tcPr>
                  <w:tcW w:w="2127" w:type="dxa"/>
                </w:tcPr>
                <w:p w14:paraId="3AC9975A" w14:textId="77777777" w:rsidR="005047A7" w:rsidRPr="00F1073B" w:rsidRDefault="005047A7" w:rsidP="005047A7">
                  <w:pPr>
                    <w:pStyle w:val="ANormal"/>
                    <w:rPr>
                      <w:b/>
                    </w:rPr>
                  </w:pPr>
                  <w:r w:rsidRPr="00F1073B">
                    <w:rPr>
                      <w:b/>
                    </w:rPr>
                    <w:t>Samgångsunderstöd, euro/invånare</w:t>
                  </w:r>
                </w:p>
              </w:tc>
            </w:tr>
            <w:tr w:rsidR="005047A7" w:rsidRPr="005E63BD" w14:paraId="2172BB3E" w14:textId="77777777" w:rsidTr="00B17E59">
              <w:tc>
                <w:tcPr>
                  <w:tcW w:w="1696" w:type="dxa"/>
                </w:tcPr>
                <w:p w14:paraId="0072FAE1" w14:textId="77777777" w:rsidR="005047A7" w:rsidRPr="005E63BD" w:rsidRDefault="005047A7" w:rsidP="005047A7">
                  <w:pPr>
                    <w:pStyle w:val="ANormal"/>
                  </w:pPr>
                  <w:r>
                    <w:t xml:space="preserve">högst </w:t>
                  </w:r>
                  <w:r w:rsidRPr="005E63BD">
                    <w:t>2</w:t>
                  </w:r>
                  <w:r>
                    <w:t> </w:t>
                  </w:r>
                  <w:r w:rsidRPr="005E63BD">
                    <w:t>000</w:t>
                  </w:r>
                </w:p>
              </w:tc>
              <w:tc>
                <w:tcPr>
                  <w:tcW w:w="2127" w:type="dxa"/>
                </w:tcPr>
                <w:p w14:paraId="560F3BB7" w14:textId="77777777" w:rsidR="005047A7" w:rsidRPr="005E63BD" w:rsidRDefault="005047A7" w:rsidP="005047A7">
                  <w:pPr>
                    <w:pStyle w:val="ANormal"/>
                    <w:jc w:val="right"/>
                  </w:pPr>
                  <w:r w:rsidRPr="005E63BD">
                    <w:t>405</w:t>
                  </w:r>
                </w:p>
              </w:tc>
            </w:tr>
            <w:tr w:rsidR="005047A7" w:rsidRPr="005E63BD" w14:paraId="524ADF7E" w14:textId="77777777" w:rsidTr="00B17E59">
              <w:tc>
                <w:tcPr>
                  <w:tcW w:w="1696" w:type="dxa"/>
                </w:tcPr>
                <w:p w14:paraId="4985FDB5" w14:textId="2D4A0B87" w:rsidR="005047A7" w:rsidRPr="005E63BD" w:rsidRDefault="005047A7" w:rsidP="005047A7">
                  <w:pPr>
                    <w:pStyle w:val="ANormal"/>
                  </w:pPr>
                  <w:r w:rsidRPr="005E63BD">
                    <w:t>2</w:t>
                  </w:r>
                  <w:r>
                    <w:t> </w:t>
                  </w:r>
                  <w:r w:rsidRPr="005E63BD">
                    <w:t>001</w:t>
                  </w:r>
                  <w:r>
                    <w:t>–</w:t>
                  </w:r>
                  <w:r w:rsidRPr="005E63BD">
                    <w:t>3</w:t>
                  </w:r>
                  <w:r>
                    <w:t> </w:t>
                  </w:r>
                  <w:r w:rsidRPr="005E63BD">
                    <w:t>000</w:t>
                  </w:r>
                </w:p>
              </w:tc>
              <w:tc>
                <w:tcPr>
                  <w:tcW w:w="2127" w:type="dxa"/>
                </w:tcPr>
                <w:p w14:paraId="3462EDD5" w14:textId="77777777" w:rsidR="005047A7" w:rsidRPr="005E63BD" w:rsidRDefault="005047A7" w:rsidP="005047A7">
                  <w:pPr>
                    <w:pStyle w:val="ANormal"/>
                    <w:jc w:val="right"/>
                  </w:pPr>
                  <w:r w:rsidRPr="005E63BD">
                    <w:t>383</w:t>
                  </w:r>
                </w:p>
              </w:tc>
            </w:tr>
            <w:tr w:rsidR="005047A7" w:rsidRPr="005E63BD" w14:paraId="6F78A623" w14:textId="77777777" w:rsidTr="00B17E59">
              <w:tc>
                <w:tcPr>
                  <w:tcW w:w="1696" w:type="dxa"/>
                </w:tcPr>
                <w:p w14:paraId="1D6CB9D2" w14:textId="4930E787" w:rsidR="005047A7" w:rsidRPr="005E63BD" w:rsidRDefault="005047A7" w:rsidP="005047A7">
                  <w:pPr>
                    <w:pStyle w:val="ANormal"/>
                  </w:pPr>
                  <w:r w:rsidRPr="00895838">
                    <w:t>3</w:t>
                  </w:r>
                  <w:r>
                    <w:t> </w:t>
                  </w:r>
                  <w:r w:rsidRPr="00895838">
                    <w:t>001</w:t>
                  </w:r>
                  <w:r>
                    <w:t>–</w:t>
                  </w:r>
                  <w:r w:rsidRPr="005E63BD">
                    <w:t>4</w:t>
                  </w:r>
                  <w:r>
                    <w:t> </w:t>
                  </w:r>
                  <w:r w:rsidRPr="005E63BD">
                    <w:t>000</w:t>
                  </w:r>
                </w:p>
              </w:tc>
              <w:tc>
                <w:tcPr>
                  <w:tcW w:w="2127" w:type="dxa"/>
                </w:tcPr>
                <w:p w14:paraId="6F2166FB" w14:textId="77777777" w:rsidR="005047A7" w:rsidRPr="005E63BD" w:rsidRDefault="005047A7" w:rsidP="005047A7">
                  <w:pPr>
                    <w:pStyle w:val="ANormal"/>
                    <w:jc w:val="right"/>
                  </w:pPr>
                  <w:r w:rsidRPr="005E63BD">
                    <w:t>350</w:t>
                  </w:r>
                </w:p>
              </w:tc>
            </w:tr>
            <w:tr w:rsidR="005047A7" w:rsidRPr="005E63BD" w14:paraId="3772481B" w14:textId="77777777" w:rsidTr="00B17E59">
              <w:tc>
                <w:tcPr>
                  <w:tcW w:w="1696" w:type="dxa"/>
                </w:tcPr>
                <w:p w14:paraId="028A8FC5" w14:textId="4CE71292" w:rsidR="005047A7" w:rsidRPr="005E63BD" w:rsidRDefault="005047A7" w:rsidP="005047A7">
                  <w:pPr>
                    <w:pStyle w:val="ANormal"/>
                  </w:pPr>
                  <w:r w:rsidRPr="005E63BD">
                    <w:t>4</w:t>
                  </w:r>
                  <w:r>
                    <w:t> </w:t>
                  </w:r>
                  <w:r w:rsidRPr="005E63BD">
                    <w:t>001</w:t>
                  </w:r>
                  <w:r>
                    <w:t>–</w:t>
                  </w:r>
                  <w:r w:rsidRPr="005E63BD">
                    <w:t>5</w:t>
                  </w:r>
                  <w:r>
                    <w:t> </w:t>
                  </w:r>
                  <w:r w:rsidRPr="005E63BD">
                    <w:t>000</w:t>
                  </w:r>
                </w:p>
              </w:tc>
              <w:tc>
                <w:tcPr>
                  <w:tcW w:w="2127" w:type="dxa"/>
                </w:tcPr>
                <w:p w14:paraId="18BA2035" w14:textId="77777777" w:rsidR="005047A7" w:rsidRPr="005E63BD" w:rsidRDefault="005047A7" w:rsidP="005047A7">
                  <w:pPr>
                    <w:pStyle w:val="ANormal"/>
                    <w:jc w:val="right"/>
                  </w:pPr>
                  <w:r w:rsidRPr="005E63BD">
                    <w:t>320</w:t>
                  </w:r>
                </w:p>
              </w:tc>
            </w:tr>
            <w:tr w:rsidR="005047A7" w:rsidRPr="005E63BD" w14:paraId="6E16C0CF" w14:textId="77777777" w:rsidTr="00B17E59">
              <w:tc>
                <w:tcPr>
                  <w:tcW w:w="1696" w:type="dxa"/>
                </w:tcPr>
                <w:p w14:paraId="3644FCCA" w14:textId="0783AD61" w:rsidR="005047A7" w:rsidRPr="005E63BD" w:rsidRDefault="005047A7" w:rsidP="005047A7">
                  <w:pPr>
                    <w:pStyle w:val="ANormal"/>
                  </w:pPr>
                  <w:r w:rsidRPr="005E63BD">
                    <w:t>5</w:t>
                  </w:r>
                  <w:r>
                    <w:t> </w:t>
                  </w:r>
                  <w:r w:rsidRPr="005E63BD">
                    <w:t>001</w:t>
                  </w:r>
                  <w:r>
                    <w:t>–</w:t>
                  </w:r>
                  <w:r w:rsidRPr="005E63BD">
                    <w:t>6</w:t>
                  </w:r>
                  <w:r>
                    <w:t> </w:t>
                  </w:r>
                  <w:r w:rsidRPr="005E63BD">
                    <w:t>000</w:t>
                  </w:r>
                </w:p>
              </w:tc>
              <w:tc>
                <w:tcPr>
                  <w:tcW w:w="2127" w:type="dxa"/>
                </w:tcPr>
                <w:p w14:paraId="0FA2A814" w14:textId="77777777" w:rsidR="005047A7" w:rsidRPr="005E63BD" w:rsidRDefault="005047A7" w:rsidP="005047A7">
                  <w:pPr>
                    <w:pStyle w:val="ANormal"/>
                    <w:jc w:val="right"/>
                  </w:pPr>
                  <w:r w:rsidRPr="005E63BD">
                    <w:t>293</w:t>
                  </w:r>
                </w:p>
              </w:tc>
            </w:tr>
            <w:tr w:rsidR="005047A7" w:rsidRPr="005E63BD" w14:paraId="1C4591AF" w14:textId="77777777" w:rsidTr="00B17E59">
              <w:tc>
                <w:tcPr>
                  <w:tcW w:w="1696" w:type="dxa"/>
                </w:tcPr>
                <w:p w14:paraId="79EFB237" w14:textId="2D283524" w:rsidR="005047A7" w:rsidRPr="005E63BD" w:rsidRDefault="005047A7" w:rsidP="005047A7">
                  <w:pPr>
                    <w:pStyle w:val="ANormal"/>
                  </w:pPr>
                  <w:r w:rsidRPr="005E63BD">
                    <w:t>6</w:t>
                  </w:r>
                  <w:r>
                    <w:t> </w:t>
                  </w:r>
                  <w:r w:rsidRPr="005E63BD">
                    <w:t>001</w:t>
                  </w:r>
                  <w:r>
                    <w:t>–</w:t>
                  </w:r>
                  <w:r w:rsidRPr="005E63BD">
                    <w:t>7</w:t>
                  </w:r>
                  <w:r>
                    <w:t> </w:t>
                  </w:r>
                  <w:r w:rsidRPr="005E63BD">
                    <w:t>000</w:t>
                  </w:r>
                </w:p>
              </w:tc>
              <w:tc>
                <w:tcPr>
                  <w:tcW w:w="2127" w:type="dxa"/>
                </w:tcPr>
                <w:p w14:paraId="7B94F345" w14:textId="77777777" w:rsidR="005047A7" w:rsidRPr="005E63BD" w:rsidRDefault="005047A7" w:rsidP="005047A7">
                  <w:pPr>
                    <w:pStyle w:val="ANormal"/>
                    <w:jc w:val="right"/>
                  </w:pPr>
                  <w:r w:rsidRPr="005E63BD">
                    <w:t>269</w:t>
                  </w:r>
                </w:p>
              </w:tc>
            </w:tr>
            <w:tr w:rsidR="005047A7" w:rsidRPr="005E63BD" w14:paraId="3A4002C6" w14:textId="77777777" w:rsidTr="00B17E59">
              <w:tc>
                <w:tcPr>
                  <w:tcW w:w="1696" w:type="dxa"/>
                </w:tcPr>
                <w:p w14:paraId="33F2A48A" w14:textId="50675DB4" w:rsidR="005047A7" w:rsidRPr="005E63BD" w:rsidRDefault="005047A7" w:rsidP="005047A7">
                  <w:pPr>
                    <w:pStyle w:val="ANormal"/>
                  </w:pPr>
                  <w:r w:rsidRPr="005E63BD">
                    <w:t>7</w:t>
                  </w:r>
                  <w:r>
                    <w:t> </w:t>
                  </w:r>
                  <w:r w:rsidRPr="005E63BD">
                    <w:t>001</w:t>
                  </w:r>
                  <w:r>
                    <w:t>–8 000</w:t>
                  </w:r>
                </w:p>
              </w:tc>
              <w:tc>
                <w:tcPr>
                  <w:tcW w:w="2127" w:type="dxa"/>
                </w:tcPr>
                <w:p w14:paraId="7E9F2449" w14:textId="77777777" w:rsidR="005047A7" w:rsidRPr="005E63BD" w:rsidRDefault="005047A7" w:rsidP="005047A7">
                  <w:pPr>
                    <w:pStyle w:val="ANormal"/>
                    <w:jc w:val="right"/>
                  </w:pPr>
                  <w:r w:rsidRPr="005E63BD">
                    <w:t>248</w:t>
                  </w:r>
                </w:p>
              </w:tc>
            </w:tr>
            <w:tr w:rsidR="005047A7" w:rsidRPr="005E63BD" w14:paraId="261F1FD6" w14:textId="77777777" w:rsidTr="00B17E59">
              <w:tc>
                <w:tcPr>
                  <w:tcW w:w="1696" w:type="dxa"/>
                </w:tcPr>
                <w:p w14:paraId="44B74251" w14:textId="3714C512" w:rsidR="005047A7" w:rsidRPr="005E63BD" w:rsidRDefault="005047A7" w:rsidP="005047A7">
                  <w:pPr>
                    <w:pStyle w:val="ANormal"/>
                  </w:pPr>
                  <w:r w:rsidRPr="005E63BD">
                    <w:t>8</w:t>
                  </w:r>
                  <w:r>
                    <w:t> </w:t>
                  </w:r>
                  <w:r w:rsidRPr="005E63BD">
                    <w:t>001</w:t>
                  </w:r>
                  <w:r>
                    <w:t>–</w:t>
                  </w:r>
                  <w:r w:rsidRPr="005E63BD">
                    <w:t>9</w:t>
                  </w:r>
                  <w:r>
                    <w:t> </w:t>
                  </w:r>
                  <w:r w:rsidRPr="005E63BD">
                    <w:t>000</w:t>
                  </w:r>
                </w:p>
              </w:tc>
              <w:tc>
                <w:tcPr>
                  <w:tcW w:w="2127" w:type="dxa"/>
                </w:tcPr>
                <w:p w14:paraId="4577F5D7" w14:textId="77777777" w:rsidR="005047A7" w:rsidRPr="005E63BD" w:rsidRDefault="005047A7" w:rsidP="005047A7">
                  <w:pPr>
                    <w:pStyle w:val="ANormal"/>
                    <w:jc w:val="right"/>
                  </w:pPr>
                  <w:r w:rsidRPr="005E63BD">
                    <w:t>230</w:t>
                  </w:r>
                </w:p>
              </w:tc>
            </w:tr>
            <w:tr w:rsidR="005047A7" w:rsidRPr="005E63BD" w14:paraId="08518D35" w14:textId="77777777" w:rsidTr="00B17E59">
              <w:tc>
                <w:tcPr>
                  <w:tcW w:w="1696" w:type="dxa"/>
                </w:tcPr>
                <w:p w14:paraId="13150958" w14:textId="4C6039E5" w:rsidR="005047A7" w:rsidRPr="005E63BD" w:rsidRDefault="005047A7" w:rsidP="005047A7">
                  <w:pPr>
                    <w:pStyle w:val="ANormal"/>
                  </w:pPr>
                  <w:r>
                    <w:t>9 001–10 000</w:t>
                  </w:r>
                </w:p>
              </w:tc>
              <w:tc>
                <w:tcPr>
                  <w:tcW w:w="2127" w:type="dxa"/>
                </w:tcPr>
                <w:p w14:paraId="29143C14" w14:textId="77777777" w:rsidR="005047A7" w:rsidRPr="005E63BD" w:rsidRDefault="005047A7" w:rsidP="005047A7">
                  <w:pPr>
                    <w:pStyle w:val="ANormal"/>
                    <w:jc w:val="right"/>
                  </w:pPr>
                  <w:r w:rsidRPr="005E63BD">
                    <w:t>215</w:t>
                  </w:r>
                </w:p>
              </w:tc>
            </w:tr>
          </w:tbl>
          <w:p w14:paraId="3BA2D7BC" w14:textId="77777777" w:rsidR="005047A7" w:rsidRPr="00B22623" w:rsidRDefault="005047A7" w:rsidP="005047A7">
            <w:pPr>
              <w:keepNext/>
              <w:keepLines/>
              <w:tabs>
                <w:tab w:val="left" w:pos="283"/>
              </w:tabs>
              <w:suppressAutoHyphens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Pr="00B22623">
              <w:rPr>
                <w:b/>
                <w:bCs/>
                <w:sz w:val="22"/>
                <w:szCs w:val="22"/>
              </w:rPr>
              <w:t>Om kommunens invånarantal överstiger 10 000 bestäms samgångs-stödets belopp utgående från ett invånarantal om 10 000 invånare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713B2AF3" w14:textId="77777777" w:rsidR="005047A7" w:rsidRPr="002E4760" w:rsidRDefault="005047A7" w:rsidP="005047A7">
            <w:pPr>
              <w:keepNext/>
              <w:keepLines/>
              <w:tabs>
                <w:tab w:val="left" w:pos="283"/>
              </w:tabs>
              <w:suppressAutoHyphens/>
              <w:jc w:val="both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ab/>
            </w:r>
            <w:r w:rsidRPr="002E4760">
              <w:rPr>
                <w:b/>
                <w:bCs/>
                <w:sz w:val="22"/>
                <w:szCs w:val="20"/>
              </w:rPr>
              <w:t>Samgångsunderstödets belopp är alltid minst det belopp som kommunen skulle få enligt det maximala invånarantalet i föregående intervall.</w:t>
            </w:r>
          </w:p>
          <w:p w14:paraId="280B425F" w14:textId="77777777" w:rsidR="00B17E59" w:rsidRDefault="00B17E59" w:rsidP="005047A7">
            <w:pPr>
              <w:pStyle w:val="ANormal"/>
            </w:pPr>
          </w:p>
          <w:p w14:paraId="5946149B" w14:textId="66FA368A" w:rsidR="00DE583A" w:rsidRDefault="00DE583A" w:rsidP="005047A7">
            <w:pPr>
              <w:pStyle w:val="ANormal"/>
            </w:pPr>
          </w:p>
        </w:tc>
      </w:tr>
      <w:tr w:rsidR="00E023D9" w14:paraId="09FFDA31" w14:textId="77777777" w:rsidTr="00DE583A">
        <w:tc>
          <w:tcPr>
            <w:tcW w:w="2426" w:type="pct"/>
          </w:tcPr>
          <w:p w14:paraId="178166D8" w14:textId="77777777" w:rsidR="00E023D9" w:rsidRDefault="00E023D9">
            <w:pPr>
              <w:pStyle w:val="ANormal"/>
            </w:pPr>
          </w:p>
          <w:p w14:paraId="6E2DE6D9" w14:textId="77777777" w:rsidR="00E023D9" w:rsidRDefault="00E023D9" w:rsidP="005047A7">
            <w:pPr>
              <w:pStyle w:val="ANormal"/>
            </w:pPr>
          </w:p>
          <w:p w14:paraId="24E73716" w14:textId="77777777" w:rsidR="005047A7" w:rsidRPr="005047A7" w:rsidRDefault="005047A7" w:rsidP="005047A7">
            <w:pPr>
              <w:pStyle w:val="ANormal"/>
              <w:rPr>
                <w:i/>
                <w:iCs/>
              </w:rPr>
            </w:pPr>
            <w:r>
              <w:tab/>
            </w:r>
            <w:r w:rsidRPr="005047A7">
              <w:rPr>
                <w:i/>
                <w:iCs/>
              </w:rPr>
              <w:t>Ny paragraf</w:t>
            </w:r>
          </w:p>
          <w:p w14:paraId="5A532A49" w14:textId="170138A8" w:rsidR="005047A7" w:rsidRDefault="005047A7" w:rsidP="005047A7">
            <w:pPr>
              <w:pStyle w:val="ANormal"/>
            </w:pPr>
          </w:p>
        </w:tc>
        <w:tc>
          <w:tcPr>
            <w:tcW w:w="146" w:type="pct"/>
          </w:tcPr>
          <w:p w14:paraId="438A06BD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213160CC" w14:textId="77777777" w:rsidR="00E023D9" w:rsidRDefault="00E023D9">
            <w:pPr>
              <w:pStyle w:val="ANormal"/>
            </w:pPr>
          </w:p>
          <w:p w14:paraId="372C2F6C" w14:textId="77777777" w:rsidR="005047A7" w:rsidRPr="002E4760" w:rsidRDefault="005047A7" w:rsidP="005047A7">
            <w:pPr>
              <w:pStyle w:val="LagParagraf"/>
              <w:rPr>
                <w:b/>
                <w:bCs/>
              </w:rPr>
            </w:pPr>
            <w:r w:rsidRPr="002E4760">
              <w:rPr>
                <w:b/>
                <w:bCs/>
              </w:rPr>
              <w:t>41a</w:t>
            </w:r>
            <w:r>
              <w:rPr>
                <w:b/>
                <w:bCs/>
              </w:rPr>
              <w:t> §</w:t>
            </w:r>
          </w:p>
          <w:p w14:paraId="3524090B" w14:textId="77777777" w:rsidR="005047A7" w:rsidRPr="002E4760" w:rsidRDefault="005047A7" w:rsidP="005047A7">
            <w:pPr>
              <w:pStyle w:val="LagPararubrik"/>
              <w:rPr>
                <w:b/>
                <w:bCs/>
              </w:rPr>
            </w:pPr>
            <w:r w:rsidRPr="002E4760">
              <w:rPr>
                <w:b/>
                <w:bCs/>
              </w:rPr>
              <w:t>Skärgårdstillägg</w:t>
            </w:r>
          </w:p>
          <w:p w14:paraId="427BB76C" w14:textId="77777777" w:rsidR="005047A7" w:rsidRPr="002E4760" w:rsidRDefault="005047A7" w:rsidP="005047A7">
            <w:pPr>
              <w:pStyle w:val="ANormal"/>
              <w:rPr>
                <w:rFonts w:eastAsia="Calibri"/>
                <w:b/>
                <w:bCs/>
              </w:rPr>
            </w:pPr>
            <w:r w:rsidRPr="002E4760">
              <w:rPr>
                <w:rFonts w:eastAsia="Calibri"/>
                <w:b/>
                <w:bCs/>
              </w:rPr>
              <w:tab/>
              <w:t>En ny kommun som bildas med stöd av denna lag av två eller flera skärgårdskommuner har rätt till ett skärgårdstillägg till samgångsunderstödet.</w:t>
            </w:r>
          </w:p>
          <w:p w14:paraId="1F388E91" w14:textId="62DEF08C" w:rsidR="005047A7" w:rsidRPr="002E4760" w:rsidRDefault="005047A7" w:rsidP="005047A7">
            <w:pPr>
              <w:pStyle w:val="ANormal"/>
              <w:rPr>
                <w:rFonts w:eastAsia="Calibri"/>
                <w:b/>
                <w:bCs/>
              </w:rPr>
            </w:pPr>
            <w:r w:rsidRPr="002E4760">
              <w:rPr>
                <w:rFonts w:eastAsia="Calibri"/>
                <w:b/>
                <w:bCs/>
              </w:rPr>
              <w:tab/>
              <w:t>Skärgårdstilläggets belopp är 60 procent av det samgångsunderstöd som kommunen har rätt till under det första året efter att ändringen av kommunindelningen trätt i kraft.</w:t>
            </w:r>
          </w:p>
          <w:p w14:paraId="57C20C78" w14:textId="7550EA01" w:rsidR="005047A7" w:rsidRPr="00740F3E" w:rsidRDefault="005047A7" w:rsidP="005047A7">
            <w:pPr>
              <w:pStyle w:val="ANormal"/>
              <w:rPr>
                <w:rFonts w:eastAsia="Calibri"/>
              </w:rPr>
            </w:pPr>
            <w:r w:rsidRPr="002E4760">
              <w:rPr>
                <w:rFonts w:eastAsia="Calibri"/>
                <w:b/>
                <w:bCs/>
              </w:rPr>
              <w:tab/>
              <w:t>Med skärgårdskommuner</w:t>
            </w:r>
            <w:r>
              <w:rPr>
                <w:rFonts w:eastAsia="Calibri"/>
                <w:b/>
                <w:bCs/>
              </w:rPr>
              <w:t xml:space="preserve"> </w:t>
            </w:r>
            <w:r w:rsidRPr="002E4760">
              <w:rPr>
                <w:rFonts w:eastAsia="Calibri"/>
                <w:b/>
                <w:bCs/>
              </w:rPr>
              <w:t>avses kommunerna Brändö, Föglö, Kumlinge, Kökar, Sottunga och Vårdö</w:t>
            </w:r>
            <w:r w:rsidRPr="00740F3E">
              <w:rPr>
                <w:rFonts w:eastAsia="Calibri"/>
              </w:rPr>
              <w:t>.</w:t>
            </w:r>
          </w:p>
          <w:p w14:paraId="7E5B274E" w14:textId="02A6398A" w:rsidR="00B17E59" w:rsidRDefault="00B17E59" w:rsidP="005047A7">
            <w:pPr>
              <w:pStyle w:val="ANormal"/>
            </w:pPr>
          </w:p>
        </w:tc>
      </w:tr>
      <w:tr w:rsidR="005047A7" w14:paraId="11B33001" w14:textId="77777777" w:rsidTr="00DE583A">
        <w:tc>
          <w:tcPr>
            <w:tcW w:w="2426" w:type="pct"/>
          </w:tcPr>
          <w:p w14:paraId="384F0541" w14:textId="77777777" w:rsidR="005047A7" w:rsidRDefault="005047A7">
            <w:pPr>
              <w:pStyle w:val="ANormal"/>
            </w:pPr>
          </w:p>
          <w:p w14:paraId="69BD798C" w14:textId="77777777" w:rsidR="005047A7" w:rsidRPr="00B17E59" w:rsidRDefault="00B17E59">
            <w:pPr>
              <w:pStyle w:val="ANormal"/>
              <w:rPr>
                <w:i/>
                <w:iCs/>
              </w:rPr>
            </w:pPr>
            <w:r>
              <w:tab/>
            </w:r>
            <w:r w:rsidRPr="00B17E59">
              <w:rPr>
                <w:i/>
                <w:iCs/>
              </w:rPr>
              <w:t>Ny paragraf</w:t>
            </w:r>
          </w:p>
          <w:p w14:paraId="7AC3ACED" w14:textId="6D9434E0" w:rsidR="00B17E59" w:rsidRDefault="00B17E59">
            <w:pPr>
              <w:pStyle w:val="ANormal"/>
            </w:pPr>
          </w:p>
        </w:tc>
        <w:tc>
          <w:tcPr>
            <w:tcW w:w="146" w:type="pct"/>
          </w:tcPr>
          <w:p w14:paraId="3FCE0B51" w14:textId="77777777" w:rsidR="005047A7" w:rsidRDefault="005047A7">
            <w:pPr>
              <w:pStyle w:val="ANormal"/>
            </w:pPr>
          </w:p>
        </w:tc>
        <w:tc>
          <w:tcPr>
            <w:tcW w:w="2428" w:type="pct"/>
          </w:tcPr>
          <w:p w14:paraId="7D7A7750" w14:textId="77777777" w:rsidR="005047A7" w:rsidRDefault="005047A7">
            <w:pPr>
              <w:pStyle w:val="ANormal"/>
            </w:pPr>
          </w:p>
          <w:p w14:paraId="5E40424E" w14:textId="77777777" w:rsidR="00B17E59" w:rsidRPr="002E4760" w:rsidRDefault="00B17E59" w:rsidP="00B17E59">
            <w:pPr>
              <w:pStyle w:val="LagParagraf"/>
              <w:rPr>
                <w:b/>
                <w:bCs/>
              </w:rPr>
            </w:pPr>
            <w:r w:rsidRPr="002E4760">
              <w:rPr>
                <w:b/>
                <w:bCs/>
              </w:rPr>
              <w:t>41b</w:t>
            </w:r>
            <w:r>
              <w:rPr>
                <w:b/>
                <w:bCs/>
              </w:rPr>
              <w:t> §</w:t>
            </w:r>
          </w:p>
          <w:p w14:paraId="623C891E" w14:textId="77777777" w:rsidR="00B17E59" w:rsidRPr="002E4760" w:rsidRDefault="00B17E59" w:rsidP="00B17E59">
            <w:pPr>
              <w:pStyle w:val="LagPararubrik"/>
              <w:rPr>
                <w:rFonts w:eastAsia="Calibri"/>
                <w:b/>
                <w:bCs/>
              </w:rPr>
            </w:pPr>
            <w:r w:rsidRPr="002E4760">
              <w:rPr>
                <w:rFonts w:eastAsia="Calibri"/>
                <w:b/>
                <w:bCs/>
              </w:rPr>
              <w:t>Särskilt understöd enligt prövning</w:t>
            </w:r>
          </w:p>
          <w:p w14:paraId="47653B7C" w14:textId="6BDD8538" w:rsidR="00B17E59" w:rsidRPr="002E4760" w:rsidRDefault="00B17E59" w:rsidP="00B17E59">
            <w:pPr>
              <w:pStyle w:val="ANormal"/>
              <w:rPr>
                <w:rFonts w:eastAsia="Calibri"/>
                <w:b/>
                <w:bCs/>
              </w:rPr>
            </w:pPr>
            <w:r w:rsidRPr="002E4760">
              <w:rPr>
                <w:rFonts w:eastAsia="Calibri"/>
                <w:b/>
                <w:bCs/>
              </w:rPr>
              <w:tab/>
              <w:t xml:space="preserve">En ny kommun som bildas med stöd av denna lag kan </w:t>
            </w:r>
            <w:r w:rsidR="00C40F49">
              <w:rPr>
                <w:rFonts w:eastAsia="Calibri"/>
                <w:b/>
                <w:bCs/>
              </w:rPr>
              <w:t>beviljas</w:t>
            </w:r>
            <w:r w:rsidRPr="002E4760">
              <w:rPr>
                <w:rFonts w:eastAsia="Calibri"/>
                <w:b/>
                <w:bCs/>
              </w:rPr>
              <w:t xml:space="preserve"> ett särskilt understöd enligt prövning om de faktiska kostnaderna för bildandet av den nya kommunen väsentligt överstiger den totala summan av stöd som kommunen erhåller enligt 41 och 41a</w:t>
            </w:r>
            <w:r>
              <w:rPr>
                <w:rFonts w:eastAsia="Calibri"/>
                <w:b/>
                <w:bCs/>
              </w:rPr>
              <w:t> §</w:t>
            </w:r>
            <w:r w:rsidRPr="002E4760">
              <w:rPr>
                <w:rFonts w:eastAsia="Calibri"/>
                <w:b/>
                <w:bCs/>
              </w:rPr>
              <w:t>§ i denna lag.</w:t>
            </w:r>
          </w:p>
          <w:p w14:paraId="11A7D9FE" w14:textId="77777777" w:rsidR="00B17E59" w:rsidRPr="002E4760" w:rsidRDefault="00B17E59" w:rsidP="00B17E59">
            <w:pPr>
              <w:pStyle w:val="ANormal"/>
              <w:rPr>
                <w:rFonts w:eastAsia="Calibri"/>
                <w:b/>
                <w:bCs/>
              </w:rPr>
            </w:pPr>
            <w:r w:rsidRPr="002E4760">
              <w:rPr>
                <w:rFonts w:eastAsia="Calibri"/>
                <w:b/>
                <w:bCs/>
              </w:rPr>
              <w:tab/>
              <w:t>Sådana kostnader som avses i 1</w:t>
            </w:r>
            <w:r>
              <w:rPr>
                <w:rFonts w:eastAsia="Calibri"/>
                <w:b/>
                <w:bCs/>
              </w:rPr>
              <w:t> </w:t>
            </w:r>
            <w:r w:rsidRPr="002E4760">
              <w:rPr>
                <w:rFonts w:eastAsia="Calibri"/>
                <w:b/>
                <w:bCs/>
              </w:rPr>
              <w:t>mom. är relevanta kostnader som kommunen inte kunnat undgå i samband med bildandet av den nya kommunen och som uppstått under de första fem åren efter att ändringen trätt i kraft.</w:t>
            </w:r>
          </w:p>
          <w:p w14:paraId="6F62A5DC" w14:textId="09D42DE7" w:rsidR="00B17E59" w:rsidRPr="00740F3E" w:rsidRDefault="00B17E59" w:rsidP="00B17E59">
            <w:pPr>
              <w:pStyle w:val="ANormal"/>
              <w:rPr>
                <w:rFonts w:eastAsia="Calibri"/>
              </w:rPr>
            </w:pPr>
            <w:r w:rsidRPr="002E4760">
              <w:rPr>
                <w:rFonts w:eastAsia="Calibri"/>
                <w:b/>
                <w:bCs/>
              </w:rPr>
              <w:tab/>
              <w:t xml:space="preserve">Ansökan om ett särskilt understöd enligt prövning ska göras </w:t>
            </w:r>
            <w:r w:rsidR="00DF2FFA">
              <w:rPr>
                <w:rFonts w:eastAsia="Calibri"/>
                <w:b/>
                <w:bCs/>
              </w:rPr>
              <w:t>före utgången av mars månad det sjätte</w:t>
            </w:r>
            <w:r w:rsidRPr="002E4760">
              <w:rPr>
                <w:rFonts w:eastAsia="Calibri"/>
                <w:b/>
                <w:bCs/>
              </w:rPr>
              <w:t xml:space="preserve"> året efter att ändringen av kommunindelningen trätt i kraft</w:t>
            </w:r>
            <w:r w:rsidRPr="00740F3E">
              <w:rPr>
                <w:rFonts w:eastAsia="Calibri"/>
              </w:rPr>
              <w:t>.</w:t>
            </w:r>
          </w:p>
          <w:p w14:paraId="5E94E8C8" w14:textId="649A42F7" w:rsidR="00B17E59" w:rsidRDefault="00B17E59">
            <w:pPr>
              <w:pStyle w:val="ANormal"/>
            </w:pPr>
          </w:p>
        </w:tc>
      </w:tr>
      <w:tr w:rsidR="005047A7" w14:paraId="4FE167C1" w14:textId="77777777" w:rsidTr="00DE583A">
        <w:tc>
          <w:tcPr>
            <w:tcW w:w="2426" w:type="pct"/>
          </w:tcPr>
          <w:p w14:paraId="127672F7" w14:textId="77777777" w:rsidR="005047A7" w:rsidRDefault="005047A7">
            <w:pPr>
              <w:pStyle w:val="ANormal"/>
            </w:pPr>
          </w:p>
          <w:p w14:paraId="1F4567A7" w14:textId="77777777" w:rsidR="00B17E59" w:rsidRDefault="00B17E59" w:rsidP="00B17E59">
            <w:pPr>
              <w:pStyle w:val="LagParagraf"/>
            </w:pPr>
            <w:r>
              <w:t>42 §</w:t>
            </w:r>
          </w:p>
          <w:p w14:paraId="44A62D63" w14:textId="77777777" w:rsidR="00B17E59" w:rsidRDefault="00B17E59" w:rsidP="00B17E59">
            <w:pPr>
              <w:pStyle w:val="LagPararubrik"/>
            </w:pPr>
            <w:r>
              <w:t>Utbetalning av samgångsunderstöd</w:t>
            </w:r>
          </w:p>
          <w:p w14:paraId="3627FFE3" w14:textId="00F31782" w:rsidR="00B17E59" w:rsidRDefault="00B17E59" w:rsidP="00B17E59">
            <w:pPr>
              <w:pStyle w:val="ANormal"/>
            </w:pPr>
            <w:r>
              <w:tab/>
              <w:t>Samgångsunderstödet betalas under tre år.</w:t>
            </w:r>
          </w:p>
          <w:p w14:paraId="379087E6" w14:textId="08D98E5A" w:rsidR="00B17E59" w:rsidRDefault="00B17E59" w:rsidP="00B17E59">
            <w:pPr>
              <w:pStyle w:val="ANormal"/>
            </w:pPr>
            <w:r>
              <w:tab/>
              <w:t>Av understödet betalas 50 procent det första året efter att ändringen av kommunindelningen trätt i kraft, 30 procent under det andra året och 20 procent under det tredje året.</w:t>
            </w:r>
          </w:p>
          <w:p w14:paraId="3EBA53A1" w14:textId="77777777" w:rsidR="00B17E59" w:rsidRDefault="00B17E59" w:rsidP="00B17E59">
            <w:pPr>
              <w:pStyle w:val="ANormal"/>
            </w:pPr>
          </w:p>
          <w:p w14:paraId="0D270F7F" w14:textId="77777777" w:rsidR="00B17E59" w:rsidRDefault="00B17E59" w:rsidP="00B17E59">
            <w:pPr>
              <w:pStyle w:val="ANormal"/>
            </w:pPr>
          </w:p>
          <w:p w14:paraId="743989DF" w14:textId="77777777" w:rsidR="005047A7" w:rsidRDefault="00B17E59" w:rsidP="00B17E59">
            <w:pPr>
              <w:pStyle w:val="ANormal"/>
            </w:pPr>
            <w:r>
              <w:tab/>
              <w:t>Samgångsunderstödet betalas två gånger årligen, före utgången av maj respektive november månad.</w:t>
            </w:r>
          </w:p>
          <w:p w14:paraId="08E77C49" w14:textId="0468634B" w:rsidR="00B17E59" w:rsidRDefault="00B17E59" w:rsidP="00B17E59">
            <w:pPr>
              <w:pStyle w:val="ANormal"/>
            </w:pPr>
          </w:p>
        </w:tc>
        <w:tc>
          <w:tcPr>
            <w:tcW w:w="146" w:type="pct"/>
          </w:tcPr>
          <w:p w14:paraId="3397C2BA" w14:textId="77777777" w:rsidR="005047A7" w:rsidRDefault="005047A7">
            <w:pPr>
              <w:pStyle w:val="ANormal"/>
            </w:pPr>
          </w:p>
        </w:tc>
        <w:tc>
          <w:tcPr>
            <w:tcW w:w="2428" w:type="pct"/>
          </w:tcPr>
          <w:p w14:paraId="06024B7A" w14:textId="77777777" w:rsidR="005047A7" w:rsidRDefault="005047A7">
            <w:pPr>
              <w:pStyle w:val="ANormal"/>
            </w:pPr>
          </w:p>
          <w:p w14:paraId="211629DD" w14:textId="77777777" w:rsidR="00B17E59" w:rsidRDefault="00B17E59" w:rsidP="00B17E59">
            <w:pPr>
              <w:pStyle w:val="LagParagraf"/>
            </w:pPr>
            <w:r>
              <w:t>42 §</w:t>
            </w:r>
          </w:p>
          <w:p w14:paraId="6A50D302" w14:textId="77777777" w:rsidR="00B17E59" w:rsidRDefault="00B17E59" w:rsidP="00B17E59">
            <w:pPr>
              <w:pStyle w:val="LagPararubrik"/>
            </w:pPr>
            <w:r>
              <w:t>Utbetalning av samgångsunderstöd</w:t>
            </w:r>
          </w:p>
          <w:p w14:paraId="39BBD7C2" w14:textId="33B42D4A" w:rsidR="00B17E59" w:rsidRPr="005E63BD" w:rsidRDefault="00B17E59" w:rsidP="00B17E59">
            <w:pPr>
              <w:pStyle w:val="ANormal"/>
            </w:pPr>
            <w:r>
              <w:tab/>
            </w:r>
            <w:r w:rsidRPr="005E63BD">
              <w:t xml:space="preserve">Samgångsunderstödet betalas under </w:t>
            </w:r>
            <w:r w:rsidRPr="002E4760">
              <w:rPr>
                <w:b/>
                <w:bCs/>
              </w:rPr>
              <w:t>fem</w:t>
            </w:r>
            <w:r w:rsidRPr="005E63BD">
              <w:t xml:space="preserve"> år.</w:t>
            </w:r>
          </w:p>
          <w:p w14:paraId="7650F3C2" w14:textId="77777777" w:rsidR="00B17E59" w:rsidRPr="005E63BD" w:rsidRDefault="00B17E59" w:rsidP="00B17E59">
            <w:pPr>
              <w:pStyle w:val="ANormal"/>
            </w:pPr>
            <w:r>
              <w:tab/>
              <w:t>Av u</w:t>
            </w:r>
            <w:r w:rsidRPr="005E63BD">
              <w:t>nderstödet betalas</w:t>
            </w:r>
            <w:r>
              <w:t xml:space="preserve"> </w:t>
            </w:r>
            <w:r w:rsidRPr="002E4760">
              <w:rPr>
                <w:b/>
                <w:bCs/>
              </w:rPr>
              <w:t>100 procent av samgångsunderstödets belopp det första året efter att ändringen av kommunindelningen har trätt i kraft, 80 procent det andra året, 60 procent det tredje året, 40 procent det fjärde året och 20 procent det femte året</w:t>
            </w:r>
            <w:r w:rsidRPr="005E63BD">
              <w:t xml:space="preserve">. </w:t>
            </w:r>
          </w:p>
          <w:p w14:paraId="1AA441DB" w14:textId="77777777" w:rsidR="00B17E59" w:rsidRDefault="00B17E59" w:rsidP="00B17E59">
            <w:pPr>
              <w:pStyle w:val="ANormal"/>
            </w:pPr>
            <w:r>
              <w:tab/>
            </w:r>
            <w:r w:rsidRPr="005E63BD">
              <w:t xml:space="preserve">Samgångsunderstödet betalas </w:t>
            </w:r>
            <w:r w:rsidRPr="002E4760">
              <w:rPr>
                <w:b/>
                <w:bCs/>
              </w:rPr>
              <w:t>en</w:t>
            </w:r>
            <w:r w:rsidRPr="005E63BD">
              <w:t xml:space="preserve"> </w:t>
            </w:r>
            <w:r w:rsidRPr="000613D9">
              <w:rPr>
                <w:b/>
                <w:bCs/>
              </w:rPr>
              <w:t>gång per år</w:t>
            </w:r>
            <w:r w:rsidRPr="005E63BD">
              <w:t xml:space="preserve">, före utgången av </w:t>
            </w:r>
            <w:r w:rsidRPr="002E4760">
              <w:rPr>
                <w:b/>
                <w:bCs/>
              </w:rPr>
              <w:t xml:space="preserve">juni </w:t>
            </w:r>
            <w:r w:rsidRPr="005E63BD">
              <w:t>månad.</w:t>
            </w:r>
          </w:p>
          <w:p w14:paraId="60163AFA" w14:textId="700B8BE2" w:rsidR="00B17E59" w:rsidRDefault="00B17E59">
            <w:pPr>
              <w:pStyle w:val="ANormal"/>
            </w:pPr>
          </w:p>
        </w:tc>
      </w:tr>
      <w:tr w:rsidR="005047A7" w14:paraId="4A610EC3" w14:textId="77777777" w:rsidTr="00DE583A">
        <w:tc>
          <w:tcPr>
            <w:tcW w:w="2426" w:type="pct"/>
          </w:tcPr>
          <w:p w14:paraId="5DB6D192" w14:textId="77777777" w:rsidR="005047A7" w:rsidRDefault="005047A7">
            <w:pPr>
              <w:pStyle w:val="ANormal"/>
            </w:pPr>
          </w:p>
          <w:p w14:paraId="231D4C8E" w14:textId="77777777" w:rsidR="00B17E59" w:rsidRDefault="00B17E59" w:rsidP="00B17E59">
            <w:pPr>
              <w:pStyle w:val="LagParagraf"/>
            </w:pPr>
            <w:r>
              <w:lastRenderedPageBreak/>
              <w:t>55 §</w:t>
            </w:r>
          </w:p>
          <w:p w14:paraId="360E9830" w14:textId="77777777" w:rsidR="00B17E59" w:rsidRDefault="00B17E59" w:rsidP="00B17E59">
            <w:pPr>
              <w:pStyle w:val="LagPararubrik"/>
            </w:pPr>
            <w:r>
              <w:t>Övergångsbestämmelser</w:t>
            </w:r>
          </w:p>
          <w:p w14:paraId="68F1308B" w14:textId="33CCE2D3" w:rsidR="00B17E59" w:rsidRPr="002E4760" w:rsidRDefault="00B17E59" w:rsidP="00B17E59">
            <w:pPr>
              <w:pStyle w:val="ANorma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2E4760">
              <w:rPr>
                <w:b/>
                <w:bCs/>
              </w:rPr>
              <w:t>Under den tid som den reform som genomförs med stöd av landskapslagen (2019:28) om en reform av kommunstrukturen pågår, kan inte initiativ till ändringar av kommunindelningen göras eller beslut om ändringar av kommunindelningen fattas med stöd av denna lag.</w:t>
            </w:r>
          </w:p>
          <w:p w14:paraId="5A363873" w14:textId="77777777" w:rsidR="00B17E59" w:rsidRDefault="00B17E59" w:rsidP="00B17E59">
            <w:pPr>
              <w:pStyle w:val="ANormal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2E4760">
              <w:rPr>
                <w:b/>
                <w:bCs/>
              </w:rPr>
              <w:t>Om landskapsregeringen på initiativ av två eller flera kommuner har fattat beslut om en kommunsammanslagning med stöd av landskapslagen om tillämpning i landskapet Åland av vissa lagar om kommunindelning före denna lag trätt i kraft, ska landskapslagen om tillämpning i landskapet Åland av vissa lagar om kommuninde</w:t>
            </w:r>
            <w:r>
              <w:rPr>
                <w:b/>
                <w:bCs/>
              </w:rPr>
              <w:t>l</w:t>
            </w:r>
            <w:r w:rsidRPr="002E4760">
              <w:rPr>
                <w:b/>
                <w:bCs/>
              </w:rPr>
              <w:t>ning tillämpas på he</w:t>
            </w:r>
            <w:r>
              <w:rPr>
                <w:b/>
                <w:bCs/>
              </w:rPr>
              <w:t>l</w:t>
            </w:r>
            <w:r w:rsidRPr="002E4760">
              <w:rPr>
                <w:b/>
                <w:bCs/>
              </w:rPr>
              <w:t>a kommunsammanslagningsprocessen utan hinder av vad som bestäms i 54</w:t>
            </w:r>
            <w:r>
              <w:rPr>
                <w:b/>
                <w:bCs/>
              </w:rPr>
              <w:t> §</w:t>
            </w:r>
            <w:r w:rsidRPr="002E4760">
              <w:rPr>
                <w:b/>
                <w:bCs/>
              </w:rPr>
              <w:t>.</w:t>
            </w:r>
          </w:p>
          <w:p w14:paraId="15563646" w14:textId="1DDD9F55" w:rsidR="00B17E59" w:rsidRPr="00B17E59" w:rsidRDefault="00B17E59" w:rsidP="00B17E59">
            <w:pPr>
              <w:pStyle w:val="ANormal"/>
            </w:pPr>
          </w:p>
        </w:tc>
        <w:tc>
          <w:tcPr>
            <w:tcW w:w="146" w:type="pct"/>
          </w:tcPr>
          <w:p w14:paraId="276CE922" w14:textId="77777777" w:rsidR="005047A7" w:rsidRDefault="005047A7">
            <w:pPr>
              <w:pStyle w:val="ANormal"/>
            </w:pPr>
          </w:p>
        </w:tc>
        <w:tc>
          <w:tcPr>
            <w:tcW w:w="2428" w:type="pct"/>
          </w:tcPr>
          <w:p w14:paraId="339234D6" w14:textId="2BF1B017" w:rsidR="005047A7" w:rsidRDefault="005047A7">
            <w:pPr>
              <w:pStyle w:val="ANormal"/>
            </w:pPr>
          </w:p>
          <w:p w14:paraId="71FD2C88" w14:textId="52FE021D" w:rsidR="00DF2FFA" w:rsidRDefault="00DF2FFA">
            <w:pPr>
              <w:pStyle w:val="ANormal"/>
            </w:pPr>
          </w:p>
          <w:p w14:paraId="75A3F6F0" w14:textId="77777777" w:rsidR="00DE583A" w:rsidRDefault="00DE583A">
            <w:pPr>
              <w:pStyle w:val="ANormal"/>
            </w:pPr>
          </w:p>
          <w:p w14:paraId="563AA3A7" w14:textId="77777777" w:rsidR="00B17E59" w:rsidRPr="00B17E59" w:rsidRDefault="00B17E59">
            <w:pPr>
              <w:pStyle w:val="ANormal"/>
              <w:rPr>
                <w:i/>
                <w:iCs/>
              </w:rPr>
            </w:pPr>
            <w:r>
              <w:lastRenderedPageBreak/>
              <w:tab/>
            </w:r>
            <w:r w:rsidRPr="00B17E59">
              <w:rPr>
                <w:i/>
                <w:iCs/>
              </w:rPr>
              <w:t>Paragrafen upphävs</w:t>
            </w:r>
          </w:p>
          <w:p w14:paraId="18387EB1" w14:textId="1B4C3930" w:rsidR="00B17E59" w:rsidRDefault="00B17E59">
            <w:pPr>
              <w:pStyle w:val="ANormal"/>
            </w:pPr>
          </w:p>
        </w:tc>
      </w:tr>
      <w:tr w:rsidR="00B17E59" w14:paraId="0F33D39C" w14:textId="77777777" w:rsidTr="00DE583A">
        <w:tc>
          <w:tcPr>
            <w:tcW w:w="2426" w:type="pct"/>
          </w:tcPr>
          <w:p w14:paraId="1A067AB5" w14:textId="77777777" w:rsidR="00B17E59" w:rsidRDefault="00B17E59">
            <w:pPr>
              <w:pStyle w:val="ANormal"/>
            </w:pPr>
          </w:p>
        </w:tc>
        <w:tc>
          <w:tcPr>
            <w:tcW w:w="146" w:type="pct"/>
          </w:tcPr>
          <w:p w14:paraId="059E447B" w14:textId="77777777" w:rsidR="00B17E59" w:rsidRDefault="00B17E59">
            <w:pPr>
              <w:pStyle w:val="ANormal"/>
            </w:pPr>
          </w:p>
        </w:tc>
        <w:tc>
          <w:tcPr>
            <w:tcW w:w="2428" w:type="pct"/>
          </w:tcPr>
          <w:p w14:paraId="704A41BC" w14:textId="77777777" w:rsidR="00B17E59" w:rsidRDefault="00B17E59">
            <w:pPr>
              <w:pStyle w:val="ANormal"/>
            </w:pPr>
          </w:p>
          <w:p w14:paraId="6BC8BC9C" w14:textId="77777777" w:rsidR="00B17E59" w:rsidRDefault="007D483F">
            <w:pPr>
              <w:pStyle w:val="ANormal"/>
              <w:jc w:val="center"/>
            </w:pPr>
            <w:hyperlink w:anchor="_top" w:tooltip="Klicka för att gå till toppen av dokumentet" w:history="1">
              <w:r w:rsidR="00B17E59">
                <w:rPr>
                  <w:rStyle w:val="Hyperlnk"/>
                </w:rPr>
                <w:t>__________________</w:t>
              </w:r>
            </w:hyperlink>
          </w:p>
          <w:p w14:paraId="7271FD1F" w14:textId="77777777" w:rsidR="00B17E59" w:rsidRDefault="00B17E59">
            <w:pPr>
              <w:pStyle w:val="ANormal"/>
            </w:pPr>
          </w:p>
          <w:p w14:paraId="3F13C159" w14:textId="77777777" w:rsidR="00B17E59" w:rsidRDefault="00B17E59">
            <w:pPr>
              <w:pStyle w:val="ANormal"/>
            </w:pPr>
            <w:r>
              <w:tab/>
              <w:t>Denna lag träder i kraft den</w:t>
            </w:r>
          </w:p>
          <w:p w14:paraId="73ED3A5C" w14:textId="77777777" w:rsidR="00B17E59" w:rsidRDefault="007D483F">
            <w:pPr>
              <w:pStyle w:val="ANormal"/>
              <w:jc w:val="center"/>
            </w:pPr>
            <w:hyperlink w:anchor="_top" w:tooltip="Klicka för att gå till toppen av dokumentet" w:history="1">
              <w:r w:rsidR="00B17E59">
                <w:rPr>
                  <w:rStyle w:val="Hyperlnk"/>
                </w:rPr>
                <w:t>__________________</w:t>
              </w:r>
            </w:hyperlink>
          </w:p>
          <w:p w14:paraId="23B5C42E" w14:textId="63293644" w:rsidR="00B17E59" w:rsidRDefault="00B17E59">
            <w:pPr>
              <w:pStyle w:val="ANormal"/>
            </w:pPr>
          </w:p>
        </w:tc>
      </w:tr>
    </w:tbl>
    <w:p w14:paraId="37625135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34AB" w14:textId="77777777" w:rsidR="00F62E1D" w:rsidRDefault="00F62E1D">
      <w:r>
        <w:separator/>
      </w:r>
    </w:p>
  </w:endnote>
  <w:endnote w:type="continuationSeparator" w:id="0">
    <w:p w14:paraId="3CC8B62C" w14:textId="77777777" w:rsidR="00F62E1D" w:rsidRDefault="00F6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422A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C946C" w14:textId="0F733DD9" w:rsidR="00E023D9" w:rsidRDefault="00B17E59">
    <w:pPr>
      <w:pStyle w:val="Sidfot"/>
      <w:rPr>
        <w:lang w:val="fi-FI"/>
      </w:rPr>
    </w:pPr>
    <w:r>
      <w:t>LF</w:t>
    </w:r>
    <w:r w:rsidR="00DE583A">
      <w:t>05</w:t>
    </w:r>
    <w:r>
      <w:t>20202021-P.docx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8205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3BEC" w14:textId="77777777" w:rsidR="00F62E1D" w:rsidRDefault="00F62E1D">
      <w:r>
        <w:separator/>
      </w:r>
    </w:p>
  </w:footnote>
  <w:footnote w:type="continuationSeparator" w:id="0">
    <w:p w14:paraId="2FD258ED" w14:textId="77777777" w:rsidR="00F62E1D" w:rsidRDefault="00F62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B9B5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AD0339C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204D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1D"/>
    <w:rsid w:val="00055D5C"/>
    <w:rsid w:val="000613D9"/>
    <w:rsid w:val="001610EB"/>
    <w:rsid w:val="002474F9"/>
    <w:rsid w:val="00262245"/>
    <w:rsid w:val="00285A07"/>
    <w:rsid w:val="002E764D"/>
    <w:rsid w:val="00384A1E"/>
    <w:rsid w:val="003B27F1"/>
    <w:rsid w:val="00407EFE"/>
    <w:rsid w:val="00411F65"/>
    <w:rsid w:val="005047A7"/>
    <w:rsid w:val="00505C57"/>
    <w:rsid w:val="00700BAE"/>
    <w:rsid w:val="007D483F"/>
    <w:rsid w:val="008F2375"/>
    <w:rsid w:val="00A453C8"/>
    <w:rsid w:val="00B17E59"/>
    <w:rsid w:val="00C40F49"/>
    <w:rsid w:val="00C733B1"/>
    <w:rsid w:val="00D13B66"/>
    <w:rsid w:val="00DE583A"/>
    <w:rsid w:val="00DF2FFA"/>
    <w:rsid w:val="00E023D9"/>
    <w:rsid w:val="00F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7B7AF"/>
  <w15:chartTrackingRefBased/>
  <w15:docId w15:val="{601FBF2F-F117-46FB-B64C-BF4B3F66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7A7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rsid w:val="005047A7"/>
    <w:rPr>
      <w:sz w:val="22"/>
      <w:lang w:val="sv-SE" w:eastAsia="sv-SE"/>
    </w:rPr>
  </w:style>
  <w:style w:type="table" w:styleId="Tabellrutnt">
    <w:name w:val="Table Grid"/>
    <w:basedOn w:val="Normaltabell"/>
    <w:uiPriority w:val="39"/>
    <w:rsid w:val="0050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C40F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C40F49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3</Pages>
  <Words>752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4730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Pia Grüssner</dc:creator>
  <cp:keywords/>
  <dc:description/>
  <cp:lastModifiedBy>Marina Eriksson</cp:lastModifiedBy>
  <cp:revision>2</cp:revision>
  <cp:lastPrinted>2020-11-19T08:12:00Z</cp:lastPrinted>
  <dcterms:created xsi:type="dcterms:W3CDTF">2020-11-19T11:45:00Z</dcterms:created>
  <dcterms:modified xsi:type="dcterms:W3CDTF">2020-11-19T11:45:00Z</dcterms:modified>
</cp:coreProperties>
</file>