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57A4BE7" w14:textId="77777777">
        <w:trPr>
          <w:cantSplit/>
          <w:trHeight w:val="20"/>
        </w:trPr>
        <w:tc>
          <w:tcPr>
            <w:tcW w:w="861" w:type="dxa"/>
            <w:vMerge w:val="restart"/>
          </w:tcPr>
          <w:p w14:paraId="25D3A854" w14:textId="77777777" w:rsidR="002401D0" w:rsidRDefault="00577410">
            <w:pPr>
              <w:pStyle w:val="xLedtext"/>
              <w:rPr>
                <w:noProof/>
              </w:rPr>
            </w:pPr>
            <w:bookmarkStart w:id="0" w:name="_top"/>
            <w:bookmarkEnd w:id="0"/>
            <w:r>
              <w:rPr>
                <w:noProof/>
                <w:lang w:val="sv-FI" w:eastAsia="sv-FI"/>
              </w:rPr>
              <w:drawing>
                <wp:inline distT="0" distB="0" distL="0" distR="0" wp14:anchorId="66E54DFF" wp14:editId="05EE27FA">
                  <wp:extent cx="482600"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683895"/>
                          </a:xfrm>
                          <a:prstGeom prst="rect">
                            <a:avLst/>
                          </a:prstGeom>
                          <a:noFill/>
                          <a:ln>
                            <a:noFill/>
                          </a:ln>
                        </pic:spPr>
                      </pic:pic>
                    </a:graphicData>
                  </a:graphic>
                </wp:inline>
              </w:drawing>
            </w:r>
          </w:p>
        </w:tc>
        <w:tc>
          <w:tcPr>
            <w:tcW w:w="8736" w:type="dxa"/>
            <w:gridSpan w:val="3"/>
            <w:vAlign w:val="bottom"/>
          </w:tcPr>
          <w:p w14:paraId="43ED664C" w14:textId="77777777" w:rsidR="002401D0" w:rsidRDefault="00577410">
            <w:pPr>
              <w:pStyle w:val="xMellanrum"/>
            </w:pPr>
            <w:r>
              <w:rPr>
                <w:noProof/>
                <w:lang w:val="sv-FI" w:eastAsia="sv-FI"/>
              </w:rPr>
              <w:drawing>
                <wp:inline distT="0" distB="0" distL="0" distR="0" wp14:anchorId="1C804A5C" wp14:editId="00B1692B">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652C38CC" w14:textId="77777777">
        <w:trPr>
          <w:cantSplit/>
          <w:trHeight w:val="299"/>
        </w:trPr>
        <w:tc>
          <w:tcPr>
            <w:tcW w:w="861" w:type="dxa"/>
            <w:vMerge/>
          </w:tcPr>
          <w:p w14:paraId="3FBE8BAC" w14:textId="77777777" w:rsidR="002401D0" w:rsidRDefault="002401D0">
            <w:pPr>
              <w:pStyle w:val="xLedtext"/>
            </w:pPr>
          </w:p>
        </w:tc>
        <w:tc>
          <w:tcPr>
            <w:tcW w:w="4448" w:type="dxa"/>
            <w:vAlign w:val="bottom"/>
          </w:tcPr>
          <w:p w14:paraId="0C012C84" w14:textId="77777777" w:rsidR="002401D0" w:rsidRDefault="002401D0">
            <w:pPr>
              <w:pStyle w:val="xAvsandare1"/>
            </w:pPr>
            <w:r>
              <w:t>Ålands lagting</w:t>
            </w:r>
          </w:p>
        </w:tc>
        <w:tc>
          <w:tcPr>
            <w:tcW w:w="4288" w:type="dxa"/>
            <w:gridSpan w:val="2"/>
            <w:vAlign w:val="bottom"/>
          </w:tcPr>
          <w:p w14:paraId="24156E11" w14:textId="5F810504" w:rsidR="002401D0" w:rsidRDefault="002401D0" w:rsidP="00837646">
            <w:pPr>
              <w:pStyle w:val="xDokTypNr"/>
            </w:pPr>
            <w:r>
              <w:t xml:space="preserve">BETÄNKANDE nr </w:t>
            </w:r>
            <w:r w:rsidR="00FD3F3C">
              <w:t>20</w:t>
            </w:r>
            <w:r>
              <w:t>/</w:t>
            </w:r>
            <w:proofErr w:type="gramStart"/>
            <w:r>
              <w:t>20</w:t>
            </w:r>
            <w:r w:rsidR="004D3D04">
              <w:t>19</w:t>
            </w:r>
            <w:r w:rsidR="0015337C">
              <w:t>-20</w:t>
            </w:r>
            <w:r w:rsidR="004D3D04">
              <w:t>20</w:t>
            </w:r>
            <w:proofErr w:type="gramEnd"/>
          </w:p>
        </w:tc>
      </w:tr>
      <w:tr w:rsidR="002401D0" w14:paraId="2C3FA8B9" w14:textId="77777777">
        <w:trPr>
          <w:cantSplit/>
          <w:trHeight w:val="238"/>
        </w:trPr>
        <w:tc>
          <w:tcPr>
            <w:tcW w:w="861" w:type="dxa"/>
            <w:vMerge/>
          </w:tcPr>
          <w:p w14:paraId="6C8BD3E8" w14:textId="77777777" w:rsidR="002401D0" w:rsidRDefault="002401D0">
            <w:pPr>
              <w:pStyle w:val="xLedtext"/>
            </w:pPr>
          </w:p>
        </w:tc>
        <w:tc>
          <w:tcPr>
            <w:tcW w:w="4448" w:type="dxa"/>
            <w:vAlign w:val="bottom"/>
          </w:tcPr>
          <w:p w14:paraId="4B4D5767" w14:textId="77777777" w:rsidR="002401D0" w:rsidRDefault="002401D0">
            <w:pPr>
              <w:pStyle w:val="xLedtext"/>
            </w:pPr>
          </w:p>
        </w:tc>
        <w:tc>
          <w:tcPr>
            <w:tcW w:w="1725" w:type="dxa"/>
            <w:vAlign w:val="bottom"/>
          </w:tcPr>
          <w:p w14:paraId="711EE873" w14:textId="77777777" w:rsidR="002401D0" w:rsidRDefault="002401D0">
            <w:pPr>
              <w:pStyle w:val="xLedtext"/>
            </w:pPr>
            <w:r>
              <w:t>Datum</w:t>
            </w:r>
          </w:p>
        </w:tc>
        <w:tc>
          <w:tcPr>
            <w:tcW w:w="2563" w:type="dxa"/>
            <w:vAlign w:val="bottom"/>
          </w:tcPr>
          <w:p w14:paraId="49C88268" w14:textId="77777777" w:rsidR="002401D0" w:rsidRDefault="002401D0">
            <w:pPr>
              <w:pStyle w:val="xLedtext"/>
            </w:pPr>
          </w:p>
        </w:tc>
      </w:tr>
      <w:tr w:rsidR="002401D0" w14:paraId="59239E53" w14:textId="77777777">
        <w:trPr>
          <w:cantSplit/>
          <w:trHeight w:val="238"/>
        </w:trPr>
        <w:tc>
          <w:tcPr>
            <w:tcW w:w="861" w:type="dxa"/>
            <w:vMerge/>
          </w:tcPr>
          <w:p w14:paraId="21388BFD" w14:textId="77777777" w:rsidR="002401D0" w:rsidRDefault="002401D0">
            <w:pPr>
              <w:pStyle w:val="xAvsandare2"/>
            </w:pPr>
          </w:p>
        </w:tc>
        <w:tc>
          <w:tcPr>
            <w:tcW w:w="4448" w:type="dxa"/>
            <w:vAlign w:val="center"/>
          </w:tcPr>
          <w:p w14:paraId="115F2707" w14:textId="77777777" w:rsidR="002401D0" w:rsidRDefault="0028660F">
            <w:pPr>
              <w:pStyle w:val="xAvsandare2"/>
            </w:pPr>
            <w:r>
              <w:t>Finans- och närings</w:t>
            </w:r>
            <w:r w:rsidR="002401D0">
              <w:t>utskottet</w:t>
            </w:r>
          </w:p>
        </w:tc>
        <w:tc>
          <w:tcPr>
            <w:tcW w:w="1725" w:type="dxa"/>
            <w:vAlign w:val="center"/>
          </w:tcPr>
          <w:p w14:paraId="0A690147" w14:textId="6A55285A" w:rsidR="002401D0" w:rsidRDefault="002401D0" w:rsidP="00FD3F3C">
            <w:pPr>
              <w:pStyle w:val="xDatum1"/>
            </w:pPr>
            <w:r>
              <w:t>20</w:t>
            </w:r>
            <w:r w:rsidR="004D3D04">
              <w:t>20</w:t>
            </w:r>
            <w:r w:rsidR="0028660F">
              <w:t>-0</w:t>
            </w:r>
            <w:r w:rsidR="00E34A24">
              <w:t>9</w:t>
            </w:r>
            <w:r w:rsidR="0028660F">
              <w:t>-</w:t>
            </w:r>
            <w:r w:rsidR="00FD3F3C">
              <w:t>08</w:t>
            </w:r>
          </w:p>
        </w:tc>
        <w:tc>
          <w:tcPr>
            <w:tcW w:w="2563" w:type="dxa"/>
            <w:vAlign w:val="center"/>
          </w:tcPr>
          <w:p w14:paraId="7962AA13" w14:textId="77777777" w:rsidR="002401D0" w:rsidRDefault="002401D0">
            <w:pPr>
              <w:pStyle w:val="xBeteckning1"/>
            </w:pPr>
          </w:p>
        </w:tc>
      </w:tr>
      <w:tr w:rsidR="002401D0" w14:paraId="07034CB8" w14:textId="77777777">
        <w:trPr>
          <w:cantSplit/>
          <w:trHeight w:val="238"/>
        </w:trPr>
        <w:tc>
          <w:tcPr>
            <w:tcW w:w="861" w:type="dxa"/>
            <w:vMerge/>
          </w:tcPr>
          <w:p w14:paraId="467DC712" w14:textId="77777777" w:rsidR="002401D0" w:rsidRDefault="002401D0">
            <w:pPr>
              <w:pStyle w:val="xLedtext"/>
            </w:pPr>
          </w:p>
        </w:tc>
        <w:tc>
          <w:tcPr>
            <w:tcW w:w="4448" w:type="dxa"/>
            <w:vAlign w:val="bottom"/>
          </w:tcPr>
          <w:p w14:paraId="624ACD1C" w14:textId="77777777" w:rsidR="002401D0" w:rsidRDefault="002401D0">
            <w:pPr>
              <w:pStyle w:val="xLedtext"/>
            </w:pPr>
          </w:p>
        </w:tc>
        <w:tc>
          <w:tcPr>
            <w:tcW w:w="1725" w:type="dxa"/>
            <w:vAlign w:val="bottom"/>
          </w:tcPr>
          <w:p w14:paraId="6AABA7A0" w14:textId="77777777" w:rsidR="002401D0" w:rsidRDefault="002401D0">
            <w:pPr>
              <w:pStyle w:val="xLedtext"/>
            </w:pPr>
          </w:p>
        </w:tc>
        <w:tc>
          <w:tcPr>
            <w:tcW w:w="2563" w:type="dxa"/>
            <w:vAlign w:val="bottom"/>
          </w:tcPr>
          <w:p w14:paraId="564A9A03" w14:textId="77777777" w:rsidR="002401D0" w:rsidRDefault="002401D0">
            <w:pPr>
              <w:pStyle w:val="xLedtext"/>
            </w:pPr>
          </w:p>
        </w:tc>
      </w:tr>
      <w:tr w:rsidR="002401D0" w14:paraId="7AD8161F" w14:textId="77777777">
        <w:trPr>
          <w:cantSplit/>
          <w:trHeight w:val="238"/>
        </w:trPr>
        <w:tc>
          <w:tcPr>
            <w:tcW w:w="861" w:type="dxa"/>
            <w:vMerge/>
            <w:tcBorders>
              <w:bottom w:val="single" w:sz="4" w:space="0" w:color="auto"/>
            </w:tcBorders>
          </w:tcPr>
          <w:p w14:paraId="24A2EA57" w14:textId="77777777" w:rsidR="002401D0" w:rsidRDefault="002401D0">
            <w:pPr>
              <w:pStyle w:val="xAvsandare3"/>
            </w:pPr>
          </w:p>
        </w:tc>
        <w:tc>
          <w:tcPr>
            <w:tcW w:w="4448" w:type="dxa"/>
            <w:tcBorders>
              <w:bottom w:val="single" w:sz="4" w:space="0" w:color="auto"/>
            </w:tcBorders>
            <w:vAlign w:val="center"/>
          </w:tcPr>
          <w:p w14:paraId="1904C7A0" w14:textId="77777777" w:rsidR="002401D0" w:rsidRDefault="002401D0">
            <w:pPr>
              <w:pStyle w:val="xAvsandare3"/>
            </w:pPr>
          </w:p>
        </w:tc>
        <w:tc>
          <w:tcPr>
            <w:tcW w:w="1725" w:type="dxa"/>
            <w:tcBorders>
              <w:bottom w:val="single" w:sz="4" w:space="0" w:color="auto"/>
            </w:tcBorders>
            <w:vAlign w:val="center"/>
          </w:tcPr>
          <w:p w14:paraId="676B0B8E" w14:textId="77777777" w:rsidR="002401D0" w:rsidRDefault="002401D0">
            <w:pPr>
              <w:pStyle w:val="xDatum2"/>
            </w:pPr>
          </w:p>
        </w:tc>
        <w:tc>
          <w:tcPr>
            <w:tcW w:w="2563" w:type="dxa"/>
            <w:tcBorders>
              <w:bottom w:val="single" w:sz="4" w:space="0" w:color="auto"/>
            </w:tcBorders>
            <w:vAlign w:val="center"/>
          </w:tcPr>
          <w:p w14:paraId="10A73CE7" w14:textId="77777777" w:rsidR="002401D0" w:rsidRDefault="002401D0">
            <w:pPr>
              <w:pStyle w:val="xBeteckning2"/>
            </w:pPr>
          </w:p>
        </w:tc>
      </w:tr>
      <w:tr w:rsidR="002401D0" w14:paraId="210CC041" w14:textId="77777777">
        <w:trPr>
          <w:cantSplit/>
          <w:trHeight w:val="238"/>
        </w:trPr>
        <w:tc>
          <w:tcPr>
            <w:tcW w:w="861" w:type="dxa"/>
            <w:tcBorders>
              <w:top w:val="single" w:sz="4" w:space="0" w:color="auto"/>
            </w:tcBorders>
            <w:vAlign w:val="bottom"/>
          </w:tcPr>
          <w:p w14:paraId="4ED5A9E8" w14:textId="77777777" w:rsidR="002401D0" w:rsidRDefault="002401D0">
            <w:pPr>
              <w:pStyle w:val="xLedtext"/>
            </w:pPr>
          </w:p>
        </w:tc>
        <w:tc>
          <w:tcPr>
            <w:tcW w:w="4448" w:type="dxa"/>
            <w:tcBorders>
              <w:top w:val="single" w:sz="4" w:space="0" w:color="auto"/>
            </w:tcBorders>
            <w:vAlign w:val="bottom"/>
          </w:tcPr>
          <w:p w14:paraId="75E412DA" w14:textId="77777777" w:rsidR="002401D0" w:rsidRDefault="002401D0">
            <w:pPr>
              <w:pStyle w:val="xLedtext"/>
            </w:pPr>
          </w:p>
        </w:tc>
        <w:tc>
          <w:tcPr>
            <w:tcW w:w="4288" w:type="dxa"/>
            <w:gridSpan w:val="2"/>
            <w:tcBorders>
              <w:top w:val="single" w:sz="4" w:space="0" w:color="auto"/>
            </w:tcBorders>
            <w:vAlign w:val="bottom"/>
          </w:tcPr>
          <w:p w14:paraId="49B432C6" w14:textId="77777777" w:rsidR="002401D0" w:rsidRDefault="002401D0">
            <w:pPr>
              <w:pStyle w:val="xLedtext"/>
            </w:pPr>
          </w:p>
        </w:tc>
      </w:tr>
      <w:tr w:rsidR="002401D0" w14:paraId="3BC1322C" w14:textId="77777777">
        <w:trPr>
          <w:cantSplit/>
          <w:trHeight w:val="238"/>
        </w:trPr>
        <w:tc>
          <w:tcPr>
            <w:tcW w:w="861" w:type="dxa"/>
          </w:tcPr>
          <w:p w14:paraId="01384DCA" w14:textId="77777777" w:rsidR="002401D0" w:rsidRDefault="002401D0">
            <w:pPr>
              <w:pStyle w:val="xCelltext"/>
            </w:pPr>
          </w:p>
        </w:tc>
        <w:tc>
          <w:tcPr>
            <w:tcW w:w="4448" w:type="dxa"/>
            <w:vMerge w:val="restart"/>
          </w:tcPr>
          <w:p w14:paraId="680CFF7E" w14:textId="77777777" w:rsidR="002401D0" w:rsidRDefault="002401D0">
            <w:pPr>
              <w:pStyle w:val="xMottagare1"/>
            </w:pPr>
            <w:r>
              <w:t>Till Ålands lagting</w:t>
            </w:r>
          </w:p>
        </w:tc>
        <w:tc>
          <w:tcPr>
            <w:tcW w:w="4288" w:type="dxa"/>
            <w:gridSpan w:val="2"/>
            <w:vMerge w:val="restart"/>
          </w:tcPr>
          <w:p w14:paraId="55B27F0E" w14:textId="77777777" w:rsidR="002401D0" w:rsidRDefault="002401D0">
            <w:pPr>
              <w:pStyle w:val="xMottagare1"/>
              <w:tabs>
                <w:tab w:val="left" w:pos="2349"/>
              </w:tabs>
            </w:pPr>
          </w:p>
        </w:tc>
      </w:tr>
      <w:tr w:rsidR="002401D0" w14:paraId="47CC7A0A" w14:textId="77777777">
        <w:trPr>
          <w:cantSplit/>
          <w:trHeight w:val="238"/>
        </w:trPr>
        <w:tc>
          <w:tcPr>
            <w:tcW w:w="861" w:type="dxa"/>
          </w:tcPr>
          <w:p w14:paraId="7DAEA603" w14:textId="77777777" w:rsidR="002401D0" w:rsidRDefault="002401D0">
            <w:pPr>
              <w:pStyle w:val="xCelltext"/>
            </w:pPr>
          </w:p>
        </w:tc>
        <w:tc>
          <w:tcPr>
            <w:tcW w:w="4448" w:type="dxa"/>
            <w:vMerge/>
            <w:vAlign w:val="center"/>
          </w:tcPr>
          <w:p w14:paraId="3023ADBD" w14:textId="77777777" w:rsidR="002401D0" w:rsidRDefault="002401D0">
            <w:pPr>
              <w:pStyle w:val="xCelltext"/>
            </w:pPr>
          </w:p>
        </w:tc>
        <w:tc>
          <w:tcPr>
            <w:tcW w:w="4288" w:type="dxa"/>
            <w:gridSpan w:val="2"/>
            <w:vMerge/>
            <w:vAlign w:val="center"/>
          </w:tcPr>
          <w:p w14:paraId="63CCEDD2" w14:textId="77777777" w:rsidR="002401D0" w:rsidRDefault="002401D0">
            <w:pPr>
              <w:pStyle w:val="xCelltext"/>
            </w:pPr>
          </w:p>
        </w:tc>
      </w:tr>
      <w:tr w:rsidR="002401D0" w14:paraId="30F97625" w14:textId="77777777">
        <w:trPr>
          <w:cantSplit/>
          <w:trHeight w:val="238"/>
        </w:trPr>
        <w:tc>
          <w:tcPr>
            <w:tcW w:w="861" w:type="dxa"/>
          </w:tcPr>
          <w:p w14:paraId="0A72A8EE" w14:textId="77777777" w:rsidR="002401D0" w:rsidRDefault="002401D0">
            <w:pPr>
              <w:pStyle w:val="xCelltext"/>
            </w:pPr>
          </w:p>
        </w:tc>
        <w:tc>
          <w:tcPr>
            <w:tcW w:w="4448" w:type="dxa"/>
            <w:vMerge/>
            <w:vAlign w:val="center"/>
          </w:tcPr>
          <w:p w14:paraId="6BC75706" w14:textId="77777777" w:rsidR="002401D0" w:rsidRDefault="002401D0">
            <w:pPr>
              <w:pStyle w:val="xCelltext"/>
            </w:pPr>
          </w:p>
        </w:tc>
        <w:tc>
          <w:tcPr>
            <w:tcW w:w="4288" w:type="dxa"/>
            <w:gridSpan w:val="2"/>
            <w:vMerge/>
            <w:vAlign w:val="center"/>
          </w:tcPr>
          <w:p w14:paraId="59627398" w14:textId="77777777" w:rsidR="002401D0" w:rsidRDefault="002401D0">
            <w:pPr>
              <w:pStyle w:val="xCelltext"/>
            </w:pPr>
          </w:p>
        </w:tc>
      </w:tr>
      <w:tr w:rsidR="002401D0" w14:paraId="44515530" w14:textId="77777777">
        <w:trPr>
          <w:cantSplit/>
          <w:trHeight w:val="238"/>
        </w:trPr>
        <w:tc>
          <w:tcPr>
            <w:tcW w:w="861" w:type="dxa"/>
          </w:tcPr>
          <w:p w14:paraId="6D3640CE" w14:textId="77777777" w:rsidR="002401D0" w:rsidRDefault="002401D0">
            <w:pPr>
              <w:pStyle w:val="xCelltext"/>
            </w:pPr>
          </w:p>
        </w:tc>
        <w:tc>
          <w:tcPr>
            <w:tcW w:w="4448" w:type="dxa"/>
            <w:vMerge/>
            <w:vAlign w:val="center"/>
          </w:tcPr>
          <w:p w14:paraId="55611718" w14:textId="77777777" w:rsidR="002401D0" w:rsidRDefault="002401D0">
            <w:pPr>
              <w:pStyle w:val="xCelltext"/>
            </w:pPr>
          </w:p>
        </w:tc>
        <w:tc>
          <w:tcPr>
            <w:tcW w:w="4288" w:type="dxa"/>
            <w:gridSpan w:val="2"/>
            <w:vMerge/>
            <w:vAlign w:val="center"/>
          </w:tcPr>
          <w:p w14:paraId="08BFE218" w14:textId="77777777" w:rsidR="002401D0" w:rsidRDefault="002401D0">
            <w:pPr>
              <w:pStyle w:val="xCelltext"/>
            </w:pPr>
          </w:p>
        </w:tc>
      </w:tr>
      <w:tr w:rsidR="002401D0" w14:paraId="558DA280" w14:textId="77777777">
        <w:trPr>
          <w:cantSplit/>
          <w:trHeight w:val="238"/>
        </w:trPr>
        <w:tc>
          <w:tcPr>
            <w:tcW w:w="861" w:type="dxa"/>
          </w:tcPr>
          <w:p w14:paraId="7F3DDB30" w14:textId="77777777" w:rsidR="002401D0" w:rsidRDefault="002401D0">
            <w:pPr>
              <w:pStyle w:val="xCelltext"/>
            </w:pPr>
          </w:p>
        </w:tc>
        <w:tc>
          <w:tcPr>
            <w:tcW w:w="4448" w:type="dxa"/>
            <w:vMerge/>
            <w:vAlign w:val="center"/>
          </w:tcPr>
          <w:p w14:paraId="030ECEF5" w14:textId="77777777" w:rsidR="002401D0" w:rsidRDefault="002401D0">
            <w:pPr>
              <w:pStyle w:val="xCelltext"/>
            </w:pPr>
          </w:p>
        </w:tc>
        <w:tc>
          <w:tcPr>
            <w:tcW w:w="4288" w:type="dxa"/>
            <w:gridSpan w:val="2"/>
            <w:vMerge/>
            <w:vAlign w:val="center"/>
          </w:tcPr>
          <w:p w14:paraId="6A262CB2" w14:textId="77777777" w:rsidR="002401D0" w:rsidRDefault="002401D0">
            <w:pPr>
              <w:pStyle w:val="xCelltext"/>
            </w:pPr>
          </w:p>
        </w:tc>
      </w:tr>
    </w:tbl>
    <w:p w14:paraId="359FE051"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16D58C5" w14:textId="77777777" w:rsidR="002401D0" w:rsidRDefault="0028660F">
      <w:pPr>
        <w:pStyle w:val="ArendeOverRubrik"/>
      </w:pPr>
      <w:r>
        <w:t>Finans- och närings</w:t>
      </w:r>
      <w:r w:rsidR="002401D0">
        <w:t>utskottets betänkande</w:t>
      </w:r>
    </w:p>
    <w:p w14:paraId="3A581238" w14:textId="0C26233A" w:rsidR="0031113B" w:rsidRDefault="0028660F" w:rsidP="0028660F">
      <w:pPr>
        <w:pStyle w:val="ArendeRubrik"/>
        <w:ind w:right="-1248"/>
      </w:pPr>
      <w:r>
        <w:t>R</w:t>
      </w:r>
      <w:r w:rsidR="0031113B">
        <w:t>edogörelse över årsredovisning</w:t>
      </w:r>
      <w:r w:rsidR="00FD3F3C">
        <w:t>en</w:t>
      </w:r>
      <w:r w:rsidR="0031113B">
        <w:t xml:space="preserve"> per 31.12.2019</w:t>
      </w:r>
    </w:p>
    <w:p w14:paraId="13C929D4" w14:textId="3AF8089B" w:rsidR="002401D0" w:rsidRDefault="005632DA">
      <w:pPr>
        <w:pStyle w:val="ArendeUnderRubrik"/>
      </w:pPr>
      <w:hyperlink r:id="rId11" w:history="1">
        <w:r w:rsidR="0028660F" w:rsidRPr="000C1885">
          <w:rPr>
            <w:rStyle w:val="Hyperlnk"/>
          </w:rPr>
          <w:t xml:space="preserve">Landskapsregeringens redogörelse </w:t>
        </w:r>
        <w:r w:rsidR="00AA1C2B">
          <w:rPr>
            <w:rStyle w:val="Hyperlnk"/>
          </w:rPr>
          <w:t>nr 3</w:t>
        </w:r>
        <w:r w:rsidR="0028660F" w:rsidRPr="000C1885">
          <w:rPr>
            <w:rStyle w:val="Hyperlnk"/>
          </w:rPr>
          <w:t>/</w:t>
        </w:r>
        <w:proofErr w:type="gramStart"/>
        <w:r w:rsidR="0028660F" w:rsidRPr="000C1885">
          <w:rPr>
            <w:rStyle w:val="Hyperlnk"/>
          </w:rPr>
          <w:t>201</w:t>
        </w:r>
        <w:r w:rsidR="004D3D04">
          <w:rPr>
            <w:rStyle w:val="Hyperlnk"/>
          </w:rPr>
          <w:t>9</w:t>
        </w:r>
        <w:r w:rsidR="0028660F" w:rsidRPr="000C1885">
          <w:rPr>
            <w:rStyle w:val="Hyperlnk"/>
          </w:rPr>
          <w:t>-20</w:t>
        </w:r>
        <w:r w:rsidR="004D3D04">
          <w:rPr>
            <w:rStyle w:val="Hyperlnk"/>
          </w:rPr>
          <w:t>20</w:t>
        </w:r>
        <w:proofErr w:type="gramEnd"/>
      </w:hyperlink>
    </w:p>
    <w:p w14:paraId="275661D7" w14:textId="77777777" w:rsidR="002401D0" w:rsidRDefault="002401D0">
      <w:pPr>
        <w:pStyle w:val="ANormal"/>
      </w:pPr>
    </w:p>
    <w:p w14:paraId="37F434F2" w14:textId="77777777" w:rsidR="002401D0" w:rsidRDefault="002401D0">
      <w:pPr>
        <w:pStyle w:val="Innehll1"/>
      </w:pPr>
      <w:r>
        <w:t>INNEHÅLL</w:t>
      </w:r>
    </w:p>
    <w:p w14:paraId="792239C8" w14:textId="7D01AEDE" w:rsidR="0083502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0454919" w:history="1">
        <w:r w:rsidR="00835020" w:rsidRPr="00D6396E">
          <w:rPr>
            <w:rStyle w:val="Hyperlnk"/>
          </w:rPr>
          <w:t>Sammanfattning</w:t>
        </w:r>
        <w:r w:rsidR="00835020">
          <w:rPr>
            <w:webHidden/>
          </w:rPr>
          <w:tab/>
        </w:r>
        <w:r w:rsidR="00835020">
          <w:rPr>
            <w:webHidden/>
          </w:rPr>
          <w:fldChar w:fldCharType="begin"/>
        </w:r>
        <w:r w:rsidR="00835020">
          <w:rPr>
            <w:webHidden/>
          </w:rPr>
          <w:instrText xml:space="preserve"> PAGEREF _Toc50454919 \h </w:instrText>
        </w:r>
        <w:r w:rsidR="00835020">
          <w:rPr>
            <w:webHidden/>
          </w:rPr>
        </w:r>
        <w:r w:rsidR="00835020">
          <w:rPr>
            <w:webHidden/>
          </w:rPr>
          <w:fldChar w:fldCharType="separate"/>
        </w:r>
        <w:r w:rsidR="005632DA">
          <w:rPr>
            <w:webHidden/>
          </w:rPr>
          <w:t>1</w:t>
        </w:r>
        <w:r w:rsidR="00835020">
          <w:rPr>
            <w:webHidden/>
          </w:rPr>
          <w:fldChar w:fldCharType="end"/>
        </w:r>
      </w:hyperlink>
    </w:p>
    <w:p w14:paraId="310FA22C" w14:textId="7F132C7A" w:rsidR="00835020" w:rsidRDefault="005632DA">
      <w:pPr>
        <w:pStyle w:val="Innehll2"/>
        <w:rPr>
          <w:rFonts w:asciiTheme="minorHAnsi" w:eastAsiaTheme="minorEastAsia" w:hAnsiTheme="minorHAnsi" w:cstheme="minorBidi"/>
          <w:sz w:val="22"/>
          <w:szCs w:val="22"/>
          <w:lang w:val="sv-FI" w:eastAsia="sv-FI"/>
        </w:rPr>
      </w:pPr>
      <w:hyperlink w:anchor="_Toc50454920" w:history="1">
        <w:r w:rsidR="00835020" w:rsidRPr="00D6396E">
          <w:rPr>
            <w:rStyle w:val="Hyperlnk"/>
          </w:rPr>
          <w:t>Landskapsregeringens förslag</w:t>
        </w:r>
        <w:r w:rsidR="00835020">
          <w:rPr>
            <w:webHidden/>
          </w:rPr>
          <w:tab/>
        </w:r>
        <w:r w:rsidR="00835020">
          <w:rPr>
            <w:webHidden/>
          </w:rPr>
          <w:fldChar w:fldCharType="begin"/>
        </w:r>
        <w:r w:rsidR="00835020">
          <w:rPr>
            <w:webHidden/>
          </w:rPr>
          <w:instrText xml:space="preserve"> PAGEREF _Toc50454920 \h </w:instrText>
        </w:r>
        <w:r w:rsidR="00835020">
          <w:rPr>
            <w:webHidden/>
          </w:rPr>
        </w:r>
        <w:r w:rsidR="00835020">
          <w:rPr>
            <w:webHidden/>
          </w:rPr>
          <w:fldChar w:fldCharType="separate"/>
        </w:r>
        <w:r>
          <w:rPr>
            <w:webHidden/>
          </w:rPr>
          <w:t>1</w:t>
        </w:r>
        <w:r w:rsidR="00835020">
          <w:rPr>
            <w:webHidden/>
          </w:rPr>
          <w:fldChar w:fldCharType="end"/>
        </w:r>
      </w:hyperlink>
    </w:p>
    <w:p w14:paraId="3FCD36D8" w14:textId="5892CA2D" w:rsidR="00835020" w:rsidRDefault="005632DA">
      <w:pPr>
        <w:pStyle w:val="Innehll2"/>
        <w:rPr>
          <w:rFonts w:asciiTheme="minorHAnsi" w:eastAsiaTheme="minorEastAsia" w:hAnsiTheme="minorHAnsi" w:cstheme="minorBidi"/>
          <w:sz w:val="22"/>
          <w:szCs w:val="22"/>
          <w:lang w:val="sv-FI" w:eastAsia="sv-FI"/>
        </w:rPr>
      </w:pPr>
      <w:hyperlink w:anchor="_Toc50454921" w:history="1">
        <w:r w:rsidR="00835020" w:rsidRPr="00D6396E">
          <w:rPr>
            <w:rStyle w:val="Hyperlnk"/>
          </w:rPr>
          <w:t>Utskottets förslag</w:t>
        </w:r>
        <w:r w:rsidR="00835020">
          <w:rPr>
            <w:webHidden/>
          </w:rPr>
          <w:tab/>
        </w:r>
        <w:r w:rsidR="00835020">
          <w:rPr>
            <w:webHidden/>
          </w:rPr>
          <w:fldChar w:fldCharType="begin"/>
        </w:r>
        <w:r w:rsidR="00835020">
          <w:rPr>
            <w:webHidden/>
          </w:rPr>
          <w:instrText xml:space="preserve"> PAGEREF _Toc50454921 \h </w:instrText>
        </w:r>
        <w:r w:rsidR="00835020">
          <w:rPr>
            <w:webHidden/>
          </w:rPr>
        </w:r>
        <w:r w:rsidR="00835020">
          <w:rPr>
            <w:webHidden/>
          </w:rPr>
          <w:fldChar w:fldCharType="separate"/>
        </w:r>
        <w:r>
          <w:rPr>
            <w:webHidden/>
          </w:rPr>
          <w:t>1</w:t>
        </w:r>
        <w:r w:rsidR="00835020">
          <w:rPr>
            <w:webHidden/>
          </w:rPr>
          <w:fldChar w:fldCharType="end"/>
        </w:r>
      </w:hyperlink>
    </w:p>
    <w:p w14:paraId="3EBDD389" w14:textId="7B69A67E" w:rsidR="00835020" w:rsidRDefault="005632DA">
      <w:pPr>
        <w:pStyle w:val="Innehll1"/>
        <w:rPr>
          <w:rFonts w:asciiTheme="minorHAnsi" w:eastAsiaTheme="minorEastAsia" w:hAnsiTheme="minorHAnsi" w:cstheme="minorBidi"/>
          <w:sz w:val="22"/>
          <w:szCs w:val="22"/>
          <w:lang w:val="sv-FI" w:eastAsia="sv-FI"/>
        </w:rPr>
      </w:pPr>
      <w:hyperlink w:anchor="_Toc50454922" w:history="1">
        <w:r w:rsidR="00835020" w:rsidRPr="00D6396E">
          <w:rPr>
            <w:rStyle w:val="Hyperlnk"/>
          </w:rPr>
          <w:t>Utskottets synpunkter</w:t>
        </w:r>
        <w:r w:rsidR="00835020">
          <w:rPr>
            <w:webHidden/>
          </w:rPr>
          <w:tab/>
        </w:r>
        <w:r w:rsidR="00835020">
          <w:rPr>
            <w:webHidden/>
          </w:rPr>
          <w:fldChar w:fldCharType="begin"/>
        </w:r>
        <w:r w:rsidR="00835020">
          <w:rPr>
            <w:webHidden/>
          </w:rPr>
          <w:instrText xml:space="preserve"> PAGEREF _Toc50454922 \h </w:instrText>
        </w:r>
        <w:r w:rsidR="00835020">
          <w:rPr>
            <w:webHidden/>
          </w:rPr>
        </w:r>
        <w:r w:rsidR="00835020">
          <w:rPr>
            <w:webHidden/>
          </w:rPr>
          <w:fldChar w:fldCharType="separate"/>
        </w:r>
        <w:r>
          <w:rPr>
            <w:webHidden/>
          </w:rPr>
          <w:t>1</w:t>
        </w:r>
        <w:r w:rsidR="00835020">
          <w:rPr>
            <w:webHidden/>
          </w:rPr>
          <w:fldChar w:fldCharType="end"/>
        </w:r>
      </w:hyperlink>
    </w:p>
    <w:p w14:paraId="13690B29" w14:textId="6FD10599" w:rsidR="00835020" w:rsidRDefault="005632DA">
      <w:pPr>
        <w:pStyle w:val="Innehll3"/>
        <w:rPr>
          <w:rFonts w:asciiTheme="minorHAnsi" w:eastAsiaTheme="minorEastAsia" w:hAnsiTheme="minorHAnsi" w:cstheme="minorBidi"/>
          <w:sz w:val="22"/>
          <w:szCs w:val="22"/>
          <w:lang w:val="sv-FI" w:eastAsia="sv-FI"/>
        </w:rPr>
      </w:pPr>
      <w:hyperlink w:anchor="_Toc50454923" w:history="1">
        <w:r w:rsidR="00835020" w:rsidRPr="00D6396E">
          <w:rPr>
            <w:rStyle w:val="Hyperlnk"/>
          </w:rPr>
          <w:t>Resultat- och kostnadsutveckling</w:t>
        </w:r>
        <w:r w:rsidR="00835020">
          <w:rPr>
            <w:webHidden/>
          </w:rPr>
          <w:tab/>
        </w:r>
        <w:r w:rsidR="00835020">
          <w:rPr>
            <w:webHidden/>
          </w:rPr>
          <w:fldChar w:fldCharType="begin"/>
        </w:r>
        <w:r w:rsidR="00835020">
          <w:rPr>
            <w:webHidden/>
          </w:rPr>
          <w:instrText xml:space="preserve"> PAGEREF _Toc50454923 \h </w:instrText>
        </w:r>
        <w:r w:rsidR="00835020">
          <w:rPr>
            <w:webHidden/>
          </w:rPr>
        </w:r>
        <w:r w:rsidR="00835020">
          <w:rPr>
            <w:webHidden/>
          </w:rPr>
          <w:fldChar w:fldCharType="separate"/>
        </w:r>
        <w:r>
          <w:rPr>
            <w:webHidden/>
          </w:rPr>
          <w:t>1</w:t>
        </w:r>
        <w:r w:rsidR="00835020">
          <w:rPr>
            <w:webHidden/>
          </w:rPr>
          <w:fldChar w:fldCharType="end"/>
        </w:r>
      </w:hyperlink>
    </w:p>
    <w:p w14:paraId="3FDDD5F2" w14:textId="21092FCE" w:rsidR="00835020" w:rsidRDefault="005632DA">
      <w:pPr>
        <w:pStyle w:val="Innehll3"/>
        <w:rPr>
          <w:rFonts w:asciiTheme="minorHAnsi" w:eastAsiaTheme="minorEastAsia" w:hAnsiTheme="minorHAnsi" w:cstheme="minorBidi"/>
          <w:sz w:val="22"/>
          <w:szCs w:val="22"/>
          <w:lang w:val="sv-FI" w:eastAsia="sv-FI"/>
        </w:rPr>
      </w:pPr>
      <w:hyperlink w:anchor="_Toc50454924" w:history="1">
        <w:r w:rsidR="00835020" w:rsidRPr="00D6396E">
          <w:rPr>
            <w:rStyle w:val="Hyperlnk"/>
          </w:rPr>
          <w:t>Skatteintäkterna</w:t>
        </w:r>
        <w:r w:rsidR="00835020">
          <w:rPr>
            <w:webHidden/>
          </w:rPr>
          <w:tab/>
        </w:r>
        <w:r w:rsidR="00835020">
          <w:rPr>
            <w:webHidden/>
          </w:rPr>
          <w:fldChar w:fldCharType="begin"/>
        </w:r>
        <w:r w:rsidR="00835020">
          <w:rPr>
            <w:webHidden/>
          </w:rPr>
          <w:instrText xml:space="preserve"> PAGEREF _Toc50454924 \h </w:instrText>
        </w:r>
        <w:r w:rsidR="00835020">
          <w:rPr>
            <w:webHidden/>
          </w:rPr>
        </w:r>
        <w:r w:rsidR="00835020">
          <w:rPr>
            <w:webHidden/>
          </w:rPr>
          <w:fldChar w:fldCharType="separate"/>
        </w:r>
        <w:r>
          <w:rPr>
            <w:webHidden/>
          </w:rPr>
          <w:t>2</w:t>
        </w:r>
        <w:r w:rsidR="00835020">
          <w:rPr>
            <w:webHidden/>
          </w:rPr>
          <w:fldChar w:fldCharType="end"/>
        </w:r>
      </w:hyperlink>
    </w:p>
    <w:p w14:paraId="3C658BA4" w14:textId="3AFD5A2D" w:rsidR="00835020" w:rsidRDefault="005632DA">
      <w:pPr>
        <w:pStyle w:val="Innehll3"/>
        <w:rPr>
          <w:rFonts w:asciiTheme="minorHAnsi" w:eastAsiaTheme="minorEastAsia" w:hAnsiTheme="minorHAnsi" w:cstheme="minorBidi"/>
          <w:sz w:val="22"/>
          <w:szCs w:val="22"/>
          <w:lang w:val="sv-FI" w:eastAsia="sv-FI"/>
        </w:rPr>
      </w:pPr>
      <w:hyperlink w:anchor="_Toc50454925" w:history="1">
        <w:r w:rsidR="00835020" w:rsidRPr="00D6396E">
          <w:rPr>
            <w:rStyle w:val="Hyperlnk"/>
          </w:rPr>
          <w:t>Pensionskostnaderna</w:t>
        </w:r>
        <w:r w:rsidR="00835020">
          <w:rPr>
            <w:webHidden/>
          </w:rPr>
          <w:tab/>
        </w:r>
        <w:r w:rsidR="00835020">
          <w:rPr>
            <w:webHidden/>
          </w:rPr>
          <w:fldChar w:fldCharType="begin"/>
        </w:r>
        <w:r w:rsidR="00835020">
          <w:rPr>
            <w:webHidden/>
          </w:rPr>
          <w:instrText xml:space="preserve"> PAGEREF _Toc50454925 \h </w:instrText>
        </w:r>
        <w:r w:rsidR="00835020">
          <w:rPr>
            <w:webHidden/>
          </w:rPr>
        </w:r>
        <w:r w:rsidR="00835020">
          <w:rPr>
            <w:webHidden/>
          </w:rPr>
          <w:fldChar w:fldCharType="separate"/>
        </w:r>
        <w:r>
          <w:rPr>
            <w:webHidden/>
          </w:rPr>
          <w:t>2</w:t>
        </w:r>
        <w:r w:rsidR="00835020">
          <w:rPr>
            <w:webHidden/>
          </w:rPr>
          <w:fldChar w:fldCharType="end"/>
        </w:r>
      </w:hyperlink>
    </w:p>
    <w:p w14:paraId="1EAAED8B" w14:textId="58824EC0" w:rsidR="00835020" w:rsidRDefault="005632DA">
      <w:pPr>
        <w:pStyle w:val="Innehll3"/>
        <w:rPr>
          <w:rFonts w:asciiTheme="minorHAnsi" w:eastAsiaTheme="minorEastAsia" w:hAnsiTheme="minorHAnsi" w:cstheme="minorBidi"/>
          <w:sz w:val="22"/>
          <w:szCs w:val="22"/>
          <w:lang w:val="sv-FI" w:eastAsia="sv-FI"/>
        </w:rPr>
      </w:pPr>
      <w:hyperlink w:anchor="_Toc50454926" w:history="1">
        <w:r w:rsidR="00835020" w:rsidRPr="00D6396E">
          <w:rPr>
            <w:rStyle w:val="Hyperlnk"/>
          </w:rPr>
          <w:t>Personal</w:t>
        </w:r>
        <w:r w:rsidR="00835020">
          <w:rPr>
            <w:webHidden/>
          </w:rPr>
          <w:tab/>
        </w:r>
        <w:r w:rsidR="00835020">
          <w:rPr>
            <w:webHidden/>
          </w:rPr>
          <w:fldChar w:fldCharType="begin"/>
        </w:r>
        <w:r w:rsidR="00835020">
          <w:rPr>
            <w:webHidden/>
          </w:rPr>
          <w:instrText xml:space="preserve"> PAGEREF _Toc50454926 \h </w:instrText>
        </w:r>
        <w:r w:rsidR="00835020">
          <w:rPr>
            <w:webHidden/>
          </w:rPr>
        </w:r>
        <w:r w:rsidR="00835020">
          <w:rPr>
            <w:webHidden/>
          </w:rPr>
          <w:fldChar w:fldCharType="separate"/>
        </w:r>
        <w:r>
          <w:rPr>
            <w:webHidden/>
          </w:rPr>
          <w:t>2</w:t>
        </w:r>
        <w:r w:rsidR="00835020">
          <w:rPr>
            <w:webHidden/>
          </w:rPr>
          <w:fldChar w:fldCharType="end"/>
        </w:r>
      </w:hyperlink>
    </w:p>
    <w:p w14:paraId="1E67B49B" w14:textId="0E144D40" w:rsidR="00835020" w:rsidRDefault="005632DA">
      <w:pPr>
        <w:pStyle w:val="Innehll3"/>
        <w:rPr>
          <w:rFonts w:asciiTheme="minorHAnsi" w:eastAsiaTheme="minorEastAsia" w:hAnsiTheme="minorHAnsi" w:cstheme="minorBidi"/>
          <w:sz w:val="22"/>
          <w:szCs w:val="22"/>
          <w:lang w:val="sv-FI" w:eastAsia="sv-FI"/>
        </w:rPr>
      </w:pPr>
      <w:hyperlink w:anchor="_Toc50454927" w:history="1">
        <w:r w:rsidR="00835020" w:rsidRPr="00D6396E">
          <w:rPr>
            <w:rStyle w:val="Hyperlnk"/>
          </w:rPr>
          <w:t>Allmänt om årsredovisningen</w:t>
        </w:r>
        <w:r w:rsidR="00835020">
          <w:rPr>
            <w:webHidden/>
          </w:rPr>
          <w:tab/>
        </w:r>
        <w:r w:rsidR="00835020">
          <w:rPr>
            <w:webHidden/>
          </w:rPr>
          <w:fldChar w:fldCharType="begin"/>
        </w:r>
        <w:r w:rsidR="00835020">
          <w:rPr>
            <w:webHidden/>
          </w:rPr>
          <w:instrText xml:space="preserve"> PAGEREF _Toc50454927 \h </w:instrText>
        </w:r>
        <w:r w:rsidR="00835020">
          <w:rPr>
            <w:webHidden/>
          </w:rPr>
        </w:r>
        <w:r w:rsidR="00835020">
          <w:rPr>
            <w:webHidden/>
          </w:rPr>
          <w:fldChar w:fldCharType="separate"/>
        </w:r>
        <w:r>
          <w:rPr>
            <w:webHidden/>
          </w:rPr>
          <w:t>2</w:t>
        </w:r>
        <w:r w:rsidR="00835020">
          <w:rPr>
            <w:webHidden/>
          </w:rPr>
          <w:fldChar w:fldCharType="end"/>
        </w:r>
      </w:hyperlink>
    </w:p>
    <w:p w14:paraId="0B886040" w14:textId="4020BB92" w:rsidR="00835020" w:rsidRDefault="005632DA">
      <w:pPr>
        <w:pStyle w:val="Innehll3"/>
        <w:rPr>
          <w:rFonts w:asciiTheme="minorHAnsi" w:eastAsiaTheme="minorEastAsia" w:hAnsiTheme="minorHAnsi" w:cstheme="minorBidi"/>
          <w:sz w:val="22"/>
          <w:szCs w:val="22"/>
          <w:lang w:val="sv-FI" w:eastAsia="sv-FI"/>
        </w:rPr>
      </w:pPr>
      <w:hyperlink w:anchor="_Toc50454928" w:history="1">
        <w:r w:rsidR="00835020" w:rsidRPr="00D6396E">
          <w:rPr>
            <w:rStyle w:val="Hyperlnk"/>
          </w:rPr>
          <w:t>Övriga synpunkter</w:t>
        </w:r>
        <w:r w:rsidR="00835020">
          <w:rPr>
            <w:webHidden/>
          </w:rPr>
          <w:tab/>
        </w:r>
        <w:r w:rsidR="00835020">
          <w:rPr>
            <w:webHidden/>
          </w:rPr>
          <w:fldChar w:fldCharType="begin"/>
        </w:r>
        <w:r w:rsidR="00835020">
          <w:rPr>
            <w:webHidden/>
          </w:rPr>
          <w:instrText xml:space="preserve"> PAGEREF _Toc50454928 \h </w:instrText>
        </w:r>
        <w:r w:rsidR="00835020">
          <w:rPr>
            <w:webHidden/>
          </w:rPr>
        </w:r>
        <w:r w:rsidR="00835020">
          <w:rPr>
            <w:webHidden/>
          </w:rPr>
          <w:fldChar w:fldCharType="separate"/>
        </w:r>
        <w:r>
          <w:rPr>
            <w:webHidden/>
          </w:rPr>
          <w:t>3</w:t>
        </w:r>
        <w:r w:rsidR="00835020">
          <w:rPr>
            <w:webHidden/>
          </w:rPr>
          <w:fldChar w:fldCharType="end"/>
        </w:r>
      </w:hyperlink>
    </w:p>
    <w:p w14:paraId="09E124BC" w14:textId="2410921B" w:rsidR="00835020" w:rsidRDefault="005632DA">
      <w:pPr>
        <w:pStyle w:val="Innehll1"/>
        <w:rPr>
          <w:rFonts w:asciiTheme="minorHAnsi" w:eastAsiaTheme="minorEastAsia" w:hAnsiTheme="minorHAnsi" w:cstheme="minorBidi"/>
          <w:sz w:val="22"/>
          <w:szCs w:val="22"/>
          <w:lang w:val="sv-FI" w:eastAsia="sv-FI"/>
        </w:rPr>
      </w:pPr>
      <w:hyperlink w:anchor="_Toc50454929" w:history="1">
        <w:r w:rsidR="00835020" w:rsidRPr="00D6396E">
          <w:rPr>
            <w:rStyle w:val="Hyperlnk"/>
          </w:rPr>
          <w:t>Ärendets behandling</w:t>
        </w:r>
        <w:r w:rsidR="00835020">
          <w:rPr>
            <w:webHidden/>
          </w:rPr>
          <w:tab/>
        </w:r>
        <w:r w:rsidR="00835020">
          <w:rPr>
            <w:webHidden/>
          </w:rPr>
          <w:fldChar w:fldCharType="begin"/>
        </w:r>
        <w:r w:rsidR="00835020">
          <w:rPr>
            <w:webHidden/>
          </w:rPr>
          <w:instrText xml:space="preserve"> PAGEREF _Toc50454929 \h </w:instrText>
        </w:r>
        <w:r w:rsidR="00835020">
          <w:rPr>
            <w:webHidden/>
          </w:rPr>
        </w:r>
        <w:r w:rsidR="00835020">
          <w:rPr>
            <w:webHidden/>
          </w:rPr>
          <w:fldChar w:fldCharType="separate"/>
        </w:r>
        <w:r>
          <w:rPr>
            <w:webHidden/>
          </w:rPr>
          <w:t>3</w:t>
        </w:r>
        <w:r w:rsidR="00835020">
          <w:rPr>
            <w:webHidden/>
          </w:rPr>
          <w:fldChar w:fldCharType="end"/>
        </w:r>
      </w:hyperlink>
    </w:p>
    <w:p w14:paraId="1D4AFD97" w14:textId="6AFCDD07" w:rsidR="00835020" w:rsidRDefault="005632DA">
      <w:pPr>
        <w:pStyle w:val="Innehll1"/>
        <w:rPr>
          <w:rFonts w:asciiTheme="minorHAnsi" w:eastAsiaTheme="minorEastAsia" w:hAnsiTheme="minorHAnsi" w:cstheme="minorBidi"/>
          <w:sz w:val="22"/>
          <w:szCs w:val="22"/>
          <w:lang w:val="sv-FI" w:eastAsia="sv-FI"/>
        </w:rPr>
      </w:pPr>
      <w:hyperlink w:anchor="_Toc50454930" w:history="1">
        <w:r w:rsidR="00835020" w:rsidRPr="00D6396E">
          <w:rPr>
            <w:rStyle w:val="Hyperlnk"/>
          </w:rPr>
          <w:t>Utskottets förslag</w:t>
        </w:r>
        <w:r w:rsidR="00835020">
          <w:rPr>
            <w:webHidden/>
          </w:rPr>
          <w:tab/>
        </w:r>
        <w:r w:rsidR="00835020">
          <w:rPr>
            <w:webHidden/>
          </w:rPr>
          <w:fldChar w:fldCharType="begin"/>
        </w:r>
        <w:r w:rsidR="00835020">
          <w:rPr>
            <w:webHidden/>
          </w:rPr>
          <w:instrText xml:space="preserve"> PAGEREF _Toc50454930 \h </w:instrText>
        </w:r>
        <w:r w:rsidR="00835020">
          <w:rPr>
            <w:webHidden/>
          </w:rPr>
        </w:r>
        <w:r w:rsidR="00835020">
          <w:rPr>
            <w:webHidden/>
          </w:rPr>
          <w:fldChar w:fldCharType="separate"/>
        </w:r>
        <w:r>
          <w:rPr>
            <w:webHidden/>
          </w:rPr>
          <w:t>3</w:t>
        </w:r>
        <w:r w:rsidR="00835020">
          <w:rPr>
            <w:webHidden/>
          </w:rPr>
          <w:fldChar w:fldCharType="end"/>
        </w:r>
      </w:hyperlink>
    </w:p>
    <w:p w14:paraId="4FA5C5D1" w14:textId="60EF53A8" w:rsidR="002401D0" w:rsidRDefault="002401D0">
      <w:pPr>
        <w:pStyle w:val="ANormal"/>
        <w:rPr>
          <w:noProof/>
        </w:rPr>
      </w:pPr>
      <w:r>
        <w:rPr>
          <w:rFonts w:ascii="Verdana" w:hAnsi="Verdana"/>
          <w:noProof/>
          <w:sz w:val="16"/>
          <w:szCs w:val="36"/>
        </w:rPr>
        <w:fldChar w:fldCharType="end"/>
      </w:r>
    </w:p>
    <w:p w14:paraId="6C7E7A3F" w14:textId="33DA92FF" w:rsidR="002A2CF6" w:rsidRDefault="002A2CF6">
      <w:pPr>
        <w:pStyle w:val="ANormal"/>
      </w:pPr>
    </w:p>
    <w:p w14:paraId="4B8D5272" w14:textId="77777777" w:rsidR="002A2CF6" w:rsidRDefault="002A2CF6">
      <w:pPr>
        <w:pStyle w:val="ANormal"/>
      </w:pPr>
    </w:p>
    <w:p w14:paraId="6E338841" w14:textId="77777777" w:rsidR="002401D0" w:rsidRPr="009C0360" w:rsidRDefault="002401D0">
      <w:pPr>
        <w:pStyle w:val="RubrikA"/>
      </w:pPr>
      <w:bookmarkStart w:id="1" w:name="_Toc529800932"/>
      <w:bookmarkStart w:id="2" w:name="_Toc50454919"/>
      <w:r w:rsidRPr="009C0360">
        <w:t>Sammanfattning</w:t>
      </w:r>
      <w:bookmarkEnd w:id="1"/>
      <w:bookmarkEnd w:id="2"/>
    </w:p>
    <w:p w14:paraId="49FF1063" w14:textId="77777777" w:rsidR="002401D0" w:rsidRPr="009C0360" w:rsidRDefault="002401D0">
      <w:pPr>
        <w:pStyle w:val="Rubrikmellanrum"/>
      </w:pPr>
    </w:p>
    <w:p w14:paraId="592479A9" w14:textId="77777777" w:rsidR="002401D0" w:rsidRPr="009C0360" w:rsidRDefault="0028660F">
      <w:pPr>
        <w:pStyle w:val="RubrikB"/>
      </w:pPr>
      <w:bookmarkStart w:id="3" w:name="_Toc529800933"/>
      <w:bookmarkStart w:id="4" w:name="_Toc50454920"/>
      <w:r w:rsidRPr="009C0360">
        <w:t>Landskapsregeringens</w:t>
      </w:r>
      <w:r w:rsidR="002401D0" w:rsidRPr="009C0360">
        <w:t xml:space="preserve"> förslag</w:t>
      </w:r>
      <w:bookmarkEnd w:id="3"/>
      <w:bookmarkEnd w:id="4"/>
    </w:p>
    <w:p w14:paraId="675C1E1C" w14:textId="77777777" w:rsidR="002401D0" w:rsidRPr="009C0360" w:rsidRDefault="002401D0">
      <w:pPr>
        <w:pStyle w:val="Rubrikmellanrum"/>
      </w:pPr>
    </w:p>
    <w:p w14:paraId="53FC1095" w14:textId="39DD6B9C" w:rsidR="0028660F" w:rsidRPr="00D11A6D" w:rsidRDefault="0028660F" w:rsidP="0028660F">
      <w:pPr>
        <w:pStyle w:val="ANormal"/>
      </w:pPr>
      <w:r w:rsidRPr="009C0360">
        <w:t xml:space="preserve">Landskapsregeringen </w:t>
      </w:r>
      <w:r w:rsidR="00C772BB" w:rsidRPr="009C0360">
        <w:t xml:space="preserve">har </w:t>
      </w:r>
      <w:r w:rsidR="009C0360" w:rsidRPr="009C0360">
        <w:t>i enlighet med 25</w:t>
      </w:r>
      <w:r w:rsidR="004F1700">
        <w:t xml:space="preserve"> §</w:t>
      </w:r>
      <w:r w:rsidR="009C0360" w:rsidRPr="009C0360">
        <w:t xml:space="preserve"> landskapslagen (1971:42) om Ålands landskapsregering </w:t>
      </w:r>
      <w:r w:rsidRPr="009C0360">
        <w:t>överlämna</w:t>
      </w:r>
      <w:r w:rsidR="00C772BB" w:rsidRPr="009C0360">
        <w:t>t</w:t>
      </w:r>
      <w:r w:rsidRPr="009C0360">
        <w:t xml:space="preserve"> årsredovisning</w:t>
      </w:r>
      <w:r w:rsidR="00C772BB" w:rsidRPr="009C0360">
        <w:t>en</w:t>
      </w:r>
      <w:r w:rsidRPr="009C0360">
        <w:t xml:space="preserve"> för landskapet Åland </w:t>
      </w:r>
      <w:r w:rsidR="008B267F" w:rsidRPr="009C0360">
        <w:t>2</w:t>
      </w:r>
      <w:r w:rsidR="009C0360" w:rsidRPr="009C0360">
        <w:t>019</w:t>
      </w:r>
      <w:r w:rsidR="008B267F" w:rsidRPr="009C0360">
        <w:t xml:space="preserve"> t</w:t>
      </w:r>
      <w:r w:rsidRPr="009C0360">
        <w:t xml:space="preserve">ill lagtinget såsom redogörelse nr </w:t>
      </w:r>
      <w:r w:rsidR="00AA1C2B" w:rsidRPr="009C0360">
        <w:t>3</w:t>
      </w:r>
      <w:r w:rsidRPr="009C0360">
        <w:t>/</w:t>
      </w:r>
      <w:proofErr w:type="gramStart"/>
      <w:r w:rsidRPr="009C0360">
        <w:t>201</w:t>
      </w:r>
      <w:r w:rsidR="00AA1C2B" w:rsidRPr="009C0360">
        <w:t>9</w:t>
      </w:r>
      <w:r w:rsidRPr="009C0360">
        <w:t>-20</w:t>
      </w:r>
      <w:r w:rsidR="00AA1C2B" w:rsidRPr="009C0360">
        <w:t>20</w:t>
      </w:r>
      <w:proofErr w:type="gramEnd"/>
      <w:r w:rsidR="0000155F" w:rsidRPr="009C0360">
        <w:t>.</w:t>
      </w:r>
      <w:r w:rsidR="009C0360" w:rsidRPr="009C0360">
        <w:t xml:space="preserve"> </w:t>
      </w:r>
      <w:r w:rsidR="00C772BB" w:rsidRPr="009C0360">
        <w:t xml:space="preserve">Årsredovisningen inkluderar </w:t>
      </w:r>
      <w:r w:rsidR="009C0360" w:rsidRPr="009C0360">
        <w:t xml:space="preserve">i enlighet med 19 § LL (2012:69) om landskapets finansförvaltning landskapsbokslutet och en </w:t>
      </w:r>
      <w:r w:rsidR="009C0360" w:rsidRPr="00D11A6D">
        <w:t>förvaltningsberättelse. I årsredovisningen ingår dessutom bokslutet för landskapets fastighetsverk</w:t>
      </w:r>
      <w:r w:rsidR="00D11A6D" w:rsidRPr="00D11A6D">
        <w:t xml:space="preserve"> </w:t>
      </w:r>
      <w:r w:rsidR="00C772BB" w:rsidRPr="00D11A6D">
        <w:t xml:space="preserve">och </w:t>
      </w:r>
      <w:r w:rsidR="00D11A6D" w:rsidRPr="00D11A6D">
        <w:t>l</w:t>
      </w:r>
      <w:r w:rsidR="00C772BB" w:rsidRPr="00D11A6D">
        <w:t>andskapsrevisionens revisionsberättelse för finansåret 201</w:t>
      </w:r>
      <w:r w:rsidR="00D11A6D" w:rsidRPr="00D11A6D">
        <w:t>9</w:t>
      </w:r>
      <w:r w:rsidR="00C772BB" w:rsidRPr="00D11A6D">
        <w:t>.</w:t>
      </w:r>
    </w:p>
    <w:p w14:paraId="0814FA00" w14:textId="77777777" w:rsidR="002401D0" w:rsidRPr="00D11A6D" w:rsidRDefault="002401D0">
      <w:pPr>
        <w:pStyle w:val="ANormal"/>
      </w:pPr>
    </w:p>
    <w:p w14:paraId="27C78B9F" w14:textId="77777777" w:rsidR="002401D0" w:rsidRPr="00D11A6D" w:rsidRDefault="002401D0">
      <w:pPr>
        <w:pStyle w:val="RubrikB"/>
      </w:pPr>
      <w:bookmarkStart w:id="5" w:name="_Toc529800934"/>
      <w:bookmarkStart w:id="6" w:name="_Toc50454921"/>
      <w:r w:rsidRPr="00D11A6D">
        <w:t>Utskottets förslag</w:t>
      </w:r>
      <w:bookmarkEnd w:id="5"/>
      <w:bookmarkEnd w:id="6"/>
    </w:p>
    <w:p w14:paraId="2D442064" w14:textId="77777777" w:rsidR="002401D0" w:rsidRPr="00D11A6D" w:rsidRDefault="002401D0">
      <w:pPr>
        <w:pStyle w:val="Rubrikmellanrum"/>
      </w:pPr>
    </w:p>
    <w:p w14:paraId="299B56B3" w14:textId="1477CA1D" w:rsidR="002401D0" w:rsidRPr="00D11A6D" w:rsidRDefault="00023409">
      <w:pPr>
        <w:pStyle w:val="ANormal"/>
      </w:pPr>
      <w:r w:rsidRPr="00D11A6D">
        <w:t>Utskottet föreslår att årsredovisningen för 201</w:t>
      </w:r>
      <w:r w:rsidR="00D11A6D">
        <w:t>9</w:t>
      </w:r>
      <w:r w:rsidRPr="00D11A6D">
        <w:t xml:space="preserve"> antecknas för kännedom och att utskottets synpunkter bringas landskapsregeringen till kännedom.</w:t>
      </w:r>
    </w:p>
    <w:p w14:paraId="4759D79C" w14:textId="77777777" w:rsidR="002401D0" w:rsidRPr="00D11A6D" w:rsidRDefault="002401D0">
      <w:pPr>
        <w:pStyle w:val="ANormal"/>
      </w:pPr>
    </w:p>
    <w:p w14:paraId="5CB1598E" w14:textId="38E24C14" w:rsidR="002401D0" w:rsidRPr="000F4682" w:rsidRDefault="002401D0">
      <w:pPr>
        <w:pStyle w:val="RubrikA"/>
        <w:rPr>
          <w:color w:val="000000" w:themeColor="text1"/>
        </w:rPr>
      </w:pPr>
      <w:bookmarkStart w:id="7" w:name="_Toc529800935"/>
      <w:bookmarkStart w:id="8" w:name="_Toc50454922"/>
      <w:r w:rsidRPr="000F4682">
        <w:rPr>
          <w:color w:val="000000" w:themeColor="text1"/>
        </w:rPr>
        <w:t>Utskottets synpunkter</w:t>
      </w:r>
      <w:bookmarkEnd w:id="7"/>
      <w:bookmarkEnd w:id="8"/>
    </w:p>
    <w:p w14:paraId="5C8D6824" w14:textId="37E114DB" w:rsidR="00AA1C2B" w:rsidRPr="000F4682" w:rsidRDefault="00AA1C2B" w:rsidP="00AA1C2B">
      <w:pPr>
        <w:pStyle w:val="Rubrikmellanrum"/>
        <w:rPr>
          <w:color w:val="000000" w:themeColor="text1"/>
        </w:rPr>
      </w:pPr>
    </w:p>
    <w:p w14:paraId="4165E436" w14:textId="3260D48E" w:rsidR="000F32A0" w:rsidRPr="000F4682" w:rsidRDefault="000F32A0" w:rsidP="000F32A0">
      <w:pPr>
        <w:pStyle w:val="RubrikC"/>
        <w:rPr>
          <w:color w:val="000000" w:themeColor="text1"/>
        </w:rPr>
      </w:pPr>
      <w:bookmarkStart w:id="9" w:name="_Toc50454923"/>
      <w:r w:rsidRPr="000F4682">
        <w:rPr>
          <w:color w:val="000000" w:themeColor="text1"/>
        </w:rPr>
        <w:t>Resultat</w:t>
      </w:r>
      <w:r w:rsidR="000001AB" w:rsidRPr="000F4682">
        <w:rPr>
          <w:color w:val="000000" w:themeColor="text1"/>
        </w:rPr>
        <w:t xml:space="preserve">- och </w:t>
      </w:r>
      <w:r w:rsidR="00926D1C" w:rsidRPr="000F4682">
        <w:rPr>
          <w:color w:val="000000" w:themeColor="text1"/>
        </w:rPr>
        <w:t>kostnadsutveckling</w:t>
      </w:r>
      <w:bookmarkEnd w:id="9"/>
    </w:p>
    <w:p w14:paraId="7CF0D629" w14:textId="77777777" w:rsidR="000F32A0" w:rsidRPr="000F4682" w:rsidRDefault="000F32A0" w:rsidP="000F32A0">
      <w:pPr>
        <w:pStyle w:val="Rubrikmellanrum"/>
        <w:rPr>
          <w:color w:val="000000" w:themeColor="text1"/>
        </w:rPr>
      </w:pPr>
    </w:p>
    <w:p w14:paraId="04B439B0" w14:textId="7E760726" w:rsidR="00110090" w:rsidRPr="00926D1C" w:rsidRDefault="00074652" w:rsidP="00074652">
      <w:pPr>
        <w:pStyle w:val="ANormal"/>
      </w:pPr>
      <w:r w:rsidRPr="002F654E">
        <w:t>Verksamhetsbidraget, som utgörs av verksamhetens intäkter och kostnader, pensionsintäkter och -kostnader samt överföringsekonomins intäkter och kostnader, uppgick till</w:t>
      </w:r>
      <w:r w:rsidR="008C010E" w:rsidRPr="002F654E">
        <w:t xml:space="preserve"> </w:t>
      </w:r>
      <w:r w:rsidR="0063064B" w:rsidRPr="002F654E">
        <w:t>-</w:t>
      </w:r>
      <w:r w:rsidR="008C010E" w:rsidRPr="002F654E">
        <w:t>28</w:t>
      </w:r>
      <w:r w:rsidR="002F654E" w:rsidRPr="002F654E">
        <w:t>3,8</w:t>
      </w:r>
      <w:r w:rsidRPr="002F654E">
        <w:t xml:space="preserve"> (201</w:t>
      </w:r>
      <w:r w:rsidR="000001AB">
        <w:t>8</w:t>
      </w:r>
      <w:r w:rsidR="008C010E" w:rsidRPr="002F654E">
        <w:t xml:space="preserve"> </w:t>
      </w:r>
      <w:r w:rsidRPr="002F654E">
        <w:t>= -</w:t>
      </w:r>
      <w:r w:rsidR="002F654E" w:rsidRPr="002F654E">
        <w:t>281,0</w:t>
      </w:r>
      <w:r w:rsidR="00926D1C">
        <w:t xml:space="preserve">) </w:t>
      </w:r>
      <w:r w:rsidRPr="002F654E">
        <w:t>miljoner euro. Årsbidraget som utgörs av verksamhetsbidraget, skatteinkomster och finansiella poster uppgick till</w:t>
      </w:r>
      <w:r w:rsidR="002F654E" w:rsidRPr="002F654E">
        <w:t xml:space="preserve"> 14,6 (</w:t>
      </w:r>
      <w:r w:rsidR="001D2A05" w:rsidRPr="002F654E">
        <w:t>2</w:t>
      </w:r>
      <w:r w:rsidR="001E0424" w:rsidRPr="002F654E">
        <w:t>5,1</w:t>
      </w:r>
      <w:r w:rsidRPr="002F654E">
        <w:t xml:space="preserve">) miljoner euro. </w:t>
      </w:r>
      <w:r w:rsidR="00110090" w:rsidRPr="003B7559">
        <w:t>Räkenskapsperiodens resultat år 2019 uppgår till 5,8 miljoner euro</w:t>
      </w:r>
      <w:r w:rsidR="00E56129" w:rsidRPr="003B7559">
        <w:t>, jämfört med budgeterade -4,9 miljoner</w:t>
      </w:r>
      <w:r w:rsidR="003B7559">
        <w:t>. I</w:t>
      </w:r>
      <w:r w:rsidR="00110090" w:rsidRPr="003B7559">
        <w:t>nga betydande extraordinära poster påverkar resultatet.</w:t>
      </w:r>
      <w:r w:rsidR="00110090" w:rsidRPr="00926D1C">
        <w:t xml:space="preserve"> </w:t>
      </w:r>
    </w:p>
    <w:p w14:paraId="249CE2DC" w14:textId="6A081834" w:rsidR="00926D1C" w:rsidRDefault="00110090" w:rsidP="00110090">
      <w:pPr>
        <w:pStyle w:val="ANormal"/>
      </w:pPr>
      <w:r>
        <w:tab/>
        <w:t xml:space="preserve">Verksamhetens kostnader uppgick år 2019 till 201 miljoner euro, vilket är 8 miljoner eller 4,1 procent mera än år 2018. Sett över tid har verksamhetskostnaderna under en femårsperiod från 2014 ökat med 30,2 miljoner eller 17,7 procent. Framförallt har posten övriga verksamhetskostnader ökat. </w:t>
      </w:r>
      <w:r w:rsidR="00084AE1">
        <w:lastRenderedPageBreak/>
        <w:t>Ökningen kan jämföras med k</w:t>
      </w:r>
      <w:r>
        <w:t>onsumentprisindex för Åland</w:t>
      </w:r>
      <w:r w:rsidR="003B7559">
        <w:t xml:space="preserve"> </w:t>
      </w:r>
      <w:r w:rsidR="00084AE1">
        <w:t xml:space="preserve">som </w:t>
      </w:r>
      <w:r w:rsidR="003B7559">
        <w:t xml:space="preserve">steg med 0,8 procent år 2019 och med 4,5 procent under perioden </w:t>
      </w:r>
      <w:proofErr w:type="gramStart"/>
      <w:r>
        <w:t>2014</w:t>
      </w:r>
      <w:r w:rsidR="003B7559">
        <w:t>-</w:t>
      </w:r>
      <w:r>
        <w:t>2019</w:t>
      </w:r>
      <w:proofErr w:type="gramEnd"/>
      <w:r w:rsidR="003B7559">
        <w:t xml:space="preserve">. </w:t>
      </w:r>
      <w:r w:rsidR="00926D1C">
        <w:t xml:space="preserve">Den totala kostnadsmassan har inte ökat på samma sätt som de egna verksamhetskostnaderna. Kostnaderna för inkomst- och kapitalöverföringar minskade under 2019 med 5,6 procent och har sedan 2014 minskat med sammanlagt 5,1 procent. </w:t>
      </w:r>
    </w:p>
    <w:p w14:paraId="1A4CEB7F" w14:textId="48DDF839" w:rsidR="00110090" w:rsidRPr="00E56129" w:rsidRDefault="00110090" w:rsidP="00074652">
      <w:pPr>
        <w:pStyle w:val="ANormal"/>
      </w:pPr>
    </w:p>
    <w:p w14:paraId="0F457A5C" w14:textId="77777777" w:rsidR="008522F4" w:rsidRPr="00E56129" w:rsidRDefault="008522F4" w:rsidP="008522F4">
      <w:pPr>
        <w:pStyle w:val="RubrikC"/>
      </w:pPr>
      <w:bookmarkStart w:id="10" w:name="_Toc50454924"/>
      <w:r w:rsidRPr="00E56129">
        <w:t>Skatteintäkterna</w:t>
      </w:r>
      <w:bookmarkEnd w:id="10"/>
    </w:p>
    <w:p w14:paraId="7773C9A6" w14:textId="77777777" w:rsidR="008522F4" w:rsidRPr="00E56129" w:rsidRDefault="008522F4" w:rsidP="008522F4">
      <w:pPr>
        <w:pStyle w:val="Rubrikmellanrum"/>
      </w:pPr>
    </w:p>
    <w:p w14:paraId="1C2227C5" w14:textId="1770DD4D" w:rsidR="00224726" w:rsidRPr="00224726" w:rsidRDefault="008522F4" w:rsidP="00224726">
      <w:pPr>
        <w:pStyle w:val="ANormal"/>
      </w:pPr>
      <w:r w:rsidRPr="00E56129">
        <w:t xml:space="preserve">De totala intäkterna av skattekaraktär </w:t>
      </w:r>
      <w:r w:rsidR="00E56129" w:rsidRPr="00E56129">
        <w:t xml:space="preserve">minskade med 1,3 procent, ca 3,5 </w:t>
      </w:r>
      <w:r w:rsidR="00E56129" w:rsidRPr="007857F4">
        <w:t>miljoner</w:t>
      </w:r>
      <w:r w:rsidR="00224726">
        <w:t xml:space="preserve"> euro</w:t>
      </w:r>
      <w:r w:rsidR="003B7559">
        <w:t xml:space="preserve">, till </w:t>
      </w:r>
      <w:r w:rsidR="003B7559" w:rsidRPr="003B7559">
        <w:t>269</w:t>
      </w:r>
      <w:r w:rsidR="00084AE1">
        <w:t>,5 miljoner</w:t>
      </w:r>
      <w:r w:rsidR="003B7559">
        <w:t xml:space="preserve"> euro</w:t>
      </w:r>
      <w:r w:rsidR="00E56129" w:rsidRPr="007857F4">
        <w:t>. Minskningen hänför sig nästan helt till minskad skattegottgörelse.</w:t>
      </w:r>
      <w:r w:rsidR="00AA58A0">
        <w:t xml:space="preserve"> Vid övergången till ett nytt avräkningssystem blir ekonomin mer beroende av resultatutvecklingen hos de åländska företagen. Den pågående pandemin medför svåra verksamhetsförutsättningar för många åländska företag</w:t>
      </w:r>
      <w:r w:rsidR="003B7559">
        <w:t xml:space="preserve"> med svag</w:t>
      </w:r>
      <w:r w:rsidR="008F4736">
        <w:t xml:space="preserve"> resultatutveckling, uppsägnin</w:t>
      </w:r>
      <w:r w:rsidR="003B7559">
        <w:t>gar och arbetslöshet som följd.</w:t>
      </w:r>
    </w:p>
    <w:p w14:paraId="3A62AB9B" w14:textId="77777777" w:rsidR="00224726" w:rsidRPr="00224726" w:rsidRDefault="00224726" w:rsidP="00224726">
      <w:pPr>
        <w:pStyle w:val="ANormal"/>
      </w:pPr>
    </w:p>
    <w:p w14:paraId="39E11C7C" w14:textId="77777777" w:rsidR="000F32A0" w:rsidRPr="007857F4" w:rsidRDefault="000F32A0" w:rsidP="000F32A0">
      <w:pPr>
        <w:pStyle w:val="RubrikC"/>
      </w:pPr>
      <w:bookmarkStart w:id="11" w:name="_Toc50454925"/>
      <w:r w:rsidRPr="007857F4">
        <w:t>Pensionskostnaderna</w:t>
      </w:r>
      <w:bookmarkEnd w:id="11"/>
    </w:p>
    <w:p w14:paraId="0C0E91E6" w14:textId="77777777" w:rsidR="000F32A0" w:rsidRPr="007857F4" w:rsidRDefault="000F32A0" w:rsidP="000F32A0">
      <w:pPr>
        <w:pStyle w:val="Rubrikmellanrum"/>
      </w:pPr>
    </w:p>
    <w:p w14:paraId="74C88CA9" w14:textId="17742318" w:rsidR="008F4736" w:rsidRDefault="000F32A0" w:rsidP="000F32A0">
      <w:pPr>
        <w:pStyle w:val="ANormal"/>
      </w:pPr>
      <w:r w:rsidRPr="007857F4">
        <w:t xml:space="preserve">Pensionskostnadernas nettobelopp </w:t>
      </w:r>
      <w:r w:rsidR="005B6DA1" w:rsidRPr="007857F4">
        <w:t xml:space="preserve">uppgår till 17,4 </w:t>
      </w:r>
      <w:r w:rsidRPr="007857F4">
        <w:t xml:space="preserve">miljoner </w:t>
      </w:r>
      <w:r w:rsidR="004A03FE">
        <w:t>euro. P</w:t>
      </w:r>
      <w:r w:rsidR="005B6DA1" w:rsidRPr="007857F4">
        <w:t xml:space="preserve">ensionskostnaderna uppgår till 35 miljoner euro, vilket är 1,6 miljoner </w:t>
      </w:r>
      <w:r w:rsidR="003633BA" w:rsidRPr="007857F4">
        <w:t>eller 4,8 procent högre än 2018</w:t>
      </w:r>
      <w:r w:rsidR="005B6DA1" w:rsidRPr="007857F4">
        <w:t xml:space="preserve">. Pensionsinkomsternas täckningsgrad för pensionskostnaderna var 50 procent. </w:t>
      </w:r>
      <w:r w:rsidR="003633BA" w:rsidRPr="007857F4">
        <w:t xml:space="preserve">Från år 2014 har pensionskostnaderna ökat med 24,9 procent. Pensionsintäkterna ligger efter att </w:t>
      </w:r>
      <w:r w:rsidR="008F4736">
        <w:t xml:space="preserve">ett par år ha varierat </w:t>
      </w:r>
      <w:r w:rsidR="003633BA" w:rsidRPr="007857F4">
        <w:t>på 17,7 miljoner euro vilket är ungefär samma nivå som 2014</w:t>
      </w:r>
      <w:r w:rsidR="008F4736">
        <w:t>. T</w:t>
      </w:r>
      <w:r w:rsidR="003633BA" w:rsidRPr="007857F4">
        <w:t xml:space="preserve">äckningsgraden för pensionskostnaderna </w:t>
      </w:r>
      <w:r w:rsidR="008F4736">
        <w:t xml:space="preserve">har däremot </w:t>
      </w:r>
      <w:r w:rsidR="000519F0" w:rsidRPr="007857F4">
        <w:t xml:space="preserve">sjunkit </w:t>
      </w:r>
      <w:r w:rsidR="003633BA" w:rsidRPr="007857F4">
        <w:t xml:space="preserve">från 64 till 50 procent. </w:t>
      </w:r>
    </w:p>
    <w:p w14:paraId="3CCB01B4" w14:textId="6CA9B162" w:rsidR="000F32A0" w:rsidRPr="007857F4" w:rsidRDefault="008F4736" w:rsidP="000F32A0">
      <w:pPr>
        <w:pStyle w:val="ANormal"/>
      </w:pPr>
      <w:r>
        <w:tab/>
      </w:r>
      <w:r w:rsidR="000F32A0" w:rsidRPr="007857F4">
        <w:t>Enligt pensionsfondslagen får högst 75 procent av landskapsregeringens pensionskostnader bekostas från fondens medel</w:t>
      </w:r>
      <w:r w:rsidR="000519F0" w:rsidRPr="007857F4">
        <w:t xml:space="preserve">. En förutsättning för ökat uttag torde dock vara fondens långsiktiga förmåga att bära landskapets pensionskostnader. </w:t>
      </w:r>
      <w:r w:rsidR="000F32A0" w:rsidRPr="007857F4">
        <w:t xml:space="preserve">Det kalkylerade pensionsansvaret </w:t>
      </w:r>
      <w:r w:rsidR="000519F0" w:rsidRPr="007857F4">
        <w:t>steg under 2019</w:t>
      </w:r>
      <w:r w:rsidR="000F32A0" w:rsidRPr="007857F4">
        <w:t xml:space="preserve"> med </w:t>
      </w:r>
      <w:r w:rsidR="000519F0" w:rsidRPr="007857F4">
        <w:t>9,4</w:t>
      </w:r>
      <w:r w:rsidR="000F32A0" w:rsidRPr="007857F4">
        <w:t xml:space="preserve"> miljoner </w:t>
      </w:r>
      <w:r w:rsidR="000519F0" w:rsidRPr="007857F4">
        <w:t xml:space="preserve">euro eller 1,2 procent till 793,3 miljoner euro. </w:t>
      </w:r>
      <w:r w:rsidR="000F32A0" w:rsidRPr="007857F4">
        <w:t xml:space="preserve">Värdet på pensionsfondens tillgångar räknat till marknadsvärde uppgick </w:t>
      </w:r>
      <w:r w:rsidR="007857F4" w:rsidRPr="007857F4">
        <w:t xml:space="preserve">per den 31.12.2019 till 483,1 miljoner euro, vilket var 53,5 miljoner eller 12,5 procent högre än året innan. Täckningsgraden uppgick därmed till 60,9 procent. </w:t>
      </w:r>
    </w:p>
    <w:p w14:paraId="7A4FAB9D" w14:textId="77777777" w:rsidR="008F4736" w:rsidRDefault="008F4736" w:rsidP="000F32A0">
      <w:pPr>
        <w:pStyle w:val="ANormal"/>
      </w:pPr>
    </w:p>
    <w:p w14:paraId="3EE06529" w14:textId="352710C3" w:rsidR="004A03FE" w:rsidRDefault="00A00CA6" w:rsidP="004A03FE">
      <w:pPr>
        <w:pStyle w:val="RubrikC"/>
      </w:pPr>
      <w:bookmarkStart w:id="12" w:name="_Toc50454926"/>
      <w:r w:rsidRPr="00A00CA6">
        <w:t>Personal</w:t>
      </w:r>
      <w:bookmarkEnd w:id="12"/>
    </w:p>
    <w:p w14:paraId="36BAEAC6" w14:textId="77777777" w:rsidR="004A03FE" w:rsidRPr="004A03FE" w:rsidRDefault="004A03FE" w:rsidP="004A03FE">
      <w:pPr>
        <w:pStyle w:val="Rubrikmellanrum"/>
      </w:pPr>
    </w:p>
    <w:p w14:paraId="6A474F84" w14:textId="7C8F35A1" w:rsidR="00A00CA6" w:rsidRDefault="00A00CA6" w:rsidP="00BC2A42">
      <w:pPr>
        <w:pStyle w:val="ANormal"/>
      </w:pPr>
      <w:r>
        <w:t xml:space="preserve">Utskottet noterar med tillfredsställelse att antalet årsverken nu redovisas i årsredovisningen. </w:t>
      </w:r>
      <w:r w:rsidR="00BC2A42">
        <w:t xml:space="preserve">Även den hälsorelaterade frånvaron redovisas på ett tydligt sätt. </w:t>
      </w:r>
      <w:r>
        <w:t xml:space="preserve">Den hälsorelaterade frånvaron uppgick </w:t>
      </w:r>
      <w:r w:rsidR="00BC2A42">
        <w:t xml:space="preserve">år 2019 </w:t>
      </w:r>
      <w:r>
        <w:t xml:space="preserve">till </w:t>
      </w:r>
      <w:r w:rsidR="004A03FE">
        <w:t>9 </w:t>
      </w:r>
      <w:r w:rsidR="00BC2A42">
        <w:t>910</w:t>
      </w:r>
      <w:r w:rsidR="004A03FE">
        <w:t xml:space="preserve"> </w:t>
      </w:r>
      <w:r w:rsidR="00BC2A42">
        <w:t xml:space="preserve">kalenderdagar, vilket motsvarar 13,05 dagar/årsverke eller 11,44 dagar per anställd. Utskottet emotser framtida uppföljningar av personalstyrkans omfattning och hälsorelaterad frånvaro över tid. </w:t>
      </w:r>
    </w:p>
    <w:p w14:paraId="681DFAAB" w14:textId="77777777" w:rsidR="00A00CA6" w:rsidRPr="007857F4" w:rsidRDefault="00A00CA6" w:rsidP="000F32A0">
      <w:pPr>
        <w:pStyle w:val="ANormal"/>
      </w:pPr>
    </w:p>
    <w:p w14:paraId="6076DBC7" w14:textId="68796452" w:rsidR="00C46A55" w:rsidRPr="00C0237C" w:rsidRDefault="00A85FEE" w:rsidP="00C46A55">
      <w:pPr>
        <w:pStyle w:val="RubrikC"/>
      </w:pPr>
      <w:bookmarkStart w:id="13" w:name="_Toc50454927"/>
      <w:r w:rsidRPr="00C0237C">
        <w:t>Allmänt om å</w:t>
      </w:r>
      <w:r w:rsidR="00C46A55" w:rsidRPr="00C0237C">
        <w:t>rsredovisningen</w:t>
      </w:r>
      <w:bookmarkEnd w:id="13"/>
    </w:p>
    <w:p w14:paraId="4ADA5236" w14:textId="77777777" w:rsidR="00C46A55" w:rsidRPr="00C0237C" w:rsidRDefault="00C46A55" w:rsidP="00C46A55">
      <w:pPr>
        <w:pStyle w:val="Rubrikmellanrum"/>
      </w:pPr>
    </w:p>
    <w:p w14:paraId="198A909C" w14:textId="2457FCCA" w:rsidR="00C0237C" w:rsidRPr="00C0237C" w:rsidRDefault="00F329AB" w:rsidP="00C0237C">
      <w:pPr>
        <w:pStyle w:val="ANormal"/>
      </w:pPr>
      <w:r w:rsidRPr="00C0237C">
        <w:t xml:space="preserve">Utskottet anser att det finns skäl att ytterligare utveckla årsredovisningen i syfte att </w:t>
      </w:r>
      <w:r w:rsidR="00C0237C" w:rsidRPr="00C0237C">
        <w:t xml:space="preserve">åstadkomma en tydligare resultatredovisning samt att </w:t>
      </w:r>
      <w:r w:rsidR="00C0237C">
        <w:t xml:space="preserve">ge </w:t>
      </w:r>
      <w:r w:rsidR="00C0237C" w:rsidRPr="00C0237C">
        <w:t xml:space="preserve">en bättre information om landskapets ekonomiska ställning. </w:t>
      </w:r>
    </w:p>
    <w:p w14:paraId="73D77EF2" w14:textId="776E9319" w:rsidR="00C0237C" w:rsidRPr="00C0237C" w:rsidRDefault="00C0237C" w:rsidP="00C46A55">
      <w:pPr>
        <w:pStyle w:val="ANormal"/>
      </w:pPr>
      <w:r>
        <w:tab/>
      </w:r>
      <w:r w:rsidRPr="00C0237C">
        <w:t xml:space="preserve">Utskottet har med intresse noterat att resultatstyrning utgående från politiska målsättningar inarbetats som en central del av de statliga styrsystemen i Finland och Sverige. I Finland följer regeringens </w:t>
      </w:r>
      <w:proofErr w:type="gramStart"/>
      <w:r w:rsidRPr="00C0237C">
        <w:t>årsberättelse regeringsprogrammet</w:t>
      </w:r>
      <w:proofErr w:type="gramEnd"/>
      <w:r w:rsidRPr="00C0237C">
        <w:t xml:space="preserve"> och rapporterar om hur det handlingsprogram som regeringsprogrammet utgör har uppfyllts. Ämbetsverken i Finland upprättar egna bokslut med en finansiell redovisning i form av en resultat- och balansräkning, en finansieringsanalys samt en anslagsredovisning. Statens årsredovisning innehåller en konsoliderad balansräkning och resultaträkning, en finansieringsanalys samt det slutliga utfallet på statsbudgeten.</w:t>
      </w:r>
    </w:p>
    <w:p w14:paraId="4AC5B227" w14:textId="6AC3D569" w:rsidR="0005073A" w:rsidRDefault="00C0237C" w:rsidP="00C46A55">
      <w:pPr>
        <w:pStyle w:val="ANormal"/>
      </w:pPr>
      <w:r w:rsidRPr="00C0237C">
        <w:lastRenderedPageBreak/>
        <w:tab/>
      </w:r>
      <w:r w:rsidR="00794DFC">
        <w:t>En mera sammanhållen årsredovisning med u</w:t>
      </w:r>
      <w:r w:rsidRPr="00C0237C">
        <w:t xml:space="preserve">ppföljning av trender och centrala nyckeltal över tid skulle underlätta förståelsen av landskapets finansiella situation. </w:t>
      </w:r>
      <w:r w:rsidR="0005073A">
        <w:t>Det vore önskvärt att kunna utläsa utfallet i förhållande till budget</w:t>
      </w:r>
      <w:r w:rsidR="00666876">
        <w:t xml:space="preserve"> och hur förverkligandegraden sett ut över tid</w:t>
      </w:r>
      <w:r w:rsidR="0005073A">
        <w:t xml:space="preserve">. </w:t>
      </w:r>
      <w:r w:rsidR="000F4682">
        <w:t xml:space="preserve">Formerna för de underliggande myndigheternas redovisning kan utvecklas utgående från ambitionen </w:t>
      </w:r>
      <w:r w:rsidR="00B30F84">
        <w:t xml:space="preserve">om ökad resultatstyrning och kostnadseffektivitet. </w:t>
      </w:r>
    </w:p>
    <w:p w14:paraId="30851605" w14:textId="172FE39B" w:rsidR="004A03FE" w:rsidRPr="00084AE1" w:rsidRDefault="0005073A" w:rsidP="00C46A55">
      <w:pPr>
        <w:pStyle w:val="ANormal"/>
      </w:pPr>
      <w:r>
        <w:tab/>
      </w:r>
      <w:r w:rsidR="000F4682" w:rsidRPr="00FD3F3C">
        <w:t>Utskottet konstaterar att utöver årsredovisningen för landskapet Ålands förvaltning och ekonomi har separata verksamhetsberättelser jämte bokslut upprättats för Ålands hälso- och sjukvård (ÅHS), Landskapets pensionsfond och Landskapets fastighetsverk. Av dessa är endast ÅHS konsoliderat i huvudbokslutet. Fastighetsverkets sifferbokslut är intaget som en bilaga i årsredovisningen.</w:t>
      </w:r>
      <w:r w:rsidR="000F4682" w:rsidRPr="000F4682">
        <w:t xml:space="preserve"> </w:t>
      </w:r>
      <w:r w:rsidR="00C0237C" w:rsidRPr="00C0237C">
        <w:t>Tidigare finans- och näringsutskott har fört en diskussion om att l</w:t>
      </w:r>
      <w:r w:rsidR="00C0237C" w:rsidRPr="003F0471">
        <w:rPr>
          <w:color w:val="000000" w:themeColor="text1"/>
        </w:rPr>
        <w:t>andskapsregeringen bör överväga att uppgöra koncernbokslut.</w:t>
      </w:r>
      <w:r w:rsidR="00794DFC" w:rsidRPr="003F0471">
        <w:rPr>
          <w:color w:val="000000" w:themeColor="text1"/>
        </w:rPr>
        <w:t xml:space="preserve"> </w:t>
      </w:r>
      <w:r w:rsidR="00C46A55" w:rsidRPr="003F0471">
        <w:rPr>
          <w:color w:val="000000" w:themeColor="text1"/>
        </w:rPr>
        <w:t xml:space="preserve">Utskottet uppmanar landskapsregeringen att överväga </w:t>
      </w:r>
      <w:r w:rsidR="00794DFC" w:rsidRPr="003F0471">
        <w:rPr>
          <w:color w:val="000000" w:themeColor="text1"/>
        </w:rPr>
        <w:t xml:space="preserve">hur man </w:t>
      </w:r>
      <w:r w:rsidR="00C46A55" w:rsidRPr="003F0471">
        <w:rPr>
          <w:color w:val="000000" w:themeColor="text1"/>
        </w:rPr>
        <w:t xml:space="preserve">på ett överskådligt sätt </w:t>
      </w:r>
      <w:r w:rsidR="00794DFC" w:rsidRPr="003F0471">
        <w:rPr>
          <w:color w:val="000000" w:themeColor="text1"/>
        </w:rPr>
        <w:t xml:space="preserve">kan </w:t>
      </w:r>
      <w:r w:rsidR="003F0471" w:rsidRPr="003F0471">
        <w:rPr>
          <w:color w:val="000000" w:themeColor="text1"/>
        </w:rPr>
        <w:t xml:space="preserve">utveckla årsredovisningen för att </w:t>
      </w:r>
      <w:r w:rsidR="00794DFC" w:rsidRPr="003F0471">
        <w:rPr>
          <w:color w:val="000000" w:themeColor="text1"/>
        </w:rPr>
        <w:t xml:space="preserve">skapa en ökad resultatmedvetenhet </w:t>
      </w:r>
      <w:r w:rsidR="00A2392D">
        <w:rPr>
          <w:color w:val="000000" w:themeColor="text1"/>
        </w:rPr>
        <w:t>samt</w:t>
      </w:r>
      <w:r w:rsidR="00794DFC" w:rsidRPr="003F0471">
        <w:rPr>
          <w:color w:val="000000" w:themeColor="text1"/>
        </w:rPr>
        <w:t xml:space="preserve"> presentera </w:t>
      </w:r>
      <w:r w:rsidR="00C46A55" w:rsidRPr="003F0471">
        <w:rPr>
          <w:color w:val="000000" w:themeColor="text1"/>
        </w:rPr>
        <w:t>landskaps</w:t>
      </w:r>
      <w:r w:rsidR="00A2392D">
        <w:rPr>
          <w:color w:val="000000" w:themeColor="text1"/>
        </w:rPr>
        <w:t>förvaltningens</w:t>
      </w:r>
      <w:r w:rsidR="00C46A55" w:rsidRPr="003F0471">
        <w:rPr>
          <w:color w:val="000000" w:themeColor="text1"/>
        </w:rPr>
        <w:t xml:space="preserve"> och de underliggande bolagens ekonomiska situation.</w:t>
      </w:r>
      <w:r w:rsidR="00794DFC" w:rsidRPr="003F0471">
        <w:rPr>
          <w:color w:val="000000" w:themeColor="text1"/>
        </w:rPr>
        <w:t xml:space="preserve"> </w:t>
      </w:r>
      <w:r w:rsidR="00A2392D">
        <w:rPr>
          <w:color w:val="000000" w:themeColor="text1"/>
        </w:rPr>
        <w:t>F</w:t>
      </w:r>
      <w:r w:rsidR="00666876">
        <w:rPr>
          <w:color w:val="000000" w:themeColor="text1"/>
        </w:rPr>
        <w:t xml:space="preserve">astighetsverket och Kraftnät Åland Ab </w:t>
      </w:r>
      <w:r w:rsidR="00A2392D">
        <w:rPr>
          <w:color w:val="000000" w:themeColor="text1"/>
        </w:rPr>
        <w:t>kunde med fördel</w:t>
      </w:r>
      <w:r w:rsidR="00666876">
        <w:rPr>
          <w:color w:val="000000" w:themeColor="text1"/>
        </w:rPr>
        <w:t xml:space="preserve"> ingå i ett konsoliderat bokslut. </w:t>
      </w:r>
    </w:p>
    <w:p w14:paraId="2DEA7AE5" w14:textId="379AEED7" w:rsidR="00C46A55" w:rsidRPr="000F4682" w:rsidRDefault="004A03FE" w:rsidP="00C46A55">
      <w:pPr>
        <w:pStyle w:val="ANormal"/>
      </w:pPr>
      <w:r>
        <w:rPr>
          <w:color w:val="000000" w:themeColor="text1"/>
        </w:rPr>
        <w:tab/>
      </w:r>
      <w:r w:rsidR="003F0471">
        <w:rPr>
          <w:color w:val="000000" w:themeColor="text1"/>
        </w:rPr>
        <w:t xml:space="preserve">En allmän diskussion om ramarna för landskapets budgetpolitik vore också motiverad, inte minst i början av varje mandatperiod. </w:t>
      </w:r>
    </w:p>
    <w:p w14:paraId="4D985DD8" w14:textId="77777777" w:rsidR="000F4682" w:rsidRDefault="000F4682" w:rsidP="00C46A55">
      <w:pPr>
        <w:pStyle w:val="ANormal"/>
        <w:rPr>
          <w:color w:val="000000" w:themeColor="text1"/>
        </w:rPr>
      </w:pPr>
    </w:p>
    <w:p w14:paraId="1E160926" w14:textId="7268A5CE" w:rsidR="00794DFC" w:rsidRDefault="00794DFC" w:rsidP="00794DFC">
      <w:pPr>
        <w:pStyle w:val="RubrikC"/>
      </w:pPr>
      <w:bookmarkStart w:id="14" w:name="_Toc50454928"/>
      <w:r w:rsidRPr="00794DFC">
        <w:t>Övriga synpunkter</w:t>
      </w:r>
      <w:bookmarkEnd w:id="14"/>
    </w:p>
    <w:p w14:paraId="33ADC82C" w14:textId="77777777" w:rsidR="0002582A" w:rsidRPr="003F0471" w:rsidRDefault="0002582A" w:rsidP="0002582A">
      <w:pPr>
        <w:pStyle w:val="Rubrikmellanrum"/>
      </w:pPr>
    </w:p>
    <w:p w14:paraId="523078AF" w14:textId="7D8F91C0" w:rsidR="008907E3" w:rsidRDefault="0002582A" w:rsidP="00C46A55">
      <w:pPr>
        <w:pStyle w:val="ANormal"/>
      </w:pPr>
      <w:r w:rsidRPr="003F0471">
        <w:t>Utskottet anser att det vid sidan av årsredovisningen finns behov av särskilda uppföljningar och redovisningar av olika större reformer och verksamhetsomläggningar. Bildandet av ett fastighetsverk, överföring av IT-drift till ÅDA Ab</w:t>
      </w:r>
      <w:r w:rsidR="00E7038D" w:rsidRPr="003F0471">
        <w:t xml:space="preserve"> och</w:t>
      </w:r>
      <w:r w:rsidRPr="003F0471">
        <w:t xml:space="preserve"> driftsprivatisering av skärgårdstrafik </w:t>
      </w:r>
      <w:r w:rsidR="00E7038D" w:rsidRPr="003F0471">
        <w:t>utgör exempel på stora reformer som borde följas upp och utvärderas på ett sammanhålle</w:t>
      </w:r>
      <w:r w:rsidR="00A2392D">
        <w:t>t</w:t>
      </w:r>
      <w:r w:rsidR="00E7038D" w:rsidRPr="003F0471">
        <w:t xml:space="preserve"> sätt. </w:t>
      </w:r>
      <w:r w:rsidR="003F0471" w:rsidRPr="003F0471">
        <w:t>Effekterna av dylika reformer syns inte i ordinarie årsredovisningar. Reformerna bör därför följas upp efter att</w:t>
      </w:r>
      <w:r w:rsidR="00A2392D">
        <w:t xml:space="preserve"> en</w:t>
      </w:r>
      <w:r w:rsidR="003F0471" w:rsidRPr="003F0471">
        <w:t xml:space="preserve"> viss tid, exempelvis fem år, förflutit. </w:t>
      </w:r>
    </w:p>
    <w:p w14:paraId="1F233DEB" w14:textId="77777777" w:rsidR="000F4682" w:rsidRPr="000F4682" w:rsidRDefault="000F4682" w:rsidP="00C46A55">
      <w:pPr>
        <w:pStyle w:val="ANormal"/>
      </w:pPr>
    </w:p>
    <w:p w14:paraId="0D5F85CC" w14:textId="77777777" w:rsidR="002401D0" w:rsidRPr="00794DFC" w:rsidRDefault="002401D0">
      <w:pPr>
        <w:pStyle w:val="RubrikA"/>
      </w:pPr>
      <w:bookmarkStart w:id="15" w:name="_Toc529800936"/>
      <w:bookmarkStart w:id="16" w:name="_Toc50454929"/>
      <w:r w:rsidRPr="00794DFC">
        <w:t>Ärendets behandling</w:t>
      </w:r>
      <w:bookmarkEnd w:id="15"/>
      <w:bookmarkEnd w:id="16"/>
    </w:p>
    <w:p w14:paraId="249CAB31" w14:textId="77777777" w:rsidR="002401D0" w:rsidRPr="00794DFC" w:rsidRDefault="002401D0">
      <w:pPr>
        <w:pStyle w:val="Rubrikmellanrum"/>
      </w:pPr>
    </w:p>
    <w:p w14:paraId="2960469A" w14:textId="43455AC5" w:rsidR="0028660F" w:rsidRPr="00794DFC" w:rsidRDefault="0028660F" w:rsidP="0028660F">
      <w:pPr>
        <w:pStyle w:val="ANormal"/>
        <w:rPr>
          <w:szCs w:val="22"/>
        </w:rPr>
      </w:pPr>
      <w:r w:rsidRPr="00794DFC">
        <w:rPr>
          <w:szCs w:val="22"/>
        </w:rPr>
        <w:t>Lagtinget har den 2</w:t>
      </w:r>
      <w:r w:rsidR="00794DFC" w:rsidRPr="00794DFC">
        <w:rPr>
          <w:szCs w:val="22"/>
        </w:rPr>
        <w:t>4</w:t>
      </w:r>
      <w:r w:rsidRPr="00794DFC">
        <w:rPr>
          <w:szCs w:val="22"/>
        </w:rPr>
        <w:t xml:space="preserve"> </w:t>
      </w:r>
      <w:r w:rsidR="00794DFC" w:rsidRPr="00794DFC">
        <w:rPr>
          <w:szCs w:val="22"/>
        </w:rPr>
        <w:t>juni</w:t>
      </w:r>
      <w:r w:rsidR="009D0715" w:rsidRPr="00794DFC">
        <w:rPr>
          <w:szCs w:val="22"/>
        </w:rPr>
        <w:t xml:space="preserve"> 20</w:t>
      </w:r>
      <w:r w:rsidR="00794DFC" w:rsidRPr="00794DFC">
        <w:rPr>
          <w:szCs w:val="22"/>
        </w:rPr>
        <w:t>20</w:t>
      </w:r>
      <w:r w:rsidRPr="00794DFC">
        <w:rPr>
          <w:szCs w:val="22"/>
        </w:rPr>
        <w:t xml:space="preserve"> </w:t>
      </w:r>
      <w:proofErr w:type="spellStart"/>
      <w:r w:rsidRPr="00794DFC">
        <w:rPr>
          <w:szCs w:val="22"/>
        </w:rPr>
        <w:t>inbegärt</w:t>
      </w:r>
      <w:proofErr w:type="spellEnd"/>
      <w:r w:rsidRPr="00794DFC">
        <w:rPr>
          <w:szCs w:val="22"/>
        </w:rPr>
        <w:t xml:space="preserve"> finans- och näringsutskottets yttrande </w:t>
      </w:r>
      <w:r w:rsidR="00794DFC" w:rsidRPr="00794DFC">
        <w:rPr>
          <w:szCs w:val="22"/>
        </w:rPr>
        <w:t xml:space="preserve">över årsredovisningen </w:t>
      </w:r>
      <w:r w:rsidR="00794DFC" w:rsidRPr="00794DFC">
        <w:t xml:space="preserve">jämte landskapsrevisionens berättelse. </w:t>
      </w:r>
    </w:p>
    <w:p w14:paraId="208B53D4" w14:textId="77777777" w:rsidR="00794DFC" w:rsidRPr="00794DFC" w:rsidRDefault="0028660F" w:rsidP="0028660F">
      <w:pPr>
        <w:pStyle w:val="ANormal"/>
      </w:pPr>
      <w:r w:rsidRPr="00794DFC">
        <w:tab/>
        <w:t>Utskottet har i ärendet hört</w:t>
      </w:r>
      <w:r w:rsidR="00C772BB" w:rsidRPr="00794DFC">
        <w:t xml:space="preserve"> </w:t>
      </w:r>
      <w:r w:rsidR="00794DFC" w:rsidRPr="00794DFC">
        <w:t xml:space="preserve">finansministern Torbjörn Eliasson och </w:t>
      </w:r>
      <w:r w:rsidR="00C772BB" w:rsidRPr="00794DFC">
        <w:t>finanschefen Conny Nyholm</w:t>
      </w:r>
      <w:r w:rsidR="00794DFC" w:rsidRPr="00794DFC">
        <w:t xml:space="preserve"> från finansavdelningen. </w:t>
      </w:r>
    </w:p>
    <w:p w14:paraId="137D844B" w14:textId="5340A7C4" w:rsidR="0028660F" w:rsidRPr="00FD3F3C" w:rsidRDefault="0028660F" w:rsidP="0028660F">
      <w:pPr>
        <w:pStyle w:val="ANormal"/>
        <w:rPr>
          <w:color w:val="000000" w:themeColor="text1"/>
        </w:rPr>
      </w:pPr>
      <w:r w:rsidRPr="00FD3F3C">
        <w:rPr>
          <w:color w:val="000000" w:themeColor="text1"/>
        </w:rPr>
        <w:tab/>
        <w:t>I ärendets avgörande behandling deltog</w:t>
      </w:r>
      <w:r w:rsidR="002B1EAA" w:rsidRPr="00FD3F3C">
        <w:rPr>
          <w:color w:val="000000" w:themeColor="text1"/>
        </w:rPr>
        <w:t xml:space="preserve"> </w:t>
      </w:r>
      <w:r w:rsidRPr="00FD3F3C">
        <w:rPr>
          <w:color w:val="000000" w:themeColor="text1"/>
        </w:rPr>
        <w:t>ordförande</w:t>
      </w:r>
      <w:r w:rsidR="002B1EAA" w:rsidRPr="00FD3F3C">
        <w:rPr>
          <w:color w:val="000000" w:themeColor="text1"/>
        </w:rPr>
        <w:t>n</w:t>
      </w:r>
      <w:r w:rsidRPr="00FD3F3C">
        <w:rPr>
          <w:color w:val="000000" w:themeColor="text1"/>
        </w:rPr>
        <w:t xml:space="preserve"> </w:t>
      </w:r>
      <w:r w:rsidR="00794DFC" w:rsidRPr="00FD3F3C">
        <w:rPr>
          <w:color w:val="000000" w:themeColor="text1"/>
        </w:rPr>
        <w:t xml:space="preserve">Jörgen Pettersson, viceordföranden </w:t>
      </w:r>
      <w:r w:rsidRPr="00FD3F3C">
        <w:rPr>
          <w:color w:val="000000" w:themeColor="text1"/>
        </w:rPr>
        <w:t>John Holmberg</w:t>
      </w:r>
      <w:r w:rsidR="00794DFC" w:rsidRPr="00FD3F3C">
        <w:rPr>
          <w:color w:val="000000" w:themeColor="text1"/>
        </w:rPr>
        <w:t xml:space="preserve"> samt ledamöterna Nina Fellman, </w:t>
      </w:r>
      <w:r w:rsidRPr="00FD3F3C">
        <w:rPr>
          <w:color w:val="000000" w:themeColor="text1"/>
        </w:rPr>
        <w:t xml:space="preserve">Lars Häggblom, </w:t>
      </w:r>
      <w:r w:rsidR="00794DFC" w:rsidRPr="00FD3F3C">
        <w:rPr>
          <w:color w:val="000000" w:themeColor="text1"/>
        </w:rPr>
        <w:t xml:space="preserve">Liz Mattsson, Jörgen Strand och </w:t>
      </w:r>
      <w:r w:rsidRPr="00FD3F3C">
        <w:rPr>
          <w:color w:val="000000" w:themeColor="text1"/>
        </w:rPr>
        <w:t>Stephan Toivonen</w:t>
      </w:r>
      <w:r w:rsidR="00FD3F3C">
        <w:rPr>
          <w:color w:val="000000" w:themeColor="text1"/>
        </w:rPr>
        <w:t>.</w:t>
      </w:r>
    </w:p>
    <w:p w14:paraId="5148F3B5" w14:textId="4BF1AB27" w:rsidR="002401D0" w:rsidRPr="00FD3F3C" w:rsidRDefault="002401D0">
      <w:pPr>
        <w:pStyle w:val="ANormal"/>
        <w:rPr>
          <w:color w:val="000000" w:themeColor="text1"/>
        </w:rPr>
      </w:pPr>
    </w:p>
    <w:p w14:paraId="62F67142" w14:textId="77777777" w:rsidR="002401D0" w:rsidRPr="00794DFC" w:rsidRDefault="002401D0">
      <w:pPr>
        <w:pStyle w:val="RubrikA"/>
      </w:pPr>
      <w:bookmarkStart w:id="17" w:name="_Toc529800937"/>
      <w:bookmarkStart w:id="18" w:name="_Toc50454930"/>
      <w:r w:rsidRPr="00794DFC">
        <w:t>Utskottets förslag</w:t>
      </w:r>
      <w:bookmarkEnd w:id="17"/>
      <w:bookmarkEnd w:id="18"/>
    </w:p>
    <w:p w14:paraId="2363E3D8" w14:textId="77777777" w:rsidR="002401D0" w:rsidRPr="00794DFC" w:rsidRDefault="002401D0">
      <w:pPr>
        <w:pStyle w:val="Rubrikmellanrum"/>
      </w:pPr>
    </w:p>
    <w:p w14:paraId="4A289A67" w14:textId="77777777" w:rsidR="002401D0" w:rsidRPr="00794DFC" w:rsidRDefault="002401D0">
      <w:pPr>
        <w:pStyle w:val="ANormal"/>
      </w:pPr>
      <w:r w:rsidRPr="00794DFC">
        <w:t>Med hänvisning till det anförda föreslår utskottet</w:t>
      </w:r>
    </w:p>
    <w:p w14:paraId="12B83F75" w14:textId="77777777" w:rsidR="002401D0" w:rsidRPr="00794DFC" w:rsidRDefault="002401D0">
      <w:pPr>
        <w:pStyle w:val="ANormal"/>
      </w:pPr>
    </w:p>
    <w:p w14:paraId="41671D68" w14:textId="4B2459DD" w:rsidR="007730AE" w:rsidRPr="00794DFC" w:rsidRDefault="002401D0" w:rsidP="0028660F">
      <w:pPr>
        <w:pStyle w:val="Klam"/>
      </w:pPr>
      <w:r w:rsidRPr="00794DFC">
        <w:t>att lagtinget</w:t>
      </w:r>
      <w:r w:rsidR="0028660F" w:rsidRPr="00794DFC">
        <w:rPr>
          <w:szCs w:val="22"/>
        </w:rPr>
        <w:t xml:space="preserve"> </w:t>
      </w:r>
      <w:r w:rsidR="0028660F" w:rsidRPr="00794DFC">
        <w:t>antecknar sig landskapsregeringens redogörelse över årsredovisningen per den 31.12.201</w:t>
      </w:r>
      <w:r w:rsidR="00794DFC" w:rsidRPr="00794DFC">
        <w:t>9</w:t>
      </w:r>
      <w:r w:rsidR="0028660F" w:rsidRPr="00794DFC">
        <w:t xml:space="preserve"> jämte landskapsrevisionens berättelse för kännedom samt </w:t>
      </w:r>
    </w:p>
    <w:p w14:paraId="2BDFF793" w14:textId="77777777" w:rsidR="004F27E9" w:rsidRPr="00794DFC" w:rsidRDefault="004F27E9" w:rsidP="004F27E9">
      <w:pPr>
        <w:pStyle w:val="ANormal"/>
      </w:pPr>
    </w:p>
    <w:p w14:paraId="4A297F3E" w14:textId="77777777" w:rsidR="0028660F" w:rsidRPr="00794DFC" w:rsidRDefault="0028660F" w:rsidP="0028660F">
      <w:pPr>
        <w:pStyle w:val="Klam"/>
      </w:pPr>
      <w:r w:rsidRPr="00794DFC">
        <w:t>att utskottets betänkande bringas till landskapsregeringens kännedom.</w:t>
      </w:r>
    </w:p>
    <w:p w14:paraId="5CA9EBDE" w14:textId="77777777" w:rsidR="002401D0" w:rsidRPr="00A2392D" w:rsidRDefault="005632DA">
      <w:pPr>
        <w:pStyle w:val="ANormal"/>
        <w:jc w:val="center"/>
        <w:rPr>
          <w:color w:val="000000" w:themeColor="text1"/>
        </w:rPr>
      </w:pPr>
      <w:hyperlink w:anchor="_top" w:tooltip="Klicka för att gå till toppen av dokumentet" w:history="1">
        <w:r w:rsidR="002401D0" w:rsidRPr="00A2392D">
          <w:rPr>
            <w:rStyle w:val="Hyperlnk"/>
            <w:color w:val="000000" w:themeColor="text1"/>
          </w:rPr>
          <w:t>__________________</w:t>
        </w:r>
      </w:hyperlink>
    </w:p>
    <w:p w14:paraId="7DCA7A56" w14:textId="77777777" w:rsidR="002401D0" w:rsidRPr="00A2392D" w:rsidRDefault="002401D0">
      <w:pPr>
        <w:pStyle w:val="ANormal"/>
        <w:rPr>
          <w:color w:val="000000" w:themeColor="text1"/>
        </w:rPr>
      </w:pPr>
    </w:p>
    <w:p w14:paraId="5BC43B83"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CAD2E87" w14:textId="77777777">
        <w:trPr>
          <w:cantSplit/>
        </w:trPr>
        <w:tc>
          <w:tcPr>
            <w:tcW w:w="7931" w:type="dxa"/>
            <w:gridSpan w:val="2"/>
          </w:tcPr>
          <w:p w14:paraId="122BFD9D" w14:textId="73CFD09C" w:rsidR="002401D0" w:rsidRDefault="002401D0" w:rsidP="00FD3F3C">
            <w:pPr>
              <w:pStyle w:val="ANormal"/>
              <w:keepNext/>
            </w:pPr>
            <w:r>
              <w:lastRenderedPageBreak/>
              <w:t>Mariehamn den</w:t>
            </w:r>
            <w:r w:rsidR="00FD3F3C">
              <w:t xml:space="preserve"> 8</w:t>
            </w:r>
            <w:r w:rsidR="0028660F">
              <w:t xml:space="preserve"> </w:t>
            </w:r>
            <w:r w:rsidR="008B2E9B">
              <w:t>september</w:t>
            </w:r>
            <w:r w:rsidR="0028660F">
              <w:t xml:space="preserve"> 20</w:t>
            </w:r>
            <w:r w:rsidR="004D3D04">
              <w:t>20</w:t>
            </w:r>
          </w:p>
        </w:tc>
      </w:tr>
      <w:tr w:rsidR="002401D0" w14:paraId="5FC79617" w14:textId="77777777">
        <w:tc>
          <w:tcPr>
            <w:tcW w:w="4454" w:type="dxa"/>
            <w:vAlign w:val="bottom"/>
          </w:tcPr>
          <w:p w14:paraId="5ADEB740" w14:textId="77777777" w:rsidR="002401D0" w:rsidRDefault="002401D0">
            <w:pPr>
              <w:pStyle w:val="ANormal"/>
              <w:keepNext/>
            </w:pPr>
          </w:p>
          <w:p w14:paraId="2D28F3A9" w14:textId="77777777" w:rsidR="008B2E9B" w:rsidRDefault="008B2E9B">
            <w:pPr>
              <w:pStyle w:val="ANormal"/>
              <w:keepNext/>
            </w:pPr>
          </w:p>
          <w:p w14:paraId="171852F8" w14:textId="77777777" w:rsidR="002401D0" w:rsidRDefault="002401D0">
            <w:pPr>
              <w:pStyle w:val="ANormal"/>
              <w:keepNext/>
            </w:pPr>
          </w:p>
          <w:p w14:paraId="1B33ACE4" w14:textId="77777777" w:rsidR="002401D0" w:rsidRDefault="002401D0">
            <w:pPr>
              <w:pStyle w:val="ANormal"/>
              <w:keepNext/>
            </w:pPr>
            <w:r>
              <w:t>Ordförande</w:t>
            </w:r>
          </w:p>
        </w:tc>
        <w:tc>
          <w:tcPr>
            <w:tcW w:w="3477" w:type="dxa"/>
            <w:vAlign w:val="bottom"/>
          </w:tcPr>
          <w:p w14:paraId="287C7488" w14:textId="77777777" w:rsidR="002401D0" w:rsidRDefault="002401D0">
            <w:pPr>
              <w:pStyle w:val="ANormal"/>
              <w:keepNext/>
            </w:pPr>
          </w:p>
          <w:p w14:paraId="498F46BE" w14:textId="77777777" w:rsidR="002401D0" w:rsidRDefault="002401D0">
            <w:pPr>
              <w:pStyle w:val="ANormal"/>
              <w:keepNext/>
            </w:pPr>
          </w:p>
          <w:p w14:paraId="1899CFDA" w14:textId="014C020D" w:rsidR="002401D0" w:rsidRDefault="004D3D04">
            <w:pPr>
              <w:pStyle w:val="ANormal"/>
              <w:keepNext/>
            </w:pPr>
            <w:r>
              <w:t>Jörgen Pettersson</w:t>
            </w:r>
          </w:p>
        </w:tc>
      </w:tr>
      <w:tr w:rsidR="002401D0" w14:paraId="7D528759" w14:textId="77777777">
        <w:tc>
          <w:tcPr>
            <w:tcW w:w="4454" w:type="dxa"/>
            <w:vAlign w:val="bottom"/>
          </w:tcPr>
          <w:p w14:paraId="06D5DD88" w14:textId="677FFF5A" w:rsidR="002401D0" w:rsidRDefault="002401D0">
            <w:pPr>
              <w:pStyle w:val="ANormal"/>
              <w:keepNext/>
            </w:pPr>
          </w:p>
          <w:p w14:paraId="34740167" w14:textId="77777777" w:rsidR="00FD3F3C" w:rsidRDefault="00FD3F3C">
            <w:pPr>
              <w:pStyle w:val="ANormal"/>
              <w:keepNext/>
            </w:pPr>
          </w:p>
          <w:p w14:paraId="55A05078" w14:textId="77777777" w:rsidR="002401D0" w:rsidRDefault="002401D0">
            <w:pPr>
              <w:pStyle w:val="ANormal"/>
              <w:keepNext/>
            </w:pPr>
          </w:p>
          <w:p w14:paraId="023BEFED" w14:textId="77777777" w:rsidR="002401D0" w:rsidRDefault="002401D0">
            <w:pPr>
              <w:pStyle w:val="ANormal"/>
              <w:keepNext/>
            </w:pPr>
            <w:r>
              <w:t>Sekreterare</w:t>
            </w:r>
          </w:p>
        </w:tc>
        <w:tc>
          <w:tcPr>
            <w:tcW w:w="3477" w:type="dxa"/>
            <w:vAlign w:val="bottom"/>
          </w:tcPr>
          <w:p w14:paraId="507012E4" w14:textId="77777777" w:rsidR="002401D0" w:rsidRDefault="002401D0">
            <w:pPr>
              <w:pStyle w:val="ANormal"/>
              <w:keepNext/>
            </w:pPr>
          </w:p>
          <w:p w14:paraId="76918CB8" w14:textId="77777777" w:rsidR="002401D0" w:rsidRDefault="002401D0">
            <w:pPr>
              <w:pStyle w:val="ANormal"/>
              <w:keepNext/>
            </w:pPr>
          </w:p>
          <w:p w14:paraId="48D06228" w14:textId="16AA4B26" w:rsidR="002401D0" w:rsidRDefault="004D3D04">
            <w:pPr>
              <w:pStyle w:val="ANormal"/>
              <w:keepNext/>
            </w:pPr>
            <w:r>
              <w:t>Emma Dahlén</w:t>
            </w:r>
          </w:p>
        </w:tc>
      </w:tr>
    </w:tbl>
    <w:p w14:paraId="621F53F8" w14:textId="7C44FE24" w:rsidR="002401D0" w:rsidRDefault="002401D0">
      <w:pPr>
        <w:pStyle w:val="ANormal"/>
      </w:pPr>
    </w:p>
    <w:sectPr w:rsidR="002401D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7B0A" w14:textId="77777777" w:rsidR="00122EA4" w:rsidRDefault="00122EA4">
      <w:r>
        <w:separator/>
      </w:r>
    </w:p>
  </w:endnote>
  <w:endnote w:type="continuationSeparator" w:id="0">
    <w:p w14:paraId="4B9C89BA" w14:textId="77777777" w:rsidR="00122EA4" w:rsidRDefault="0012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2F64" w14:textId="77777777" w:rsidR="00B97AC9" w:rsidRDefault="00B97AC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87BB" w14:textId="14E7C86B" w:rsidR="00B97AC9" w:rsidRDefault="00B97AC9">
    <w:pPr>
      <w:pStyle w:val="Sidfot"/>
      <w:rPr>
        <w:lang w:val="fi-FI"/>
      </w:rPr>
    </w:pPr>
    <w:r w:rsidRPr="003B645F">
      <w:fldChar w:fldCharType="begin"/>
    </w:r>
    <w:r w:rsidRPr="003B645F">
      <w:rPr>
        <w:lang w:val="fi-FI"/>
      </w:rPr>
      <w:instrText xml:space="preserve"> FILENAME  \* MERGEFORMAT </w:instrText>
    </w:r>
    <w:r w:rsidRPr="003B645F">
      <w:fldChar w:fldCharType="separate"/>
    </w:r>
    <w:r w:rsidR="005632DA">
      <w:rPr>
        <w:noProof/>
        <w:lang w:val="fi-FI"/>
      </w:rPr>
      <w:t>FNU2020192020.docx</w:t>
    </w:r>
    <w:r w:rsidRPr="003B64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7C94" w14:textId="77777777" w:rsidR="00B97AC9" w:rsidRDefault="00B97A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090C4" w14:textId="77777777" w:rsidR="00122EA4" w:rsidRDefault="00122EA4">
      <w:r>
        <w:separator/>
      </w:r>
    </w:p>
  </w:footnote>
  <w:footnote w:type="continuationSeparator" w:id="0">
    <w:p w14:paraId="12A4B519" w14:textId="77777777" w:rsidR="00122EA4" w:rsidRDefault="00122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2BE0" w14:textId="4980734D" w:rsidR="00B97AC9" w:rsidRDefault="00B97AC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D3F3C">
      <w:rPr>
        <w:rStyle w:val="Sidnummer"/>
        <w:noProof/>
      </w:rPr>
      <w:t>4</w:t>
    </w:r>
    <w:r>
      <w:rPr>
        <w:rStyle w:val="Sidnummer"/>
      </w:rPr>
      <w:fldChar w:fldCharType="end"/>
    </w:r>
  </w:p>
  <w:p w14:paraId="26ACF95B" w14:textId="77777777" w:rsidR="00B97AC9" w:rsidRDefault="00B97A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1BA9" w14:textId="75CC3A3E" w:rsidR="00B97AC9" w:rsidRDefault="00B97AC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D3F3C">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639FD"/>
    <w:multiLevelType w:val="hybridMultilevel"/>
    <w:tmpl w:val="87289DE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85"/>
    <w:rsid w:val="000001AB"/>
    <w:rsid w:val="0000155F"/>
    <w:rsid w:val="00003789"/>
    <w:rsid w:val="00015AEF"/>
    <w:rsid w:val="00015E9C"/>
    <w:rsid w:val="00023409"/>
    <w:rsid w:val="0002582A"/>
    <w:rsid w:val="0005073A"/>
    <w:rsid w:val="00051556"/>
    <w:rsid w:val="000519F0"/>
    <w:rsid w:val="00074652"/>
    <w:rsid w:val="00080809"/>
    <w:rsid w:val="00084AE1"/>
    <w:rsid w:val="000A3626"/>
    <w:rsid w:val="000A3B5C"/>
    <w:rsid w:val="000B2DC9"/>
    <w:rsid w:val="000C1885"/>
    <w:rsid w:val="000C5E78"/>
    <w:rsid w:val="000E74D9"/>
    <w:rsid w:val="000F32A0"/>
    <w:rsid w:val="000F4682"/>
    <w:rsid w:val="000F7417"/>
    <w:rsid w:val="00103629"/>
    <w:rsid w:val="00104E9F"/>
    <w:rsid w:val="00105474"/>
    <w:rsid w:val="00110090"/>
    <w:rsid w:val="0012136A"/>
    <w:rsid w:val="00122EA4"/>
    <w:rsid w:val="00140161"/>
    <w:rsid w:val="0015337C"/>
    <w:rsid w:val="00195A8B"/>
    <w:rsid w:val="001B131E"/>
    <w:rsid w:val="001D2A05"/>
    <w:rsid w:val="001D3D91"/>
    <w:rsid w:val="001E0424"/>
    <w:rsid w:val="00203BD9"/>
    <w:rsid w:val="00224726"/>
    <w:rsid w:val="002358E0"/>
    <w:rsid w:val="002401D0"/>
    <w:rsid w:val="002460A5"/>
    <w:rsid w:val="002555BF"/>
    <w:rsid w:val="00261E9E"/>
    <w:rsid w:val="00276D4F"/>
    <w:rsid w:val="00282388"/>
    <w:rsid w:val="002827E4"/>
    <w:rsid w:val="0028660F"/>
    <w:rsid w:val="002A2CF6"/>
    <w:rsid w:val="002B0EE8"/>
    <w:rsid w:val="002B1EAA"/>
    <w:rsid w:val="002C1AC9"/>
    <w:rsid w:val="002F654E"/>
    <w:rsid w:val="00306A3F"/>
    <w:rsid w:val="0031113B"/>
    <w:rsid w:val="00311ED4"/>
    <w:rsid w:val="003145DC"/>
    <w:rsid w:val="003633BA"/>
    <w:rsid w:val="0036359C"/>
    <w:rsid w:val="00366A7E"/>
    <w:rsid w:val="00372727"/>
    <w:rsid w:val="00384C67"/>
    <w:rsid w:val="00390A57"/>
    <w:rsid w:val="00396C85"/>
    <w:rsid w:val="003A410F"/>
    <w:rsid w:val="003B645F"/>
    <w:rsid w:val="003B7559"/>
    <w:rsid w:val="003C7A70"/>
    <w:rsid w:val="003D4464"/>
    <w:rsid w:val="003D6F3C"/>
    <w:rsid w:val="003F0471"/>
    <w:rsid w:val="003F3A5C"/>
    <w:rsid w:val="003F4905"/>
    <w:rsid w:val="00414E83"/>
    <w:rsid w:val="004226F9"/>
    <w:rsid w:val="00431AF5"/>
    <w:rsid w:val="00431F72"/>
    <w:rsid w:val="004A03FE"/>
    <w:rsid w:val="004A0E23"/>
    <w:rsid w:val="004A43C6"/>
    <w:rsid w:val="004D3D04"/>
    <w:rsid w:val="004F1700"/>
    <w:rsid w:val="004F27E9"/>
    <w:rsid w:val="00506820"/>
    <w:rsid w:val="005173FD"/>
    <w:rsid w:val="0052146E"/>
    <w:rsid w:val="0053343B"/>
    <w:rsid w:val="0055767C"/>
    <w:rsid w:val="005632DA"/>
    <w:rsid w:val="00577410"/>
    <w:rsid w:val="005B184E"/>
    <w:rsid w:val="005B6DA1"/>
    <w:rsid w:val="005C7DA8"/>
    <w:rsid w:val="005D48B7"/>
    <w:rsid w:val="006219B7"/>
    <w:rsid w:val="0063064B"/>
    <w:rsid w:val="00640E2A"/>
    <w:rsid w:val="0066595E"/>
    <w:rsid w:val="00666876"/>
    <w:rsid w:val="006B2E9E"/>
    <w:rsid w:val="006F5146"/>
    <w:rsid w:val="00702060"/>
    <w:rsid w:val="007115B4"/>
    <w:rsid w:val="00723B93"/>
    <w:rsid w:val="00752D7B"/>
    <w:rsid w:val="007730AE"/>
    <w:rsid w:val="00773766"/>
    <w:rsid w:val="007857F4"/>
    <w:rsid w:val="00794DFC"/>
    <w:rsid w:val="007B4B30"/>
    <w:rsid w:val="007C1486"/>
    <w:rsid w:val="007C198F"/>
    <w:rsid w:val="00811D50"/>
    <w:rsid w:val="008141E5"/>
    <w:rsid w:val="00817B04"/>
    <w:rsid w:val="00830A55"/>
    <w:rsid w:val="00831E23"/>
    <w:rsid w:val="00835020"/>
    <w:rsid w:val="00837646"/>
    <w:rsid w:val="008522F4"/>
    <w:rsid w:val="00857757"/>
    <w:rsid w:val="0086750F"/>
    <w:rsid w:val="00876059"/>
    <w:rsid w:val="008907E3"/>
    <w:rsid w:val="008A4892"/>
    <w:rsid w:val="008B267F"/>
    <w:rsid w:val="008B2E9B"/>
    <w:rsid w:val="008B3E10"/>
    <w:rsid w:val="008C010E"/>
    <w:rsid w:val="008D070E"/>
    <w:rsid w:val="008F11A4"/>
    <w:rsid w:val="008F4736"/>
    <w:rsid w:val="00901C71"/>
    <w:rsid w:val="009204CC"/>
    <w:rsid w:val="00923E3D"/>
    <w:rsid w:val="00926D1C"/>
    <w:rsid w:val="00930631"/>
    <w:rsid w:val="0093302F"/>
    <w:rsid w:val="009335E1"/>
    <w:rsid w:val="00935080"/>
    <w:rsid w:val="00957C36"/>
    <w:rsid w:val="00963E35"/>
    <w:rsid w:val="00982306"/>
    <w:rsid w:val="00984B19"/>
    <w:rsid w:val="009A3632"/>
    <w:rsid w:val="009B2ED2"/>
    <w:rsid w:val="009B418F"/>
    <w:rsid w:val="009C0360"/>
    <w:rsid w:val="009C3ECD"/>
    <w:rsid w:val="009D0715"/>
    <w:rsid w:val="009D73B2"/>
    <w:rsid w:val="009E038E"/>
    <w:rsid w:val="009E7FCC"/>
    <w:rsid w:val="009F06C0"/>
    <w:rsid w:val="009F7CE2"/>
    <w:rsid w:val="00A00CA6"/>
    <w:rsid w:val="00A177E8"/>
    <w:rsid w:val="00A234A9"/>
    <w:rsid w:val="00A2392D"/>
    <w:rsid w:val="00A629BF"/>
    <w:rsid w:val="00A855FB"/>
    <w:rsid w:val="00A85FEE"/>
    <w:rsid w:val="00AA1C2B"/>
    <w:rsid w:val="00AA37D1"/>
    <w:rsid w:val="00AA38B4"/>
    <w:rsid w:val="00AA58A0"/>
    <w:rsid w:val="00AB6B1C"/>
    <w:rsid w:val="00AC2DD5"/>
    <w:rsid w:val="00AF4A8E"/>
    <w:rsid w:val="00AF6B8C"/>
    <w:rsid w:val="00B01CE8"/>
    <w:rsid w:val="00B03D6C"/>
    <w:rsid w:val="00B266EA"/>
    <w:rsid w:val="00B30F84"/>
    <w:rsid w:val="00B32E91"/>
    <w:rsid w:val="00B36A8F"/>
    <w:rsid w:val="00B45252"/>
    <w:rsid w:val="00B569FE"/>
    <w:rsid w:val="00B74B1D"/>
    <w:rsid w:val="00B85135"/>
    <w:rsid w:val="00B90DEC"/>
    <w:rsid w:val="00B94710"/>
    <w:rsid w:val="00B9497B"/>
    <w:rsid w:val="00B96D48"/>
    <w:rsid w:val="00B97AC9"/>
    <w:rsid w:val="00BC2A42"/>
    <w:rsid w:val="00BC2BEF"/>
    <w:rsid w:val="00BE55DA"/>
    <w:rsid w:val="00BE72BC"/>
    <w:rsid w:val="00C0237C"/>
    <w:rsid w:val="00C20998"/>
    <w:rsid w:val="00C25CBC"/>
    <w:rsid w:val="00C324A1"/>
    <w:rsid w:val="00C352B6"/>
    <w:rsid w:val="00C46A55"/>
    <w:rsid w:val="00C56047"/>
    <w:rsid w:val="00C6611C"/>
    <w:rsid w:val="00C772BB"/>
    <w:rsid w:val="00C81F01"/>
    <w:rsid w:val="00C901DA"/>
    <w:rsid w:val="00CB087E"/>
    <w:rsid w:val="00CC5482"/>
    <w:rsid w:val="00CD704E"/>
    <w:rsid w:val="00CE5256"/>
    <w:rsid w:val="00CF700E"/>
    <w:rsid w:val="00D11A6D"/>
    <w:rsid w:val="00D16403"/>
    <w:rsid w:val="00D255C3"/>
    <w:rsid w:val="00D26588"/>
    <w:rsid w:val="00D97E84"/>
    <w:rsid w:val="00DA4B23"/>
    <w:rsid w:val="00DC153D"/>
    <w:rsid w:val="00DC45B2"/>
    <w:rsid w:val="00DC7A0C"/>
    <w:rsid w:val="00DD200A"/>
    <w:rsid w:val="00DE0F61"/>
    <w:rsid w:val="00DF74C6"/>
    <w:rsid w:val="00E0709F"/>
    <w:rsid w:val="00E34A24"/>
    <w:rsid w:val="00E45CFC"/>
    <w:rsid w:val="00E56129"/>
    <w:rsid w:val="00E7038D"/>
    <w:rsid w:val="00E751B4"/>
    <w:rsid w:val="00E802AE"/>
    <w:rsid w:val="00E86072"/>
    <w:rsid w:val="00EC68F1"/>
    <w:rsid w:val="00EF2CB7"/>
    <w:rsid w:val="00EF2D73"/>
    <w:rsid w:val="00F21901"/>
    <w:rsid w:val="00F23C7C"/>
    <w:rsid w:val="00F318FD"/>
    <w:rsid w:val="00F329AB"/>
    <w:rsid w:val="00F651A5"/>
    <w:rsid w:val="00F77544"/>
    <w:rsid w:val="00F90A79"/>
    <w:rsid w:val="00F96115"/>
    <w:rsid w:val="00FA0917"/>
    <w:rsid w:val="00FB6B85"/>
    <w:rsid w:val="00FD1F54"/>
    <w:rsid w:val="00FD3F3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5A082"/>
  <w15:docId w15:val="{CA6F5244-1C2F-458F-AD6D-CB4D8024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28660F"/>
    <w:rPr>
      <w:sz w:val="22"/>
      <w:lang w:val="sv-SE" w:eastAsia="sv-SE"/>
    </w:rPr>
  </w:style>
  <w:style w:type="paragraph" w:styleId="Ballongtext">
    <w:name w:val="Balloon Text"/>
    <w:basedOn w:val="Normal"/>
    <w:link w:val="BallongtextChar"/>
    <w:rsid w:val="00B266EA"/>
    <w:rPr>
      <w:rFonts w:ascii="Tahoma" w:hAnsi="Tahoma" w:cs="Tahoma"/>
      <w:sz w:val="16"/>
      <w:szCs w:val="16"/>
    </w:rPr>
  </w:style>
  <w:style w:type="character" w:customStyle="1" w:styleId="BallongtextChar">
    <w:name w:val="Ballongtext Char"/>
    <w:basedOn w:val="Standardstycketeckensnitt"/>
    <w:link w:val="Ballongtext"/>
    <w:rsid w:val="00B266EA"/>
    <w:rPr>
      <w:rFonts w:ascii="Tahoma" w:hAnsi="Tahoma" w:cs="Tahoma"/>
      <w:sz w:val="16"/>
      <w:szCs w:val="16"/>
      <w:lang w:val="sv-SE" w:eastAsia="sv-SE"/>
    </w:rPr>
  </w:style>
  <w:style w:type="paragraph" w:customStyle="1" w:styleId="anormal0">
    <w:name w:val="anormal"/>
    <w:basedOn w:val="Normal"/>
    <w:rsid w:val="00AA1C2B"/>
    <w:pPr>
      <w:spacing w:before="100" w:beforeAutospacing="1" w:after="100" w:afterAutospacing="1"/>
    </w:pPr>
    <w:rPr>
      <w:lang w:val="sv-FI" w:eastAsia="sv-FI"/>
    </w:rPr>
  </w:style>
  <w:style w:type="paragraph" w:customStyle="1" w:styleId="lagparagraf0">
    <w:name w:val="lagparagraf"/>
    <w:basedOn w:val="Normal"/>
    <w:rsid w:val="00AA1C2B"/>
    <w:pPr>
      <w:spacing w:before="100" w:beforeAutospacing="1" w:after="100" w:afterAutospacing="1"/>
    </w:pPr>
    <w:rPr>
      <w:lang w:val="sv-FI" w:eastAsia="sv-FI"/>
    </w:rPr>
  </w:style>
  <w:style w:type="paragraph" w:customStyle="1" w:styleId="lagpararubrik0">
    <w:name w:val="lagpararubrik"/>
    <w:basedOn w:val="Normal"/>
    <w:rsid w:val="00AA1C2B"/>
    <w:pPr>
      <w:spacing w:before="100" w:beforeAutospacing="1" w:after="100" w:afterAutospacing="1"/>
    </w:pPr>
    <w:rPr>
      <w:lang w:val="sv-FI" w:eastAsia="sv-FI"/>
    </w:rPr>
  </w:style>
  <w:style w:type="paragraph" w:styleId="Liststycke">
    <w:name w:val="List Paragraph"/>
    <w:basedOn w:val="Normal"/>
    <w:uiPriority w:val="34"/>
    <w:qFormat/>
    <w:rsid w:val="0031113B"/>
    <w:pPr>
      <w:ind w:left="720"/>
      <w:contextualSpacing/>
    </w:pPr>
  </w:style>
  <w:style w:type="paragraph" w:styleId="Fotnotstext">
    <w:name w:val="footnote text"/>
    <w:basedOn w:val="Normal"/>
    <w:link w:val="FotnotstextChar"/>
    <w:semiHidden/>
    <w:unhideWhenUsed/>
    <w:rsid w:val="00C0237C"/>
    <w:rPr>
      <w:sz w:val="20"/>
      <w:szCs w:val="20"/>
    </w:rPr>
  </w:style>
  <w:style w:type="character" w:customStyle="1" w:styleId="FotnotstextChar">
    <w:name w:val="Fotnotstext Char"/>
    <w:basedOn w:val="Standardstycketeckensnitt"/>
    <w:link w:val="Fotnotstext"/>
    <w:semiHidden/>
    <w:rsid w:val="00C0237C"/>
    <w:rPr>
      <w:lang w:val="sv-SE" w:eastAsia="sv-SE"/>
    </w:rPr>
  </w:style>
  <w:style w:type="character" w:styleId="Fotnotsreferens">
    <w:name w:val="footnote reference"/>
    <w:basedOn w:val="Standardstycketeckensnitt"/>
    <w:semiHidden/>
    <w:unhideWhenUsed/>
    <w:rsid w:val="00C02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3580">
      <w:bodyDiv w:val="1"/>
      <w:marLeft w:val="0"/>
      <w:marRight w:val="0"/>
      <w:marTop w:val="0"/>
      <w:marBottom w:val="0"/>
      <w:divBdr>
        <w:top w:val="none" w:sz="0" w:space="0" w:color="auto"/>
        <w:left w:val="none" w:sz="0" w:space="0" w:color="auto"/>
        <w:bottom w:val="none" w:sz="0" w:space="0" w:color="auto"/>
        <w:right w:val="none" w:sz="0" w:space="0" w:color="auto"/>
      </w:divBdr>
    </w:div>
    <w:div w:id="1280263328">
      <w:bodyDiv w:val="1"/>
      <w:marLeft w:val="0"/>
      <w:marRight w:val="0"/>
      <w:marTop w:val="0"/>
      <w:marBottom w:val="0"/>
      <w:divBdr>
        <w:top w:val="none" w:sz="0" w:space="0" w:color="auto"/>
        <w:left w:val="none" w:sz="0" w:space="0" w:color="auto"/>
        <w:bottom w:val="none" w:sz="0" w:space="0" w:color="auto"/>
        <w:right w:val="none" w:sz="0" w:space="0" w:color="auto"/>
      </w:divBdr>
    </w:div>
    <w:div w:id="20761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gtinget.ax/dokument/redogorelse-32019-2020-475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1018</Words>
  <Characters>8192</Characters>
  <Application>Microsoft Office Word</Application>
  <DocSecurity>0</DocSecurity>
  <Lines>68</Lines>
  <Paragraphs>18</Paragraphs>
  <ScaleCrop>false</ScaleCrop>
  <HeadingPairs>
    <vt:vector size="2" baseType="variant">
      <vt:variant>
        <vt:lpstr>Rubrik</vt:lpstr>
      </vt:variant>
      <vt:variant>
        <vt:i4>1</vt:i4>
      </vt:variant>
    </vt:vector>
  </HeadingPairs>
  <TitlesOfParts>
    <vt:vector size="1" baseType="lpstr">
      <vt:lpstr>Finans- och näringsutskottets betänkande nr 25/2018-2019</vt:lpstr>
    </vt:vector>
  </TitlesOfParts>
  <Company>Ålands lagting</Company>
  <LinksUpToDate>false</LinksUpToDate>
  <CharactersWithSpaces>9192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25/2018-2019</dc:title>
  <dc:creator>Jessica Laaksonen</dc:creator>
  <cp:lastModifiedBy>Jessica Laaksonen</cp:lastModifiedBy>
  <cp:revision>2</cp:revision>
  <cp:lastPrinted>2020-09-08T10:30:00Z</cp:lastPrinted>
  <dcterms:created xsi:type="dcterms:W3CDTF">2020-09-08T10:31:00Z</dcterms:created>
  <dcterms:modified xsi:type="dcterms:W3CDTF">2020-09-08T10:31:00Z</dcterms:modified>
</cp:coreProperties>
</file>