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B7272" w14:textId="77777777" w:rsidR="00393F7A" w:rsidRDefault="00393F7A" w:rsidP="00C45ABE">
      <w:pPr>
        <w:pStyle w:val="Hger"/>
        <w:ind w:left="0"/>
      </w:pPr>
    </w:p>
    <w:tbl>
      <w:tblPr>
        <w:tblW w:w="5000" w:type="pct"/>
        <w:tblLayout w:type="fixed"/>
        <w:tblCellMar>
          <w:left w:w="0" w:type="dxa"/>
          <w:right w:w="0" w:type="dxa"/>
        </w:tblCellMar>
        <w:tblLook w:val="0000" w:firstRow="0" w:lastRow="0" w:firstColumn="0" w:lastColumn="0" w:noHBand="0" w:noVBand="0"/>
      </w:tblPr>
      <w:tblGrid>
        <w:gridCol w:w="863"/>
        <w:gridCol w:w="4465"/>
        <w:gridCol w:w="1730"/>
        <w:gridCol w:w="2580"/>
      </w:tblGrid>
      <w:tr w:rsidR="0043258F" w:rsidRPr="0043258F" w14:paraId="3D04943E" w14:textId="77777777" w:rsidTr="00066C96">
        <w:trPr>
          <w:cantSplit/>
          <w:trHeight w:val="20"/>
        </w:trPr>
        <w:tc>
          <w:tcPr>
            <w:tcW w:w="863" w:type="dxa"/>
          </w:tcPr>
          <w:p w14:paraId="6442FAD1" w14:textId="5038A9CD" w:rsidR="0043258F" w:rsidRPr="0043258F" w:rsidRDefault="0043258F" w:rsidP="0043258F">
            <w:pPr>
              <w:keepNext/>
              <w:widowControl/>
              <w:autoSpaceDE/>
              <w:autoSpaceDN/>
              <w:adjustRightInd/>
              <w:rPr>
                <w:rFonts w:ascii="Verdana" w:hAnsi="Verdana" w:cs="Arial"/>
                <w:noProof/>
                <w:sz w:val="14"/>
                <w:szCs w:val="15"/>
                <w:lang w:val="sv-SE"/>
              </w:rPr>
            </w:pPr>
          </w:p>
        </w:tc>
        <w:tc>
          <w:tcPr>
            <w:tcW w:w="8775" w:type="dxa"/>
            <w:gridSpan w:val="3"/>
            <w:vAlign w:val="bottom"/>
          </w:tcPr>
          <w:p w14:paraId="789D1391" w14:textId="77777777" w:rsidR="0043258F" w:rsidRPr="0043258F" w:rsidRDefault="0043258F" w:rsidP="0043258F">
            <w:pPr>
              <w:widowControl/>
              <w:autoSpaceDE/>
              <w:autoSpaceDN/>
              <w:adjustRightInd/>
              <w:rPr>
                <w:rFonts w:ascii="Arial" w:hAnsi="Arial"/>
                <w:sz w:val="4"/>
                <w:szCs w:val="20"/>
                <w:lang w:val="sv-SE"/>
              </w:rPr>
            </w:pPr>
            <w:r w:rsidRPr="0043258F">
              <w:rPr>
                <w:rFonts w:ascii="Arial" w:hAnsi="Arial"/>
                <w:noProof/>
                <w:sz w:val="4"/>
                <w:szCs w:val="20"/>
                <w:lang w:val="sv-SE"/>
              </w:rPr>
              <w:drawing>
                <wp:inline distT="0" distB="0" distL="0" distR="0" wp14:anchorId="64F9C182" wp14:editId="5C8181A6">
                  <wp:extent cx="50800" cy="508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43258F" w:rsidRPr="0043258F" w14:paraId="343491FC" w14:textId="77777777" w:rsidTr="00066C96">
        <w:trPr>
          <w:cantSplit/>
          <w:trHeight w:val="299"/>
        </w:trPr>
        <w:tc>
          <w:tcPr>
            <w:tcW w:w="5328" w:type="dxa"/>
            <w:gridSpan w:val="2"/>
            <w:vMerge w:val="restart"/>
          </w:tcPr>
          <w:p w14:paraId="73B7DE05" w14:textId="77777777" w:rsidR="0043258F" w:rsidRPr="0043258F" w:rsidRDefault="0043258F" w:rsidP="0043258F">
            <w:pPr>
              <w:widowControl/>
              <w:autoSpaceDE/>
              <w:autoSpaceDN/>
              <w:adjustRightInd/>
              <w:spacing w:before="100" w:beforeAutospacing="1" w:after="100" w:afterAutospacing="1"/>
              <w:rPr>
                <w:rFonts w:ascii="Arial" w:hAnsi="Arial" w:cs="Arial"/>
                <w:b/>
                <w:bCs/>
                <w:sz w:val="26"/>
                <w:szCs w:val="22"/>
                <w:lang w:val="sv-SE"/>
              </w:rPr>
            </w:pPr>
            <w:r w:rsidRPr="0043258F">
              <w:rPr>
                <w:rFonts w:ascii="Arial" w:hAnsi="Arial" w:cs="Arial"/>
                <w:b/>
                <w:bCs/>
                <w:noProof/>
                <w:sz w:val="26"/>
                <w:szCs w:val="22"/>
                <w:lang w:val="sv-SE"/>
              </w:rPr>
              <w:drawing>
                <wp:inline distT="0" distB="0" distL="0" distR="0" wp14:anchorId="6F57ACF2" wp14:editId="1192B27C">
                  <wp:extent cx="1809750" cy="4699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9900"/>
                          </a:xfrm>
                          <a:prstGeom prst="rect">
                            <a:avLst/>
                          </a:prstGeom>
                          <a:noFill/>
                          <a:ln>
                            <a:noFill/>
                          </a:ln>
                        </pic:spPr>
                      </pic:pic>
                    </a:graphicData>
                  </a:graphic>
                </wp:inline>
              </w:drawing>
            </w:r>
          </w:p>
        </w:tc>
        <w:tc>
          <w:tcPr>
            <w:tcW w:w="4310" w:type="dxa"/>
            <w:gridSpan w:val="2"/>
            <w:vAlign w:val="bottom"/>
          </w:tcPr>
          <w:p w14:paraId="6FCD5B4D" w14:textId="6A549A42" w:rsidR="0043258F" w:rsidRPr="0043258F" w:rsidRDefault="0043258F" w:rsidP="0043258F">
            <w:pPr>
              <w:widowControl/>
              <w:autoSpaceDE/>
              <w:autoSpaceDN/>
              <w:adjustRightInd/>
              <w:rPr>
                <w:rFonts w:ascii="Arial" w:hAnsi="Arial"/>
                <w:b/>
                <w:sz w:val="20"/>
                <w:szCs w:val="20"/>
                <w:lang w:val="sv-SE"/>
              </w:rPr>
            </w:pPr>
            <w:r w:rsidRPr="0043258F">
              <w:rPr>
                <w:rFonts w:ascii="Arial" w:hAnsi="Arial"/>
                <w:b/>
                <w:sz w:val="20"/>
                <w:szCs w:val="20"/>
                <w:lang w:val="sv-SE"/>
              </w:rPr>
              <w:t xml:space="preserve">YTTRANDE nr </w:t>
            </w:r>
            <w:r w:rsidR="007F6138">
              <w:rPr>
                <w:rFonts w:ascii="Arial" w:hAnsi="Arial"/>
                <w:b/>
                <w:sz w:val="20"/>
                <w:szCs w:val="20"/>
                <w:lang w:val="sv-SE"/>
              </w:rPr>
              <w:t>15</w:t>
            </w:r>
            <w:r w:rsidRPr="0043258F">
              <w:rPr>
                <w:rFonts w:ascii="Arial" w:hAnsi="Arial"/>
                <w:b/>
                <w:sz w:val="20"/>
                <w:szCs w:val="20"/>
                <w:lang w:val="sv-SE"/>
              </w:rPr>
              <w:t>/</w:t>
            </w:r>
            <w:proofErr w:type="gramStart"/>
            <w:r w:rsidRPr="0043258F">
              <w:rPr>
                <w:rFonts w:ascii="Arial" w:hAnsi="Arial"/>
                <w:b/>
                <w:sz w:val="20"/>
                <w:szCs w:val="20"/>
                <w:lang w:val="sv-SE"/>
              </w:rPr>
              <w:t>201</w:t>
            </w:r>
            <w:r w:rsidR="007F6138">
              <w:rPr>
                <w:rFonts w:ascii="Arial" w:hAnsi="Arial"/>
                <w:b/>
                <w:sz w:val="20"/>
                <w:szCs w:val="20"/>
                <w:lang w:val="sv-SE"/>
              </w:rPr>
              <w:t>9</w:t>
            </w:r>
            <w:r w:rsidRPr="0043258F">
              <w:rPr>
                <w:rFonts w:ascii="Arial" w:hAnsi="Arial"/>
                <w:b/>
                <w:sz w:val="20"/>
                <w:szCs w:val="20"/>
                <w:lang w:val="sv-SE"/>
              </w:rPr>
              <w:t>-20</w:t>
            </w:r>
            <w:r w:rsidR="007F6138">
              <w:rPr>
                <w:rFonts w:ascii="Arial" w:hAnsi="Arial"/>
                <w:b/>
                <w:sz w:val="20"/>
                <w:szCs w:val="20"/>
                <w:lang w:val="sv-SE"/>
              </w:rPr>
              <w:t>20</w:t>
            </w:r>
            <w:proofErr w:type="gramEnd"/>
          </w:p>
        </w:tc>
      </w:tr>
      <w:tr w:rsidR="0043258F" w:rsidRPr="0043258F" w14:paraId="6402044A" w14:textId="77777777" w:rsidTr="00066C96">
        <w:trPr>
          <w:cantSplit/>
          <w:trHeight w:val="238"/>
        </w:trPr>
        <w:tc>
          <w:tcPr>
            <w:tcW w:w="5328" w:type="dxa"/>
            <w:gridSpan w:val="2"/>
            <w:vMerge/>
          </w:tcPr>
          <w:p w14:paraId="5FD13182" w14:textId="77777777" w:rsidR="0043258F" w:rsidRPr="0043258F" w:rsidRDefault="0043258F" w:rsidP="0043258F">
            <w:pPr>
              <w:widowControl/>
              <w:autoSpaceDE/>
              <w:autoSpaceDN/>
              <w:adjustRightInd/>
              <w:rPr>
                <w:rFonts w:ascii="Verdana" w:hAnsi="Verdana" w:cs="Arial"/>
                <w:sz w:val="14"/>
                <w:szCs w:val="15"/>
                <w:lang w:val="sv-SE"/>
              </w:rPr>
            </w:pPr>
          </w:p>
        </w:tc>
        <w:tc>
          <w:tcPr>
            <w:tcW w:w="1730" w:type="dxa"/>
            <w:vAlign w:val="bottom"/>
          </w:tcPr>
          <w:p w14:paraId="77653492" w14:textId="77777777" w:rsidR="0043258F" w:rsidRPr="0043258F" w:rsidRDefault="0043258F" w:rsidP="0043258F">
            <w:pPr>
              <w:widowControl/>
              <w:autoSpaceDE/>
              <w:autoSpaceDN/>
              <w:adjustRightInd/>
              <w:rPr>
                <w:rFonts w:ascii="Verdana" w:hAnsi="Verdana" w:cs="Arial"/>
                <w:sz w:val="14"/>
                <w:szCs w:val="15"/>
                <w:lang w:val="sv-SE"/>
              </w:rPr>
            </w:pPr>
            <w:r w:rsidRPr="0043258F">
              <w:rPr>
                <w:rFonts w:ascii="Verdana" w:hAnsi="Verdana" w:cs="Arial"/>
                <w:sz w:val="14"/>
                <w:szCs w:val="15"/>
                <w:lang w:val="sv-SE"/>
              </w:rPr>
              <w:t>Datum</w:t>
            </w:r>
          </w:p>
        </w:tc>
        <w:tc>
          <w:tcPr>
            <w:tcW w:w="2580" w:type="dxa"/>
            <w:vAlign w:val="bottom"/>
          </w:tcPr>
          <w:p w14:paraId="009EB7E9" w14:textId="77777777" w:rsidR="0043258F" w:rsidRPr="0043258F" w:rsidRDefault="0043258F" w:rsidP="0043258F">
            <w:pPr>
              <w:widowControl/>
              <w:autoSpaceDE/>
              <w:autoSpaceDN/>
              <w:adjustRightInd/>
              <w:rPr>
                <w:rFonts w:ascii="Verdana" w:hAnsi="Verdana" w:cs="Arial"/>
                <w:sz w:val="14"/>
                <w:szCs w:val="15"/>
                <w:lang w:val="sv-SE"/>
              </w:rPr>
            </w:pPr>
          </w:p>
        </w:tc>
      </w:tr>
      <w:tr w:rsidR="0043258F" w:rsidRPr="0043258F" w14:paraId="6EF1B2B2" w14:textId="77777777" w:rsidTr="00066C96">
        <w:trPr>
          <w:cantSplit/>
          <w:trHeight w:val="238"/>
        </w:trPr>
        <w:tc>
          <w:tcPr>
            <w:tcW w:w="5328" w:type="dxa"/>
            <w:gridSpan w:val="2"/>
            <w:vMerge/>
          </w:tcPr>
          <w:p w14:paraId="3C6B6FE3" w14:textId="77777777" w:rsidR="0043258F" w:rsidRPr="0043258F" w:rsidRDefault="0043258F" w:rsidP="0043258F">
            <w:pPr>
              <w:widowControl/>
              <w:autoSpaceDE/>
              <w:autoSpaceDN/>
              <w:adjustRightInd/>
              <w:rPr>
                <w:rFonts w:ascii="Arial" w:hAnsi="Arial" w:cs="Arial"/>
                <w:b/>
                <w:bCs/>
                <w:sz w:val="20"/>
                <w:szCs w:val="20"/>
                <w:lang w:val="sv-SE"/>
              </w:rPr>
            </w:pPr>
          </w:p>
        </w:tc>
        <w:tc>
          <w:tcPr>
            <w:tcW w:w="1730" w:type="dxa"/>
            <w:vAlign w:val="center"/>
          </w:tcPr>
          <w:p w14:paraId="00B03714" w14:textId="512B271D" w:rsidR="0043258F" w:rsidRPr="0043258F" w:rsidRDefault="0043258F" w:rsidP="0043258F">
            <w:pPr>
              <w:widowControl/>
              <w:autoSpaceDE/>
              <w:autoSpaceDN/>
              <w:adjustRightInd/>
              <w:rPr>
                <w:rFonts w:ascii="Arial" w:hAnsi="Arial"/>
                <w:sz w:val="18"/>
                <w:szCs w:val="20"/>
                <w:lang w:val="sv-SE"/>
              </w:rPr>
            </w:pPr>
            <w:r w:rsidRPr="0043258F">
              <w:rPr>
                <w:rFonts w:ascii="Arial" w:hAnsi="Arial"/>
                <w:sz w:val="18"/>
                <w:szCs w:val="20"/>
                <w:lang w:val="sv-SE"/>
              </w:rPr>
              <w:t>20</w:t>
            </w:r>
            <w:r w:rsidR="00077D2C">
              <w:rPr>
                <w:rFonts w:ascii="Arial" w:hAnsi="Arial"/>
                <w:sz w:val="18"/>
                <w:szCs w:val="20"/>
                <w:lang w:val="sv-SE"/>
              </w:rPr>
              <w:t>20</w:t>
            </w:r>
            <w:r w:rsidRPr="0043258F">
              <w:rPr>
                <w:rFonts w:ascii="Arial" w:hAnsi="Arial"/>
                <w:sz w:val="18"/>
                <w:szCs w:val="20"/>
                <w:lang w:val="sv-SE"/>
              </w:rPr>
              <w:t>-</w:t>
            </w:r>
            <w:r w:rsidR="00077D2C">
              <w:rPr>
                <w:rFonts w:ascii="Arial" w:hAnsi="Arial"/>
                <w:sz w:val="18"/>
                <w:szCs w:val="20"/>
                <w:lang w:val="sv-SE"/>
              </w:rPr>
              <w:t>10</w:t>
            </w:r>
            <w:r w:rsidRPr="0043258F">
              <w:rPr>
                <w:rFonts w:ascii="Arial" w:hAnsi="Arial"/>
                <w:sz w:val="18"/>
                <w:szCs w:val="20"/>
                <w:lang w:val="sv-SE"/>
              </w:rPr>
              <w:t>-</w:t>
            </w:r>
            <w:r w:rsidR="00077D2C">
              <w:rPr>
                <w:rFonts w:ascii="Arial" w:hAnsi="Arial"/>
                <w:sz w:val="18"/>
                <w:szCs w:val="20"/>
                <w:lang w:val="sv-SE"/>
              </w:rPr>
              <w:t>30</w:t>
            </w:r>
          </w:p>
        </w:tc>
        <w:tc>
          <w:tcPr>
            <w:tcW w:w="2580" w:type="dxa"/>
            <w:vAlign w:val="center"/>
          </w:tcPr>
          <w:p w14:paraId="033DA50E" w14:textId="77777777" w:rsidR="0043258F" w:rsidRPr="0043258F" w:rsidRDefault="0043258F" w:rsidP="0043258F">
            <w:pPr>
              <w:widowControl/>
              <w:autoSpaceDE/>
              <w:autoSpaceDN/>
              <w:adjustRightInd/>
              <w:rPr>
                <w:rFonts w:ascii="Arial" w:hAnsi="Arial"/>
                <w:sz w:val="18"/>
                <w:szCs w:val="20"/>
                <w:lang w:val="sv-SE"/>
              </w:rPr>
            </w:pPr>
          </w:p>
        </w:tc>
      </w:tr>
      <w:tr w:rsidR="0043258F" w:rsidRPr="0043258F" w14:paraId="62CF5464" w14:textId="77777777" w:rsidTr="00066C96">
        <w:trPr>
          <w:cantSplit/>
          <w:trHeight w:val="238"/>
        </w:trPr>
        <w:tc>
          <w:tcPr>
            <w:tcW w:w="5328" w:type="dxa"/>
            <w:gridSpan w:val="2"/>
          </w:tcPr>
          <w:p w14:paraId="49614D3C" w14:textId="77777777" w:rsidR="0043258F" w:rsidRPr="0043258F" w:rsidRDefault="0043258F" w:rsidP="0043258F">
            <w:pPr>
              <w:widowControl/>
              <w:autoSpaceDE/>
              <w:autoSpaceDN/>
              <w:adjustRightInd/>
              <w:rPr>
                <w:rFonts w:ascii="Verdana" w:hAnsi="Verdana" w:cs="Arial"/>
                <w:sz w:val="14"/>
                <w:szCs w:val="15"/>
                <w:lang w:val="sv-SE"/>
              </w:rPr>
            </w:pPr>
          </w:p>
        </w:tc>
        <w:tc>
          <w:tcPr>
            <w:tcW w:w="1730" w:type="dxa"/>
            <w:vAlign w:val="bottom"/>
          </w:tcPr>
          <w:p w14:paraId="34DCDDF9" w14:textId="77777777" w:rsidR="0043258F" w:rsidRPr="0043258F" w:rsidRDefault="0043258F" w:rsidP="0043258F">
            <w:pPr>
              <w:widowControl/>
              <w:autoSpaceDE/>
              <w:autoSpaceDN/>
              <w:adjustRightInd/>
              <w:rPr>
                <w:rFonts w:ascii="Verdana" w:hAnsi="Verdana" w:cs="Arial"/>
                <w:sz w:val="14"/>
                <w:szCs w:val="15"/>
                <w:lang w:val="sv-SE"/>
              </w:rPr>
            </w:pPr>
          </w:p>
        </w:tc>
        <w:tc>
          <w:tcPr>
            <w:tcW w:w="2580" w:type="dxa"/>
            <w:vAlign w:val="bottom"/>
          </w:tcPr>
          <w:p w14:paraId="183C77DF" w14:textId="77777777" w:rsidR="0043258F" w:rsidRPr="0043258F" w:rsidRDefault="0043258F" w:rsidP="0043258F">
            <w:pPr>
              <w:widowControl/>
              <w:autoSpaceDE/>
              <w:autoSpaceDN/>
              <w:adjustRightInd/>
              <w:rPr>
                <w:rFonts w:ascii="Verdana" w:hAnsi="Verdana" w:cs="Arial"/>
                <w:sz w:val="14"/>
                <w:szCs w:val="15"/>
                <w:lang w:val="sv-SE"/>
              </w:rPr>
            </w:pPr>
          </w:p>
        </w:tc>
      </w:tr>
      <w:tr w:rsidR="0043258F" w:rsidRPr="0043258F" w14:paraId="1C0473A9" w14:textId="77777777" w:rsidTr="00066C96">
        <w:trPr>
          <w:cantSplit/>
          <w:trHeight w:val="238"/>
        </w:trPr>
        <w:tc>
          <w:tcPr>
            <w:tcW w:w="5328" w:type="dxa"/>
            <w:gridSpan w:val="2"/>
            <w:tcBorders>
              <w:bottom w:val="single" w:sz="4" w:space="0" w:color="auto"/>
            </w:tcBorders>
          </w:tcPr>
          <w:p w14:paraId="46E56AE0" w14:textId="77777777" w:rsidR="0043258F" w:rsidRPr="0043258F" w:rsidRDefault="0043258F" w:rsidP="0043258F">
            <w:pPr>
              <w:widowControl/>
              <w:autoSpaceDE/>
              <w:autoSpaceDN/>
              <w:adjustRightInd/>
              <w:rPr>
                <w:rFonts w:ascii="Arial" w:hAnsi="Arial"/>
                <w:sz w:val="18"/>
                <w:szCs w:val="20"/>
                <w:lang w:val="sv-SE"/>
              </w:rPr>
            </w:pPr>
          </w:p>
        </w:tc>
        <w:tc>
          <w:tcPr>
            <w:tcW w:w="1730" w:type="dxa"/>
            <w:tcBorders>
              <w:bottom w:val="single" w:sz="4" w:space="0" w:color="auto"/>
            </w:tcBorders>
            <w:vAlign w:val="center"/>
          </w:tcPr>
          <w:p w14:paraId="6A41F873" w14:textId="77777777" w:rsidR="0043258F" w:rsidRPr="0043258F" w:rsidRDefault="0043258F" w:rsidP="0043258F">
            <w:pPr>
              <w:widowControl/>
              <w:autoSpaceDE/>
              <w:autoSpaceDN/>
              <w:adjustRightInd/>
              <w:rPr>
                <w:rFonts w:ascii="Arial" w:hAnsi="Arial"/>
                <w:sz w:val="18"/>
                <w:szCs w:val="20"/>
                <w:lang w:val="sv-SE"/>
              </w:rPr>
            </w:pPr>
          </w:p>
        </w:tc>
        <w:tc>
          <w:tcPr>
            <w:tcW w:w="2580" w:type="dxa"/>
            <w:tcBorders>
              <w:bottom w:val="single" w:sz="4" w:space="0" w:color="auto"/>
            </w:tcBorders>
            <w:vAlign w:val="center"/>
          </w:tcPr>
          <w:p w14:paraId="7FE55540" w14:textId="77777777" w:rsidR="0043258F" w:rsidRPr="0043258F" w:rsidRDefault="0043258F" w:rsidP="0043258F">
            <w:pPr>
              <w:widowControl/>
              <w:autoSpaceDE/>
              <w:autoSpaceDN/>
              <w:adjustRightInd/>
              <w:rPr>
                <w:rFonts w:ascii="Arial" w:hAnsi="Arial"/>
                <w:sz w:val="18"/>
                <w:szCs w:val="20"/>
                <w:lang w:val="sv-SE"/>
              </w:rPr>
            </w:pPr>
          </w:p>
        </w:tc>
      </w:tr>
      <w:tr w:rsidR="0043258F" w:rsidRPr="0043258F" w14:paraId="500D89BB" w14:textId="77777777" w:rsidTr="00066C96">
        <w:trPr>
          <w:cantSplit/>
          <w:trHeight w:val="238"/>
        </w:trPr>
        <w:tc>
          <w:tcPr>
            <w:tcW w:w="863" w:type="dxa"/>
            <w:tcBorders>
              <w:top w:val="single" w:sz="4" w:space="0" w:color="auto"/>
            </w:tcBorders>
            <w:vAlign w:val="bottom"/>
          </w:tcPr>
          <w:p w14:paraId="71D5D429" w14:textId="77777777" w:rsidR="0043258F" w:rsidRPr="0043258F" w:rsidRDefault="0043258F" w:rsidP="0043258F">
            <w:pPr>
              <w:widowControl/>
              <w:autoSpaceDE/>
              <w:autoSpaceDN/>
              <w:adjustRightInd/>
              <w:rPr>
                <w:rFonts w:ascii="Verdana" w:hAnsi="Verdana" w:cs="Arial"/>
                <w:sz w:val="14"/>
                <w:szCs w:val="15"/>
                <w:lang w:val="sv-SE"/>
              </w:rPr>
            </w:pPr>
          </w:p>
        </w:tc>
        <w:tc>
          <w:tcPr>
            <w:tcW w:w="4465" w:type="dxa"/>
            <w:tcBorders>
              <w:top w:val="single" w:sz="4" w:space="0" w:color="auto"/>
            </w:tcBorders>
            <w:vAlign w:val="bottom"/>
          </w:tcPr>
          <w:p w14:paraId="33392AD2" w14:textId="77777777" w:rsidR="0043258F" w:rsidRPr="0043258F" w:rsidRDefault="0043258F" w:rsidP="0043258F">
            <w:pPr>
              <w:widowControl/>
              <w:autoSpaceDE/>
              <w:autoSpaceDN/>
              <w:adjustRightInd/>
              <w:rPr>
                <w:rFonts w:ascii="Verdana" w:hAnsi="Verdana" w:cs="Arial"/>
                <w:sz w:val="14"/>
                <w:szCs w:val="15"/>
                <w:lang w:val="sv-SE"/>
              </w:rPr>
            </w:pPr>
          </w:p>
        </w:tc>
        <w:tc>
          <w:tcPr>
            <w:tcW w:w="4310" w:type="dxa"/>
            <w:gridSpan w:val="2"/>
            <w:tcBorders>
              <w:top w:val="single" w:sz="4" w:space="0" w:color="auto"/>
            </w:tcBorders>
            <w:vAlign w:val="bottom"/>
          </w:tcPr>
          <w:p w14:paraId="332C92EE" w14:textId="77777777" w:rsidR="0043258F" w:rsidRPr="0043258F" w:rsidRDefault="0043258F" w:rsidP="0043258F">
            <w:pPr>
              <w:widowControl/>
              <w:autoSpaceDE/>
              <w:autoSpaceDN/>
              <w:adjustRightInd/>
              <w:rPr>
                <w:rFonts w:ascii="Verdana" w:hAnsi="Verdana" w:cs="Arial"/>
                <w:sz w:val="14"/>
                <w:szCs w:val="15"/>
                <w:lang w:val="sv-SE"/>
              </w:rPr>
            </w:pPr>
          </w:p>
        </w:tc>
      </w:tr>
      <w:tr w:rsidR="0043258F" w:rsidRPr="0043258F" w14:paraId="0373250E" w14:textId="77777777" w:rsidTr="00066C96">
        <w:trPr>
          <w:cantSplit/>
          <w:trHeight w:val="238"/>
        </w:trPr>
        <w:tc>
          <w:tcPr>
            <w:tcW w:w="863" w:type="dxa"/>
          </w:tcPr>
          <w:p w14:paraId="32699989" w14:textId="77777777" w:rsidR="0043258F" w:rsidRPr="0043258F" w:rsidRDefault="0043258F" w:rsidP="0043258F">
            <w:pPr>
              <w:widowControl/>
              <w:autoSpaceDE/>
              <w:autoSpaceDN/>
              <w:adjustRightInd/>
              <w:rPr>
                <w:rFonts w:ascii="Arial" w:hAnsi="Arial"/>
                <w:sz w:val="18"/>
                <w:szCs w:val="20"/>
                <w:lang w:val="sv-SE"/>
              </w:rPr>
            </w:pPr>
          </w:p>
        </w:tc>
        <w:tc>
          <w:tcPr>
            <w:tcW w:w="4465" w:type="dxa"/>
            <w:vMerge w:val="restart"/>
          </w:tcPr>
          <w:p w14:paraId="1833E501" w14:textId="77777777" w:rsidR="0043258F" w:rsidRPr="0043258F" w:rsidRDefault="0043258F" w:rsidP="0043258F">
            <w:pPr>
              <w:widowControl/>
              <w:autoSpaceDE/>
              <w:autoSpaceDN/>
              <w:adjustRightInd/>
              <w:rPr>
                <w:rFonts w:ascii="Arial" w:hAnsi="Arial" w:cs="Arial"/>
                <w:b/>
                <w:bCs/>
                <w:sz w:val="20"/>
                <w:szCs w:val="20"/>
                <w:lang w:val="sv-SE"/>
              </w:rPr>
            </w:pPr>
            <w:r w:rsidRPr="0043258F">
              <w:rPr>
                <w:rFonts w:ascii="Arial" w:hAnsi="Arial" w:cs="Arial"/>
                <w:b/>
                <w:bCs/>
                <w:sz w:val="20"/>
                <w:szCs w:val="20"/>
                <w:lang w:val="sv-SE"/>
              </w:rPr>
              <w:t>Till Ålands lagting</w:t>
            </w:r>
          </w:p>
        </w:tc>
        <w:tc>
          <w:tcPr>
            <w:tcW w:w="4310" w:type="dxa"/>
            <w:gridSpan w:val="2"/>
            <w:vMerge w:val="restart"/>
          </w:tcPr>
          <w:p w14:paraId="19E50EBD" w14:textId="77777777" w:rsidR="0043258F" w:rsidRPr="0043258F" w:rsidRDefault="0043258F" w:rsidP="0043258F">
            <w:pPr>
              <w:widowControl/>
              <w:tabs>
                <w:tab w:val="left" w:pos="2349"/>
              </w:tabs>
              <w:autoSpaceDE/>
              <w:autoSpaceDN/>
              <w:adjustRightInd/>
              <w:rPr>
                <w:rFonts w:ascii="Arial" w:hAnsi="Arial" w:cs="Arial"/>
                <w:b/>
                <w:bCs/>
                <w:sz w:val="20"/>
                <w:szCs w:val="20"/>
                <w:lang w:val="sv-SE"/>
              </w:rPr>
            </w:pPr>
          </w:p>
        </w:tc>
      </w:tr>
      <w:tr w:rsidR="0043258F" w:rsidRPr="0043258F" w14:paraId="34447942" w14:textId="77777777" w:rsidTr="00066C96">
        <w:trPr>
          <w:cantSplit/>
          <w:trHeight w:val="238"/>
        </w:trPr>
        <w:tc>
          <w:tcPr>
            <w:tcW w:w="863" w:type="dxa"/>
          </w:tcPr>
          <w:p w14:paraId="73614CFE" w14:textId="77777777" w:rsidR="0043258F" w:rsidRPr="0043258F" w:rsidRDefault="0043258F" w:rsidP="0043258F">
            <w:pPr>
              <w:widowControl/>
              <w:autoSpaceDE/>
              <w:autoSpaceDN/>
              <w:adjustRightInd/>
              <w:rPr>
                <w:rFonts w:ascii="Arial" w:hAnsi="Arial"/>
                <w:sz w:val="18"/>
                <w:szCs w:val="20"/>
                <w:lang w:val="sv-SE"/>
              </w:rPr>
            </w:pPr>
          </w:p>
        </w:tc>
        <w:tc>
          <w:tcPr>
            <w:tcW w:w="4465" w:type="dxa"/>
            <w:vMerge/>
            <w:vAlign w:val="center"/>
          </w:tcPr>
          <w:p w14:paraId="76D3B457" w14:textId="77777777" w:rsidR="0043258F" w:rsidRPr="0043258F" w:rsidRDefault="0043258F" w:rsidP="0043258F">
            <w:pPr>
              <w:widowControl/>
              <w:autoSpaceDE/>
              <w:autoSpaceDN/>
              <w:adjustRightInd/>
              <w:rPr>
                <w:rFonts w:ascii="Arial" w:hAnsi="Arial"/>
                <w:sz w:val="18"/>
                <w:szCs w:val="20"/>
                <w:lang w:val="sv-SE"/>
              </w:rPr>
            </w:pPr>
          </w:p>
        </w:tc>
        <w:tc>
          <w:tcPr>
            <w:tcW w:w="4310" w:type="dxa"/>
            <w:gridSpan w:val="2"/>
            <w:vMerge/>
            <w:vAlign w:val="center"/>
          </w:tcPr>
          <w:p w14:paraId="32BA686A" w14:textId="77777777" w:rsidR="0043258F" w:rsidRPr="0043258F" w:rsidRDefault="0043258F" w:rsidP="0043258F">
            <w:pPr>
              <w:widowControl/>
              <w:autoSpaceDE/>
              <w:autoSpaceDN/>
              <w:adjustRightInd/>
              <w:rPr>
                <w:rFonts w:ascii="Arial" w:hAnsi="Arial"/>
                <w:sz w:val="18"/>
                <w:szCs w:val="20"/>
                <w:lang w:val="sv-SE"/>
              </w:rPr>
            </w:pPr>
          </w:p>
        </w:tc>
      </w:tr>
      <w:tr w:rsidR="0043258F" w:rsidRPr="0043258F" w14:paraId="1827A7C0" w14:textId="77777777" w:rsidTr="00066C96">
        <w:trPr>
          <w:cantSplit/>
          <w:trHeight w:val="238"/>
        </w:trPr>
        <w:tc>
          <w:tcPr>
            <w:tcW w:w="863" w:type="dxa"/>
          </w:tcPr>
          <w:p w14:paraId="41ECAF25" w14:textId="77777777" w:rsidR="0043258F" w:rsidRPr="0043258F" w:rsidRDefault="0043258F" w:rsidP="0043258F">
            <w:pPr>
              <w:widowControl/>
              <w:autoSpaceDE/>
              <w:autoSpaceDN/>
              <w:adjustRightInd/>
              <w:rPr>
                <w:rFonts w:ascii="Arial" w:hAnsi="Arial"/>
                <w:sz w:val="18"/>
                <w:szCs w:val="20"/>
                <w:lang w:val="sv-SE"/>
              </w:rPr>
            </w:pPr>
          </w:p>
        </w:tc>
        <w:tc>
          <w:tcPr>
            <w:tcW w:w="4465" w:type="dxa"/>
            <w:vMerge/>
            <w:vAlign w:val="center"/>
          </w:tcPr>
          <w:p w14:paraId="3007F3F0" w14:textId="77777777" w:rsidR="0043258F" w:rsidRPr="0043258F" w:rsidRDefault="0043258F" w:rsidP="0043258F">
            <w:pPr>
              <w:widowControl/>
              <w:autoSpaceDE/>
              <w:autoSpaceDN/>
              <w:adjustRightInd/>
              <w:rPr>
                <w:rFonts w:ascii="Arial" w:hAnsi="Arial"/>
                <w:sz w:val="18"/>
                <w:szCs w:val="20"/>
                <w:lang w:val="sv-SE"/>
              </w:rPr>
            </w:pPr>
          </w:p>
        </w:tc>
        <w:tc>
          <w:tcPr>
            <w:tcW w:w="4310" w:type="dxa"/>
            <w:gridSpan w:val="2"/>
            <w:vMerge/>
            <w:vAlign w:val="center"/>
          </w:tcPr>
          <w:p w14:paraId="3C25FB54" w14:textId="77777777" w:rsidR="0043258F" w:rsidRPr="0043258F" w:rsidRDefault="0043258F" w:rsidP="0043258F">
            <w:pPr>
              <w:widowControl/>
              <w:autoSpaceDE/>
              <w:autoSpaceDN/>
              <w:adjustRightInd/>
              <w:rPr>
                <w:rFonts w:ascii="Arial" w:hAnsi="Arial"/>
                <w:sz w:val="18"/>
                <w:szCs w:val="20"/>
                <w:lang w:val="sv-SE"/>
              </w:rPr>
            </w:pPr>
          </w:p>
        </w:tc>
      </w:tr>
      <w:tr w:rsidR="0043258F" w:rsidRPr="0043258F" w14:paraId="51093E51" w14:textId="77777777" w:rsidTr="00066C96">
        <w:trPr>
          <w:cantSplit/>
          <w:trHeight w:val="238"/>
        </w:trPr>
        <w:tc>
          <w:tcPr>
            <w:tcW w:w="863" w:type="dxa"/>
          </w:tcPr>
          <w:p w14:paraId="445B293F" w14:textId="77777777" w:rsidR="0043258F" w:rsidRPr="0043258F" w:rsidRDefault="0043258F" w:rsidP="0043258F">
            <w:pPr>
              <w:widowControl/>
              <w:autoSpaceDE/>
              <w:autoSpaceDN/>
              <w:adjustRightInd/>
              <w:rPr>
                <w:rFonts w:ascii="Arial" w:hAnsi="Arial"/>
                <w:sz w:val="18"/>
                <w:szCs w:val="20"/>
                <w:lang w:val="sv-SE"/>
              </w:rPr>
            </w:pPr>
          </w:p>
        </w:tc>
        <w:tc>
          <w:tcPr>
            <w:tcW w:w="4465" w:type="dxa"/>
            <w:vMerge/>
            <w:vAlign w:val="center"/>
          </w:tcPr>
          <w:p w14:paraId="784A2E13" w14:textId="77777777" w:rsidR="0043258F" w:rsidRPr="0043258F" w:rsidRDefault="0043258F" w:rsidP="0043258F">
            <w:pPr>
              <w:widowControl/>
              <w:autoSpaceDE/>
              <w:autoSpaceDN/>
              <w:adjustRightInd/>
              <w:rPr>
                <w:rFonts w:ascii="Arial" w:hAnsi="Arial"/>
                <w:sz w:val="18"/>
                <w:szCs w:val="20"/>
                <w:lang w:val="sv-SE"/>
              </w:rPr>
            </w:pPr>
          </w:p>
        </w:tc>
        <w:tc>
          <w:tcPr>
            <w:tcW w:w="4310" w:type="dxa"/>
            <w:gridSpan w:val="2"/>
            <w:vMerge/>
            <w:vAlign w:val="center"/>
          </w:tcPr>
          <w:p w14:paraId="50D68716" w14:textId="77777777" w:rsidR="0043258F" w:rsidRPr="0043258F" w:rsidRDefault="0043258F" w:rsidP="0043258F">
            <w:pPr>
              <w:widowControl/>
              <w:autoSpaceDE/>
              <w:autoSpaceDN/>
              <w:adjustRightInd/>
              <w:rPr>
                <w:rFonts w:ascii="Arial" w:hAnsi="Arial"/>
                <w:sz w:val="18"/>
                <w:szCs w:val="20"/>
                <w:lang w:val="sv-SE"/>
              </w:rPr>
            </w:pPr>
          </w:p>
        </w:tc>
      </w:tr>
      <w:tr w:rsidR="0043258F" w:rsidRPr="0043258F" w14:paraId="21B24E04" w14:textId="77777777" w:rsidTr="00066C96">
        <w:trPr>
          <w:cantSplit/>
          <w:trHeight w:val="238"/>
        </w:trPr>
        <w:tc>
          <w:tcPr>
            <w:tcW w:w="863" w:type="dxa"/>
          </w:tcPr>
          <w:p w14:paraId="6AA895C5" w14:textId="77777777" w:rsidR="0043258F" w:rsidRPr="0043258F" w:rsidRDefault="0043258F" w:rsidP="0043258F">
            <w:pPr>
              <w:widowControl/>
              <w:autoSpaceDE/>
              <w:autoSpaceDN/>
              <w:adjustRightInd/>
              <w:rPr>
                <w:rFonts w:ascii="Arial" w:hAnsi="Arial"/>
                <w:sz w:val="18"/>
                <w:szCs w:val="20"/>
                <w:lang w:val="sv-SE"/>
              </w:rPr>
            </w:pPr>
          </w:p>
        </w:tc>
        <w:tc>
          <w:tcPr>
            <w:tcW w:w="4465" w:type="dxa"/>
            <w:vMerge/>
            <w:vAlign w:val="center"/>
          </w:tcPr>
          <w:p w14:paraId="6086996E" w14:textId="77777777" w:rsidR="0043258F" w:rsidRPr="0043258F" w:rsidRDefault="0043258F" w:rsidP="0043258F">
            <w:pPr>
              <w:widowControl/>
              <w:autoSpaceDE/>
              <w:autoSpaceDN/>
              <w:adjustRightInd/>
              <w:rPr>
                <w:rFonts w:ascii="Arial" w:hAnsi="Arial"/>
                <w:sz w:val="18"/>
                <w:szCs w:val="20"/>
                <w:lang w:val="sv-SE"/>
              </w:rPr>
            </w:pPr>
          </w:p>
        </w:tc>
        <w:tc>
          <w:tcPr>
            <w:tcW w:w="4310" w:type="dxa"/>
            <w:gridSpan w:val="2"/>
            <w:vMerge/>
            <w:vAlign w:val="center"/>
          </w:tcPr>
          <w:p w14:paraId="26B8FC43" w14:textId="77777777" w:rsidR="0043258F" w:rsidRPr="0043258F" w:rsidRDefault="0043258F" w:rsidP="0043258F">
            <w:pPr>
              <w:widowControl/>
              <w:autoSpaceDE/>
              <w:autoSpaceDN/>
              <w:adjustRightInd/>
              <w:rPr>
                <w:rFonts w:ascii="Arial" w:hAnsi="Arial"/>
                <w:sz w:val="18"/>
                <w:szCs w:val="20"/>
                <w:lang w:val="sv-SE"/>
              </w:rPr>
            </w:pPr>
          </w:p>
        </w:tc>
      </w:tr>
    </w:tbl>
    <w:p w14:paraId="32A5F8DA" w14:textId="77777777" w:rsidR="0043258F" w:rsidRPr="0043258F" w:rsidRDefault="0043258F" w:rsidP="0043258F">
      <w:pPr>
        <w:widowControl/>
        <w:suppressAutoHyphens/>
        <w:autoSpaceDE/>
        <w:autoSpaceDN/>
        <w:adjustRightInd/>
        <w:rPr>
          <w:rFonts w:ascii="Arial" w:hAnsi="Arial"/>
          <w:bCs/>
          <w:sz w:val="22"/>
          <w:szCs w:val="20"/>
          <w:lang w:val="sv-SE"/>
        </w:rPr>
      </w:pPr>
      <w:r w:rsidRPr="0043258F">
        <w:rPr>
          <w:rFonts w:ascii="Arial" w:hAnsi="Arial"/>
          <w:bCs/>
          <w:sz w:val="22"/>
          <w:szCs w:val="20"/>
          <w:lang w:val="sv-SE"/>
        </w:rPr>
        <w:t>Landskapsregeringens yttrande</w:t>
      </w:r>
    </w:p>
    <w:p w14:paraId="2448800A" w14:textId="77777777" w:rsidR="0043258F" w:rsidRPr="0043258F" w:rsidRDefault="0043258F" w:rsidP="0043258F">
      <w:pPr>
        <w:widowControl/>
        <w:suppressAutoHyphens/>
        <w:autoSpaceDE/>
        <w:autoSpaceDN/>
        <w:adjustRightInd/>
        <w:rPr>
          <w:rFonts w:ascii="Arial" w:hAnsi="Arial" w:cs="Arial"/>
          <w:b/>
          <w:bCs/>
          <w:sz w:val="26"/>
          <w:szCs w:val="20"/>
          <w:lang w:val="sv-SE"/>
        </w:rPr>
      </w:pPr>
      <w:r w:rsidRPr="0043258F">
        <w:rPr>
          <w:rFonts w:ascii="Arial" w:hAnsi="Arial" w:cs="Arial"/>
          <w:b/>
          <w:bCs/>
          <w:sz w:val="26"/>
          <w:szCs w:val="20"/>
          <w:lang w:val="sv-SE"/>
        </w:rPr>
        <w:t>över republikens presidents framställning till Ålands lagting om det andra tilläggsprotokollet till Världspostkonventionen</w:t>
      </w:r>
    </w:p>
    <w:p w14:paraId="0C64C5FE" w14:textId="77777777" w:rsidR="0043258F" w:rsidRPr="0043258F" w:rsidRDefault="0043258F" w:rsidP="0043258F">
      <w:pPr>
        <w:widowControl/>
        <w:tabs>
          <w:tab w:val="num" w:pos="283"/>
        </w:tabs>
        <w:suppressAutoHyphens/>
        <w:autoSpaceDE/>
        <w:autoSpaceDN/>
        <w:adjustRightInd/>
        <w:ind w:left="283" w:hanging="283"/>
        <w:rPr>
          <w:rFonts w:ascii="Verdana" w:hAnsi="Verdana" w:cs="Arial"/>
          <w:sz w:val="16"/>
          <w:szCs w:val="20"/>
          <w:lang w:val="sv-SE"/>
        </w:rPr>
      </w:pPr>
      <w:r w:rsidRPr="0043258F">
        <w:rPr>
          <w:rFonts w:ascii="Verdana" w:hAnsi="Verdana" w:cs="Arial"/>
          <w:sz w:val="16"/>
          <w:szCs w:val="20"/>
          <w:lang w:val="sv-SE"/>
        </w:rPr>
        <w:t>Republikens presidents framställning nr 15/</w:t>
      </w:r>
      <w:proofErr w:type="gramStart"/>
      <w:r w:rsidRPr="0043258F">
        <w:rPr>
          <w:rFonts w:ascii="Verdana" w:hAnsi="Verdana" w:cs="Arial"/>
          <w:sz w:val="16"/>
          <w:szCs w:val="20"/>
          <w:lang w:val="sv-SE"/>
        </w:rPr>
        <w:t>2019-2020</w:t>
      </w:r>
      <w:proofErr w:type="gramEnd"/>
    </w:p>
    <w:p w14:paraId="110C6A42" w14:textId="77777777" w:rsidR="0043258F" w:rsidRPr="0043258F" w:rsidRDefault="0043258F" w:rsidP="0043258F">
      <w:pPr>
        <w:keepNext/>
        <w:keepLines/>
        <w:widowControl/>
        <w:suppressAutoHyphens/>
        <w:autoSpaceDE/>
        <w:autoSpaceDN/>
        <w:adjustRightInd/>
        <w:outlineLvl w:val="0"/>
        <w:rPr>
          <w:sz w:val="30"/>
          <w:szCs w:val="20"/>
          <w:lang w:val="sv-SE"/>
        </w:rPr>
      </w:pPr>
    </w:p>
    <w:p w14:paraId="2455164F" w14:textId="77777777" w:rsidR="0043258F" w:rsidRPr="0043258F" w:rsidRDefault="0043258F" w:rsidP="0043258F">
      <w:pPr>
        <w:keepNext/>
        <w:widowControl/>
        <w:tabs>
          <w:tab w:val="left" w:pos="283"/>
          <w:tab w:val="left" w:pos="851"/>
        </w:tabs>
        <w:autoSpaceDE/>
        <w:autoSpaceDN/>
        <w:adjustRightInd/>
        <w:jc w:val="both"/>
        <w:rPr>
          <w:sz w:val="10"/>
          <w:szCs w:val="20"/>
          <w:lang w:val="sv-SE"/>
        </w:rPr>
      </w:pPr>
    </w:p>
    <w:p w14:paraId="6F458E3E" w14:textId="77777777" w:rsidR="0043258F" w:rsidRPr="0043258F" w:rsidRDefault="0043258F" w:rsidP="0043258F">
      <w:pPr>
        <w:widowControl/>
        <w:tabs>
          <w:tab w:val="left" w:pos="283"/>
          <w:tab w:val="left" w:pos="851"/>
        </w:tabs>
        <w:autoSpaceDE/>
        <w:autoSpaceDN/>
        <w:adjustRightInd/>
        <w:jc w:val="both"/>
        <w:rPr>
          <w:sz w:val="22"/>
          <w:szCs w:val="20"/>
          <w:lang w:val="sv-SE"/>
        </w:rPr>
      </w:pPr>
      <w:r w:rsidRPr="0043258F">
        <w:rPr>
          <w:sz w:val="22"/>
          <w:szCs w:val="20"/>
          <w:lang w:val="sv-SE"/>
        </w:rPr>
        <w:t xml:space="preserve">Ålands lagting har den 20 oktober 2020 begärt ett yttrande från Ålands landskapsregering över republikens presidents framställning till Ålands lagting om det andra tilläggsprotokollet till Världspostkonventionen. Landskapsregeringen har inte tidigare lämnat något utlåtande i ärendet. </w:t>
      </w:r>
    </w:p>
    <w:p w14:paraId="5A6ECD8B" w14:textId="77777777" w:rsidR="0043258F" w:rsidRPr="0043258F" w:rsidRDefault="0043258F" w:rsidP="0043258F">
      <w:pPr>
        <w:widowControl/>
        <w:tabs>
          <w:tab w:val="left" w:pos="283"/>
          <w:tab w:val="left" w:pos="851"/>
        </w:tabs>
        <w:autoSpaceDE/>
        <w:autoSpaceDN/>
        <w:adjustRightInd/>
        <w:jc w:val="both"/>
        <w:rPr>
          <w:sz w:val="22"/>
          <w:szCs w:val="20"/>
          <w:lang w:val="sv-SE"/>
        </w:rPr>
      </w:pPr>
    </w:p>
    <w:p w14:paraId="67D0326C" w14:textId="77777777" w:rsidR="0043258F" w:rsidRPr="0043258F" w:rsidRDefault="0043258F" w:rsidP="0043258F">
      <w:pPr>
        <w:widowControl/>
        <w:tabs>
          <w:tab w:val="left" w:pos="283"/>
          <w:tab w:val="left" w:pos="851"/>
        </w:tabs>
        <w:autoSpaceDE/>
        <w:autoSpaceDN/>
        <w:adjustRightInd/>
        <w:jc w:val="both"/>
        <w:rPr>
          <w:sz w:val="22"/>
          <w:szCs w:val="20"/>
          <w:lang w:val="sv-SE"/>
        </w:rPr>
      </w:pPr>
      <w:r w:rsidRPr="0043258F">
        <w:rPr>
          <w:sz w:val="22"/>
          <w:szCs w:val="20"/>
          <w:lang w:val="sv-SE"/>
        </w:rPr>
        <w:tab/>
        <w:t xml:space="preserve">Landskapsregeringen konstaterar att avtalet innehåller bestämmelser inom landskapets lagstiftningsbehörighet med stöd av 18 § 20 punkten i självstyrelselagen för Åland, varför lagtingets bifall erfordras för att avtalet till dessa delar ska träda i kraft i landskapet. </w:t>
      </w:r>
    </w:p>
    <w:p w14:paraId="392B4CC6" w14:textId="77777777" w:rsidR="0043258F" w:rsidRPr="0043258F" w:rsidRDefault="0043258F" w:rsidP="0043258F">
      <w:pPr>
        <w:widowControl/>
        <w:tabs>
          <w:tab w:val="left" w:pos="283"/>
          <w:tab w:val="left" w:pos="851"/>
        </w:tabs>
        <w:autoSpaceDE/>
        <w:autoSpaceDN/>
        <w:adjustRightInd/>
        <w:jc w:val="both"/>
        <w:rPr>
          <w:sz w:val="22"/>
          <w:szCs w:val="20"/>
          <w:lang w:val="sv-SE"/>
        </w:rPr>
      </w:pPr>
    </w:p>
    <w:p w14:paraId="4D2D2537" w14:textId="77777777" w:rsidR="0043258F" w:rsidRPr="0043258F" w:rsidRDefault="0043258F" w:rsidP="0043258F">
      <w:pPr>
        <w:widowControl/>
        <w:tabs>
          <w:tab w:val="left" w:pos="283"/>
          <w:tab w:val="left" w:pos="851"/>
        </w:tabs>
        <w:autoSpaceDE/>
        <w:autoSpaceDN/>
        <w:adjustRightInd/>
        <w:jc w:val="both"/>
        <w:rPr>
          <w:sz w:val="22"/>
          <w:szCs w:val="20"/>
          <w:lang w:val="sv-SE"/>
        </w:rPr>
      </w:pPr>
      <w:r w:rsidRPr="0043258F">
        <w:rPr>
          <w:sz w:val="22"/>
          <w:szCs w:val="20"/>
          <w:lang w:val="sv-SE"/>
        </w:rPr>
        <w:tab/>
        <w:t xml:space="preserve">Finland, inklusive Åland anslöt sig till Världspostföreningen den 12 februari 1918. Föreningens högst beslutande organ är kongressen, som består av representanter för föreningens medlemsländer och som sammanträder med fyra års mellanrum. Kongressen godkänner de nya ändringarna i föreningens avtal. Världspostkonventionen är till sin karaktär ett så kallat blandavtal, där bestämmelserna som ingår dels hör till medlemsstaternas, dels till EU:s behörighet.  Syftet med konventionen är att den internationella posttrafiken ska fungera bättre och bli effektivare samt att samarbetet mellan aktörerna inom branschen förbättras. </w:t>
      </w:r>
    </w:p>
    <w:p w14:paraId="57F98E4A" w14:textId="77777777" w:rsidR="0043258F" w:rsidRPr="0043258F" w:rsidRDefault="0043258F" w:rsidP="0043258F">
      <w:pPr>
        <w:widowControl/>
        <w:tabs>
          <w:tab w:val="left" w:pos="283"/>
          <w:tab w:val="left" w:pos="851"/>
        </w:tabs>
        <w:autoSpaceDE/>
        <w:autoSpaceDN/>
        <w:adjustRightInd/>
        <w:jc w:val="both"/>
        <w:rPr>
          <w:sz w:val="22"/>
          <w:szCs w:val="20"/>
          <w:lang w:val="sv-SE"/>
        </w:rPr>
      </w:pPr>
    </w:p>
    <w:p w14:paraId="1BD48886" w14:textId="77777777" w:rsidR="0043258F" w:rsidRPr="0043258F" w:rsidRDefault="0043258F" w:rsidP="0043258F">
      <w:pPr>
        <w:widowControl/>
        <w:tabs>
          <w:tab w:val="left" w:pos="283"/>
          <w:tab w:val="left" w:pos="851"/>
        </w:tabs>
        <w:autoSpaceDE/>
        <w:autoSpaceDN/>
        <w:adjustRightInd/>
        <w:jc w:val="both"/>
        <w:rPr>
          <w:sz w:val="22"/>
          <w:szCs w:val="20"/>
          <w:lang w:val="sv-SE"/>
        </w:rPr>
      </w:pPr>
      <w:r w:rsidRPr="0043258F">
        <w:rPr>
          <w:sz w:val="22"/>
          <w:szCs w:val="20"/>
          <w:lang w:val="sv-SE"/>
        </w:rPr>
        <w:tab/>
        <w:t xml:space="preserve">Vid den extraordinära kongressen i Genève hösten 2019 förhandlades det fram en ändring i konventionen enligt vilken medlemsländernas operatörer från och med år 2021 själva får fastställa terminalavgifterna för stora brev och för brev som innehåller varor. Med sådana brev avses försändelser som innehåller dokument och brev som får väga högst två kilogram. Med terminalavgifter avses den ersättning som det avsändande landets utsedda operatör är skyldig destinationslandets utsedda operatör för de kostnader som mottagandet av brevförsändelser ger upphov till i destinationslandet. </w:t>
      </w:r>
    </w:p>
    <w:p w14:paraId="438635C6" w14:textId="77777777" w:rsidR="0043258F" w:rsidRPr="0043258F" w:rsidRDefault="0043258F" w:rsidP="0043258F">
      <w:pPr>
        <w:widowControl/>
        <w:tabs>
          <w:tab w:val="left" w:pos="283"/>
          <w:tab w:val="left" w:pos="851"/>
        </w:tabs>
        <w:autoSpaceDE/>
        <w:autoSpaceDN/>
        <w:adjustRightInd/>
        <w:jc w:val="both"/>
        <w:rPr>
          <w:sz w:val="22"/>
          <w:szCs w:val="20"/>
          <w:lang w:val="sv-SE"/>
        </w:rPr>
      </w:pPr>
    </w:p>
    <w:p w14:paraId="0EC9D682" w14:textId="77777777" w:rsidR="0043258F" w:rsidRPr="0043258F" w:rsidRDefault="0043258F" w:rsidP="0043258F">
      <w:pPr>
        <w:widowControl/>
        <w:tabs>
          <w:tab w:val="left" w:pos="283"/>
          <w:tab w:val="left" w:pos="851"/>
        </w:tabs>
        <w:autoSpaceDE/>
        <w:autoSpaceDN/>
        <w:adjustRightInd/>
        <w:jc w:val="both"/>
        <w:rPr>
          <w:sz w:val="22"/>
          <w:szCs w:val="20"/>
          <w:lang w:val="sv-SE"/>
        </w:rPr>
      </w:pPr>
      <w:r w:rsidRPr="0043258F">
        <w:rPr>
          <w:sz w:val="22"/>
          <w:szCs w:val="20"/>
          <w:lang w:val="sv-SE"/>
        </w:rPr>
        <w:tab/>
        <w:t xml:space="preserve">De förhandlingar som har resulterat i de tillägg till Världspostkonventionen som nu är föremål för begäran om yttrande har avslutats. Landskapsregeringen har inte underrättats om förhandlingarna enligt 58 § 2 mom. självstyrelselagen. Däremot har Åland Post Ab deltagit i förarbetet av förslaget tillsammans med Kommunikationsministeriet och </w:t>
      </w:r>
      <w:proofErr w:type="spellStart"/>
      <w:r w:rsidRPr="0043258F">
        <w:rPr>
          <w:sz w:val="22"/>
          <w:szCs w:val="20"/>
          <w:lang w:val="sv-SE"/>
        </w:rPr>
        <w:t>Posti</w:t>
      </w:r>
      <w:proofErr w:type="spellEnd"/>
      <w:r w:rsidRPr="0043258F">
        <w:rPr>
          <w:sz w:val="22"/>
          <w:szCs w:val="20"/>
          <w:lang w:val="sv-SE"/>
        </w:rPr>
        <w:t xml:space="preserve"> Group </w:t>
      </w:r>
      <w:proofErr w:type="spellStart"/>
      <w:r w:rsidRPr="0043258F">
        <w:rPr>
          <w:sz w:val="22"/>
          <w:szCs w:val="20"/>
          <w:lang w:val="sv-SE"/>
        </w:rPr>
        <w:t>Abp</w:t>
      </w:r>
      <w:proofErr w:type="spellEnd"/>
      <w:r w:rsidRPr="0043258F">
        <w:rPr>
          <w:sz w:val="22"/>
          <w:szCs w:val="20"/>
          <w:lang w:val="sv-SE"/>
        </w:rPr>
        <w:t xml:space="preserve">. Åland Post Ab deltog även vid den extraordinära kongressen i Genève och känner därför väl till innehållet i fördragsändringarna. Till landskapsregeringen har Åland Post Ab framfört att ändringarna kommer innebära en större kostnad för export för bolaget men även en möjlighet till bättre ersättning för distributionen på Åland. </w:t>
      </w:r>
    </w:p>
    <w:p w14:paraId="7036EA14" w14:textId="77777777" w:rsidR="0043258F" w:rsidRPr="0043258F" w:rsidRDefault="0043258F" w:rsidP="0043258F">
      <w:pPr>
        <w:widowControl/>
        <w:tabs>
          <w:tab w:val="left" w:pos="283"/>
          <w:tab w:val="left" w:pos="851"/>
        </w:tabs>
        <w:autoSpaceDE/>
        <w:autoSpaceDN/>
        <w:adjustRightInd/>
        <w:jc w:val="both"/>
        <w:rPr>
          <w:sz w:val="22"/>
          <w:szCs w:val="20"/>
          <w:lang w:val="sv-SE"/>
        </w:rPr>
      </w:pPr>
    </w:p>
    <w:p w14:paraId="05BEEB98" w14:textId="77777777" w:rsidR="0043258F" w:rsidRPr="0043258F" w:rsidRDefault="0043258F" w:rsidP="0043258F">
      <w:pPr>
        <w:widowControl/>
        <w:tabs>
          <w:tab w:val="left" w:pos="283"/>
          <w:tab w:val="left" w:pos="851"/>
        </w:tabs>
        <w:autoSpaceDE/>
        <w:autoSpaceDN/>
        <w:adjustRightInd/>
        <w:jc w:val="both"/>
        <w:rPr>
          <w:sz w:val="22"/>
          <w:szCs w:val="20"/>
          <w:lang w:val="sv-SE"/>
        </w:rPr>
      </w:pPr>
      <w:r w:rsidRPr="0043258F">
        <w:rPr>
          <w:sz w:val="22"/>
          <w:szCs w:val="20"/>
          <w:lang w:val="sv-SE"/>
        </w:rPr>
        <w:tab/>
        <w:t xml:space="preserve">Landskapsregeringen konstaterar avslutningsvis att avtalet inte innehåller bestämmelser som står i strid med självstyrelselagen. I rikets postlag (415/2011) har uttryckligen stadgats att bestämmelserna i postlagen inte tillämpas på internationell postbefordran till den del något internationellt fördrag som är bindande för Finland omfattar bestämmelser om internationell trafik. Motsvarande bestämmelse saknas i landskapslagstiftningen. Detta innebär att landskapslagen om posttjänster måste ändras om konflikt med Världspostkonventionen skulle uppstå. De nu aktuella ändringarna av Världspostkonventionen föranleder inte några ändringar av landskapslagen (2007:60) om posttjänster. Landskapsregeringen ser inga hinder för att lagtinget ger sitt bifall till det nu aktuella andra tilläggsprotokollet till Världspostkonventionen, snarare är ett bifall en förutsättning för en fungerande internationell posttrafik till och från Åland. </w:t>
      </w:r>
    </w:p>
    <w:p w14:paraId="0860D01B" w14:textId="77777777" w:rsidR="0043258F" w:rsidRPr="0043258F" w:rsidRDefault="0043258F" w:rsidP="0043258F">
      <w:pPr>
        <w:widowControl/>
        <w:tabs>
          <w:tab w:val="left" w:pos="283"/>
          <w:tab w:val="left" w:pos="851"/>
        </w:tabs>
        <w:autoSpaceDE/>
        <w:autoSpaceDN/>
        <w:adjustRightInd/>
        <w:jc w:val="both"/>
        <w:rPr>
          <w:sz w:val="22"/>
          <w:szCs w:val="20"/>
          <w:lang w:val="sv-SE"/>
        </w:rPr>
      </w:pPr>
    </w:p>
    <w:p w14:paraId="051C63E5" w14:textId="77777777" w:rsidR="0043258F" w:rsidRPr="0043258F" w:rsidRDefault="0043258F" w:rsidP="0043258F">
      <w:pPr>
        <w:widowControl/>
        <w:tabs>
          <w:tab w:val="left" w:pos="283"/>
          <w:tab w:val="left" w:pos="851"/>
        </w:tabs>
        <w:autoSpaceDE/>
        <w:autoSpaceDN/>
        <w:adjustRightInd/>
        <w:jc w:val="both"/>
        <w:rPr>
          <w:sz w:val="22"/>
          <w:szCs w:val="20"/>
          <w:lang w:val="sv-SE"/>
        </w:rPr>
      </w:pPr>
    </w:p>
    <w:p w14:paraId="2D30F1A1" w14:textId="77777777" w:rsidR="0043258F" w:rsidRPr="0043258F" w:rsidRDefault="0043258F" w:rsidP="0043258F">
      <w:pPr>
        <w:widowControl/>
        <w:tabs>
          <w:tab w:val="left" w:pos="283"/>
          <w:tab w:val="left" w:pos="851"/>
        </w:tabs>
        <w:autoSpaceDE/>
        <w:autoSpaceDN/>
        <w:adjustRightInd/>
        <w:jc w:val="both"/>
        <w:rPr>
          <w:sz w:val="22"/>
          <w:szCs w:val="20"/>
          <w:lang w:val="sv-SE"/>
        </w:rPr>
      </w:pPr>
    </w:p>
    <w:tbl>
      <w:tblPr>
        <w:tblW w:w="7931" w:type="dxa"/>
        <w:tblCellMar>
          <w:left w:w="0" w:type="dxa"/>
          <w:right w:w="0" w:type="dxa"/>
        </w:tblCellMar>
        <w:tblLook w:val="0000" w:firstRow="0" w:lastRow="0" w:firstColumn="0" w:lastColumn="0" w:noHBand="0" w:noVBand="0"/>
      </w:tblPr>
      <w:tblGrid>
        <w:gridCol w:w="4454"/>
        <w:gridCol w:w="3477"/>
      </w:tblGrid>
      <w:tr w:rsidR="0043258F" w:rsidRPr="0043258F" w14:paraId="1542D6DC" w14:textId="77777777" w:rsidTr="00997357">
        <w:trPr>
          <w:cantSplit/>
        </w:trPr>
        <w:tc>
          <w:tcPr>
            <w:tcW w:w="7931" w:type="dxa"/>
            <w:gridSpan w:val="2"/>
          </w:tcPr>
          <w:p w14:paraId="49B2721F"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r w:rsidRPr="0043258F">
              <w:rPr>
                <w:sz w:val="22"/>
                <w:szCs w:val="20"/>
                <w:lang w:val="sv-SE"/>
              </w:rPr>
              <w:lastRenderedPageBreak/>
              <w:t>Mariehamn den 30 oktober 2020</w:t>
            </w:r>
          </w:p>
          <w:p w14:paraId="5DD0F7C9"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p>
          <w:p w14:paraId="34BEC2C5"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p>
        </w:tc>
      </w:tr>
      <w:tr w:rsidR="0043258F" w:rsidRPr="0043258F" w14:paraId="33087736" w14:textId="77777777" w:rsidTr="00997357">
        <w:tc>
          <w:tcPr>
            <w:tcW w:w="4454" w:type="dxa"/>
            <w:vAlign w:val="bottom"/>
          </w:tcPr>
          <w:p w14:paraId="403980DA"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p>
          <w:p w14:paraId="7910F73F"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p>
          <w:p w14:paraId="1AEA13BD" w14:textId="72E776CA" w:rsidR="0043258F" w:rsidRPr="0043258F" w:rsidRDefault="0043258F" w:rsidP="0043258F">
            <w:pPr>
              <w:keepNext/>
              <w:widowControl/>
              <w:tabs>
                <w:tab w:val="left" w:pos="283"/>
                <w:tab w:val="left" w:pos="851"/>
              </w:tabs>
              <w:autoSpaceDE/>
              <w:autoSpaceDN/>
              <w:adjustRightInd/>
              <w:jc w:val="both"/>
              <w:rPr>
                <w:sz w:val="22"/>
                <w:szCs w:val="20"/>
                <w:lang w:val="sv-SE"/>
              </w:rPr>
            </w:pPr>
            <w:r w:rsidRPr="0043258F">
              <w:rPr>
                <w:sz w:val="22"/>
                <w:szCs w:val="20"/>
                <w:lang w:val="sv-SE"/>
              </w:rPr>
              <w:t>L</w:t>
            </w:r>
            <w:r w:rsidR="0033269F">
              <w:rPr>
                <w:sz w:val="22"/>
                <w:szCs w:val="20"/>
                <w:lang w:val="sv-SE"/>
              </w:rPr>
              <w:t xml:space="preserve"> </w:t>
            </w:r>
            <w:r w:rsidRPr="0043258F">
              <w:rPr>
                <w:sz w:val="22"/>
                <w:szCs w:val="20"/>
                <w:lang w:val="sv-SE"/>
              </w:rPr>
              <w:t>a</w:t>
            </w:r>
            <w:r w:rsidR="0033269F">
              <w:rPr>
                <w:sz w:val="22"/>
                <w:szCs w:val="20"/>
                <w:lang w:val="sv-SE"/>
              </w:rPr>
              <w:t xml:space="preserve"> </w:t>
            </w:r>
            <w:r w:rsidRPr="0043258F">
              <w:rPr>
                <w:sz w:val="22"/>
                <w:szCs w:val="20"/>
                <w:lang w:val="sv-SE"/>
              </w:rPr>
              <w:t>n</w:t>
            </w:r>
            <w:r w:rsidR="0033269F">
              <w:rPr>
                <w:sz w:val="22"/>
                <w:szCs w:val="20"/>
                <w:lang w:val="sv-SE"/>
              </w:rPr>
              <w:t xml:space="preserve"> </w:t>
            </w:r>
            <w:r w:rsidRPr="0043258F">
              <w:rPr>
                <w:sz w:val="22"/>
                <w:szCs w:val="20"/>
                <w:lang w:val="sv-SE"/>
              </w:rPr>
              <w:t>t</w:t>
            </w:r>
            <w:r w:rsidR="0033269F">
              <w:rPr>
                <w:sz w:val="22"/>
                <w:szCs w:val="20"/>
                <w:lang w:val="sv-SE"/>
              </w:rPr>
              <w:t xml:space="preserve"> </w:t>
            </w:r>
            <w:r w:rsidRPr="0043258F">
              <w:rPr>
                <w:sz w:val="22"/>
                <w:szCs w:val="20"/>
                <w:lang w:val="sv-SE"/>
              </w:rPr>
              <w:t>r</w:t>
            </w:r>
            <w:r w:rsidR="0033269F">
              <w:rPr>
                <w:sz w:val="22"/>
                <w:szCs w:val="20"/>
                <w:lang w:val="sv-SE"/>
              </w:rPr>
              <w:t xml:space="preserve"> </w:t>
            </w:r>
            <w:r w:rsidRPr="0043258F">
              <w:rPr>
                <w:sz w:val="22"/>
                <w:szCs w:val="20"/>
                <w:lang w:val="sv-SE"/>
              </w:rPr>
              <w:t>å</w:t>
            </w:r>
            <w:r w:rsidR="0033269F">
              <w:rPr>
                <w:sz w:val="22"/>
                <w:szCs w:val="20"/>
                <w:lang w:val="sv-SE"/>
              </w:rPr>
              <w:t xml:space="preserve"> </w:t>
            </w:r>
            <w:r w:rsidRPr="0043258F">
              <w:rPr>
                <w:sz w:val="22"/>
                <w:szCs w:val="20"/>
                <w:lang w:val="sv-SE"/>
              </w:rPr>
              <w:t>d</w:t>
            </w:r>
          </w:p>
        </w:tc>
        <w:tc>
          <w:tcPr>
            <w:tcW w:w="3477" w:type="dxa"/>
            <w:vAlign w:val="bottom"/>
          </w:tcPr>
          <w:p w14:paraId="21040A36"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r w:rsidRPr="0043258F">
              <w:rPr>
                <w:sz w:val="22"/>
                <w:szCs w:val="20"/>
                <w:lang w:val="sv-SE"/>
              </w:rPr>
              <w:t xml:space="preserve">Veronica </w:t>
            </w:r>
            <w:proofErr w:type="spellStart"/>
            <w:r w:rsidRPr="0043258F">
              <w:rPr>
                <w:sz w:val="22"/>
                <w:szCs w:val="20"/>
                <w:lang w:val="sv-SE"/>
              </w:rPr>
              <w:t>Thörnroos</w:t>
            </w:r>
            <w:proofErr w:type="spellEnd"/>
          </w:p>
        </w:tc>
      </w:tr>
      <w:tr w:rsidR="0043258F" w:rsidRPr="0043258F" w14:paraId="50B8CF39" w14:textId="77777777" w:rsidTr="00997357">
        <w:tc>
          <w:tcPr>
            <w:tcW w:w="4454" w:type="dxa"/>
            <w:vAlign w:val="bottom"/>
          </w:tcPr>
          <w:p w14:paraId="66D211EE"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p>
          <w:p w14:paraId="2406C3F6"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p>
          <w:p w14:paraId="32986872"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p>
          <w:p w14:paraId="1BEB9A1C"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p>
          <w:p w14:paraId="3883DC98"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p>
          <w:p w14:paraId="35B28471"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proofErr w:type="spellStart"/>
            <w:r w:rsidRPr="0043258F">
              <w:rPr>
                <w:sz w:val="22"/>
                <w:szCs w:val="20"/>
                <w:lang w:val="sv-SE"/>
              </w:rPr>
              <w:t>Vicelantråd</w:t>
            </w:r>
            <w:proofErr w:type="spellEnd"/>
          </w:p>
        </w:tc>
        <w:tc>
          <w:tcPr>
            <w:tcW w:w="3477" w:type="dxa"/>
            <w:vAlign w:val="bottom"/>
          </w:tcPr>
          <w:p w14:paraId="1C8FB8FF" w14:textId="77777777" w:rsidR="0043258F" w:rsidRPr="0043258F" w:rsidRDefault="0043258F" w:rsidP="0043258F">
            <w:pPr>
              <w:keepNext/>
              <w:widowControl/>
              <w:tabs>
                <w:tab w:val="left" w:pos="283"/>
                <w:tab w:val="left" w:pos="851"/>
              </w:tabs>
              <w:autoSpaceDE/>
              <w:autoSpaceDN/>
              <w:adjustRightInd/>
              <w:jc w:val="both"/>
              <w:rPr>
                <w:sz w:val="22"/>
                <w:szCs w:val="20"/>
                <w:lang w:val="sv-SE"/>
              </w:rPr>
            </w:pPr>
            <w:r w:rsidRPr="0043258F">
              <w:rPr>
                <w:sz w:val="22"/>
                <w:szCs w:val="20"/>
                <w:lang w:val="sv-SE"/>
              </w:rPr>
              <w:t>Harry Jansson</w:t>
            </w:r>
          </w:p>
        </w:tc>
      </w:tr>
    </w:tbl>
    <w:p w14:paraId="5CF2AD93" w14:textId="77777777" w:rsidR="0043258F" w:rsidRPr="0043258F" w:rsidRDefault="0043258F" w:rsidP="0043258F">
      <w:pPr>
        <w:widowControl/>
        <w:tabs>
          <w:tab w:val="left" w:pos="283"/>
          <w:tab w:val="left" w:pos="851"/>
        </w:tabs>
        <w:autoSpaceDE/>
        <w:autoSpaceDN/>
        <w:adjustRightInd/>
        <w:jc w:val="both"/>
        <w:rPr>
          <w:sz w:val="22"/>
          <w:szCs w:val="20"/>
          <w:lang w:val="sv-SE"/>
        </w:rPr>
      </w:pPr>
    </w:p>
    <w:p w14:paraId="67B8DB5E" w14:textId="77777777" w:rsidR="00393F7A" w:rsidRPr="00393F7A" w:rsidRDefault="00393F7A" w:rsidP="0043258F"/>
    <w:sectPr w:rsidR="00393F7A" w:rsidRPr="00393F7A">
      <w:headerReference w:type="even" r:id="rId9"/>
      <w:headerReference w:type="default" r:id="rId10"/>
      <w:endnotePr>
        <w:numFmt w:val="decimal"/>
      </w:endnotePr>
      <w:pgSz w:w="11906" w:h="16838"/>
      <w:pgMar w:top="567" w:right="1134" w:bottom="567" w:left="1134" w:header="363" w:footer="49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6642B" w14:textId="77777777" w:rsidR="000C6B70" w:rsidRDefault="000C6B70">
      <w:r>
        <w:separator/>
      </w:r>
    </w:p>
  </w:endnote>
  <w:endnote w:type="continuationSeparator" w:id="0">
    <w:p w14:paraId="74BFE0E9" w14:textId="77777777" w:rsidR="000C6B70" w:rsidRDefault="000C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91951" w14:textId="77777777" w:rsidR="000C6B70" w:rsidRDefault="000C6B70">
      <w:r>
        <w:separator/>
      </w:r>
    </w:p>
  </w:footnote>
  <w:footnote w:type="continuationSeparator" w:id="0">
    <w:p w14:paraId="33E79593" w14:textId="77777777" w:rsidR="000C6B70" w:rsidRDefault="000C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696" w14:textId="77777777" w:rsidR="000810AA" w:rsidRDefault="000810A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2AF6F7D" w14:textId="77777777" w:rsidR="000810AA" w:rsidRDefault="000810AA">
    <w:pPr>
      <w:pStyle w:val="Sidhuvud"/>
      <w:ind w:right="360"/>
    </w:pPr>
  </w:p>
  <w:p w14:paraId="7F550310" w14:textId="77777777" w:rsidR="000810AA" w:rsidRDefault="000810AA"/>
  <w:p w14:paraId="7B63669C" w14:textId="77777777" w:rsidR="000810AA" w:rsidRDefault="000810AA"/>
  <w:p w14:paraId="1ED65297" w14:textId="77777777" w:rsidR="00E14855" w:rsidRDefault="00E14855"/>
  <w:p w14:paraId="1EEC3289" w14:textId="77777777" w:rsidR="00E14855" w:rsidRDefault="00E148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FBC8" w14:textId="77777777" w:rsidR="000810AA" w:rsidRDefault="000810A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Pr>
        <w:rStyle w:val="Sidnummer"/>
      </w:rPr>
      <w:t>)</w:t>
    </w:r>
  </w:p>
  <w:p w14:paraId="58F6FFEC" w14:textId="77777777" w:rsidR="000810AA" w:rsidRDefault="000810AA">
    <w:pPr>
      <w:pStyle w:val="Sidhuvud"/>
      <w:ind w:right="360"/>
    </w:pPr>
  </w:p>
  <w:p w14:paraId="16C4D987" w14:textId="77777777" w:rsidR="000810AA" w:rsidRDefault="000810AA"/>
  <w:p w14:paraId="18D9CCE3" w14:textId="77777777" w:rsidR="000810AA" w:rsidRDefault="000810AA"/>
  <w:p w14:paraId="1C535E89" w14:textId="77777777" w:rsidR="00E14855" w:rsidRDefault="00E14855"/>
  <w:p w14:paraId="1AF90A25" w14:textId="77777777" w:rsidR="00E14855" w:rsidRDefault="00E148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sv-SE" w:vendorID="0" w:dllVersion="512" w:checkStyle="1"/>
  <w:activeWritingStyle w:appName="MSWord" w:lang="sv-SE" w:vendorID="22" w:dllVersion="513" w:checkStyle="1"/>
  <w:activeWritingStyle w:appName="MSWord" w:lang="sv-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70"/>
    <w:rsid w:val="00066C96"/>
    <w:rsid w:val="00077D2C"/>
    <w:rsid w:val="000810AA"/>
    <w:rsid w:val="000834CB"/>
    <w:rsid w:val="000C6B70"/>
    <w:rsid w:val="0033269F"/>
    <w:rsid w:val="00393F7A"/>
    <w:rsid w:val="0043258F"/>
    <w:rsid w:val="00442160"/>
    <w:rsid w:val="00463C7E"/>
    <w:rsid w:val="004705E0"/>
    <w:rsid w:val="005C6BAA"/>
    <w:rsid w:val="006E2591"/>
    <w:rsid w:val="006E6619"/>
    <w:rsid w:val="00710404"/>
    <w:rsid w:val="007F2F9C"/>
    <w:rsid w:val="007F6138"/>
    <w:rsid w:val="00897131"/>
    <w:rsid w:val="00944F27"/>
    <w:rsid w:val="00966381"/>
    <w:rsid w:val="009700B4"/>
    <w:rsid w:val="009F1369"/>
    <w:rsid w:val="00B104FD"/>
    <w:rsid w:val="00B82BC1"/>
    <w:rsid w:val="00B87F79"/>
    <w:rsid w:val="00BF5352"/>
    <w:rsid w:val="00C45ABE"/>
    <w:rsid w:val="00C75F89"/>
    <w:rsid w:val="00D02C2C"/>
    <w:rsid w:val="00D1570D"/>
    <w:rsid w:val="00E14855"/>
    <w:rsid w:val="00EE407E"/>
    <w:rsid w:val="00F639C3"/>
    <w:rsid w:val="00F81D8D"/>
    <w:rsid w:val="00FF3DC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F765A38"/>
  <w15:chartTrackingRefBased/>
  <w15:docId w15:val="{B222D011-7557-4940-BF00-73D535F8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eastAsia="sv-SE"/>
    </w:rPr>
  </w:style>
  <w:style w:type="paragraph" w:styleId="Rubrik1">
    <w:name w:val="heading 1"/>
    <w:basedOn w:val="Normal"/>
    <w:next w:val="Normal"/>
    <w:qFormat/>
    <w:pPr>
      <w:keepNext/>
      <w:tabs>
        <w:tab w:val="left" w:pos="-341"/>
        <w:tab w:val="left" w:pos="851"/>
        <w:tab w:val="left" w:pos="3969"/>
        <w:tab w:val="left" w:pos="6178"/>
        <w:tab w:val="center" w:pos="8650"/>
      </w:tabs>
      <w:spacing w:line="271" w:lineRule="exact"/>
      <w:outlineLvl w:val="0"/>
    </w:pPr>
    <w:rPr>
      <w:rFonts w:ascii="CG Times" w:hAnsi="CG Times"/>
      <w:u w:val="single"/>
      <w:lang w:val="sv-SE"/>
    </w:rPr>
  </w:style>
  <w:style w:type="paragraph" w:styleId="Rubrik2">
    <w:name w:val="heading 2"/>
    <w:basedOn w:val="Normal"/>
    <w:next w:val="Normal"/>
    <w:qFormat/>
    <w:pPr>
      <w:keepNext/>
      <w:tabs>
        <w:tab w:val="left" w:pos="-341"/>
        <w:tab w:val="left" w:pos="851"/>
        <w:tab w:val="left" w:pos="6178"/>
        <w:tab w:val="center" w:pos="8650"/>
      </w:tabs>
      <w:spacing w:line="271" w:lineRule="exact"/>
      <w:outlineLvl w:val="1"/>
    </w:pPr>
    <w:rPr>
      <w:rFonts w:ascii="CG Times" w:hAnsi="CG Times"/>
      <w:b/>
      <w:bCs/>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style>
  <w:style w:type="paragraph" w:styleId="Brdtextmedindrag">
    <w:name w:val="Body Text Indent"/>
    <w:basedOn w:val="Normal"/>
    <w:pPr>
      <w:tabs>
        <w:tab w:val="left" w:pos="-341"/>
        <w:tab w:val="left" w:pos="851"/>
        <w:tab w:val="left" w:pos="2127"/>
        <w:tab w:val="left" w:pos="3969"/>
        <w:tab w:val="left" w:pos="6178"/>
        <w:tab w:val="center" w:pos="8650"/>
      </w:tabs>
      <w:spacing w:line="271" w:lineRule="exact"/>
      <w:ind w:left="2127"/>
    </w:pPr>
    <w:rPr>
      <w:rFonts w:ascii="CG Times" w:hAnsi="CG Times"/>
      <w:lang w:val="sv-SE"/>
    </w:rPr>
  </w:style>
  <w:style w:type="paragraph" w:styleId="Brdtextmedindrag2">
    <w:name w:val="Body Text Indent 2"/>
    <w:basedOn w:val="Normal"/>
    <w:pPr>
      <w:tabs>
        <w:tab w:val="left" w:pos="-341"/>
        <w:tab w:val="left" w:pos="851"/>
        <w:tab w:val="left" w:pos="2127"/>
        <w:tab w:val="left" w:pos="3969"/>
        <w:tab w:val="left" w:pos="6178"/>
        <w:tab w:val="center" w:pos="8650"/>
        <w:tab w:val="left" w:pos="9356"/>
      </w:tabs>
      <w:spacing w:line="271" w:lineRule="exact"/>
      <w:ind w:left="2127" w:hanging="1276"/>
    </w:pPr>
    <w:rPr>
      <w:rFonts w:ascii="CG Times" w:hAnsi="CG Times"/>
      <w:lang w:val="sv-SE"/>
    </w:rPr>
  </w:style>
  <w:style w:type="paragraph" w:styleId="Brdtextmedindrag3">
    <w:name w:val="Body Text Indent 3"/>
    <w:basedOn w:val="Normal"/>
    <w:pPr>
      <w:tabs>
        <w:tab w:val="left" w:pos="1134"/>
        <w:tab w:val="left" w:pos="2127"/>
        <w:tab w:val="left" w:pos="5387"/>
        <w:tab w:val="left" w:pos="7371"/>
        <w:tab w:val="left" w:pos="8222"/>
      </w:tabs>
      <w:ind w:left="2268"/>
    </w:pPr>
    <w:rPr>
      <w:rFonts w:ascii="CG Times" w:hAnsi="CG Times"/>
      <w:lang w:val="sv-FI"/>
    </w:rPr>
  </w:style>
  <w:style w:type="paragraph" w:styleId="Sidhuvud">
    <w:name w:val="header"/>
    <w:basedOn w:val="Normal"/>
    <w:pPr>
      <w:tabs>
        <w:tab w:val="center" w:pos="4536"/>
        <w:tab w:val="right" w:pos="9072"/>
      </w:tabs>
    </w:pPr>
  </w:style>
  <w:style w:type="paragraph" w:customStyle="1" w:styleId="Vnster">
    <w:name w:val="Vänster"/>
    <w:basedOn w:val="Normal"/>
    <w:pPr>
      <w:ind w:right="3969"/>
    </w:pPr>
    <w:rPr>
      <w:lang w:val="sv-SE"/>
    </w:rPr>
  </w:style>
  <w:style w:type="paragraph" w:customStyle="1" w:styleId="Hger">
    <w:name w:val="Höger"/>
    <w:basedOn w:val="Normal"/>
    <w:pPr>
      <w:spacing w:line="240" w:lineRule="atLeast"/>
      <w:ind w:left="2552"/>
    </w:pPr>
    <w:rPr>
      <w:lang w:val="sv-SE"/>
    </w:rPr>
  </w:style>
  <w:style w:type="character" w:styleId="Sidnummer">
    <w:name w:val="page number"/>
    <w:basedOn w:val="Standardstycketeckensnitt"/>
  </w:style>
  <w:style w:type="paragraph" w:styleId="Sidfot">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7883">
      <w:bodyDiv w:val="1"/>
      <w:marLeft w:val="0"/>
      <w:marRight w:val="0"/>
      <w:marTop w:val="0"/>
      <w:marBottom w:val="0"/>
      <w:divBdr>
        <w:top w:val="none" w:sz="0" w:space="0" w:color="auto"/>
        <w:left w:val="none" w:sz="0" w:space="0" w:color="auto"/>
        <w:bottom w:val="none" w:sz="0" w:space="0" w:color="auto"/>
        <w:right w:val="none" w:sz="0" w:space="0" w:color="auto"/>
      </w:divBdr>
    </w:div>
    <w:div w:id="169682622">
      <w:bodyDiv w:val="1"/>
      <w:marLeft w:val="0"/>
      <w:marRight w:val="0"/>
      <w:marTop w:val="0"/>
      <w:marBottom w:val="0"/>
      <w:divBdr>
        <w:top w:val="none" w:sz="0" w:space="0" w:color="auto"/>
        <w:left w:val="none" w:sz="0" w:space="0" w:color="auto"/>
        <w:bottom w:val="none" w:sz="0" w:space="0" w:color="auto"/>
        <w:right w:val="none" w:sz="0" w:space="0" w:color="auto"/>
      </w:divBdr>
    </w:div>
    <w:div w:id="579144885">
      <w:bodyDiv w:val="1"/>
      <w:marLeft w:val="0"/>
      <w:marRight w:val="0"/>
      <w:marTop w:val="0"/>
      <w:marBottom w:val="0"/>
      <w:divBdr>
        <w:top w:val="none" w:sz="0" w:space="0" w:color="auto"/>
        <w:left w:val="none" w:sz="0" w:space="0" w:color="auto"/>
        <w:bottom w:val="none" w:sz="0" w:space="0" w:color="auto"/>
        <w:right w:val="none" w:sz="0" w:space="0" w:color="auto"/>
      </w:divBdr>
    </w:div>
    <w:div w:id="1306474901">
      <w:bodyDiv w:val="1"/>
      <w:marLeft w:val="0"/>
      <w:marRight w:val="0"/>
      <w:marTop w:val="0"/>
      <w:marBottom w:val="0"/>
      <w:divBdr>
        <w:top w:val="none" w:sz="0" w:space="0" w:color="auto"/>
        <w:left w:val="none" w:sz="0" w:space="0" w:color="auto"/>
        <w:bottom w:val="none" w:sz="0" w:space="0" w:color="auto"/>
        <w:right w:val="none" w:sz="0" w:space="0" w:color="auto"/>
      </w:divBdr>
    </w:div>
    <w:div w:id="1545559858">
      <w:bodyDiv w:val="1"/>
      <w:marLeft w:val="0"/>
      <w:marRight w:val="0"/>
      <w:marTop w:val="0"/>
      <w:marBottom w:val="0"/>
      <w:divBdr>
        <w:top w:val="none" w:sz="0" w:space="0" w:color="auto"/>
        <w:left w:val="none" w:sz="0" w:space="0" w:color="auto"/>
        <w:bottom w:val="none" w:sz="0" w:space="0" w:color="auto"/>
        <w:right w:val="none" w:sz="0" w:space="0" w:color="auto"/>
      </w:divBdr>
    </w:div>
    <w:div w:id="17351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9814-EB4D-40A8-B111-B8F5D5EF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3329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PROTOKOLL</vt:lpstr>
    </vt:vector>
  </TitlesOfParts>
  <Company>Ålands landskapsregering</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Elin Nylund</dc:creator>
  <cp:keywords/>
  <dc:description/>
  <cp:lastModifiedBy>Jessica Laaksonen</cp:lastModifiedBy>
  <cp:revision>3</cp:revision>
  <cp:lastPrinted>2019-08-12T11:09:00Z</cp:lastPrinted>
  <dcterms:created xsi:type="dcterms:W3CDTF">2020-11-05T08:13:00Z</dcterms:created>
  <dcterms:modified xsi:type="dcterms:W3CDTF">2020-11-05T08:14:00Z</dcterms:modified>
</cp:coreProperties>
</file>