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279F0" w:rsidRPr="00A279F0" w14:paraId="29E0406C" w14:textId="77777777">
        <w:trPr>
          <w:cantSplit/>
          <w:trHeight w:val="20"/>
        </w:trPr>
        <w:tc>
          <w:tcPr>
            <w:tcW w:w="861" w:type="dxa"/>
            <w:vMerge w:val="restart"/>
          </w:tcPr>
          <w:p w14:paraId="26EF1389" w14:textId="77777777" w:rsidR="002F4853" w:rsidRPr="00A279F0" w:rsidRDefault="002F4853" w:rsidP="002C0A65">
            <w:pPr>
              <w:rPr>
                <w:noProof/>
              </w:rPr>
            </w:pPr>
            <w:bookmarkStart w:id="0" w:name="_top"/>
            <w:bookmarkEnd w:id="0"/>
            <w:r w:rsidRPr="00A279F0">
              <w:t xml:space="preserve">  </w:t>
            </w:r>
            <w:bookmarkStart w:id="1" w:name="_Toc9500598"/>
            <w:bookmarkStart w:id="2" w:name="_Toc10719468"/>
            <w:r w:rsidR="0021347D" w:rsidRPr="00A279F0">
              <w:rPr>
                <w:noProof/>
                <w:lang w:val="sv-FI" w:eastAsia="sv-FI"/>
              </w:rPr>
              <w:drawing>
                <wp:inline distT="0" distB="0" distL="0" distR="0" wp14:anchorId="4A7263E3" wp14:editId="216EDB3A">
                  <wp:extent cx="475615" cy="682625"/>
                  <wp:effectExtent l="0" t="0" r="635" b="317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682625"/>
                          </a:xfrm>
                          <a:prstGeom prst="rect">
                            <a:avLst/>
                          </a:prstGeom>
                          <a:noFill/>
                          <a:ln>
                            <a:noFill/>
                          </a:ln>
                        </pic:spPr>
                      </pic:pic>
                    </a:graphicData>
                  </a:graphic>
                </wp:inline>
              </w:drawing>
            </w:r>
            <w:bookmarkEnd w:id="1"/>
            <w:bookmarkEnd w:id="2"/>
          </w:p>
        </w:tc>
        <w:tc>
          <w:tcPr>
            <w:tcW w:w="8736" w:type="dxa"/>
            <w:gridSpan w:val="3"/>
            <w:vAlign w:val="bottom"/>
          </w:tcPr>
          <w:p w14:paraId="3CCD4516" w14:textId="77777777" w:rsidR="002F4853" w:rsidRPr="00A279F0" w:rsidRDefault="0021347D">
            <w:pPr>
              <w:pStyle w:val="xMellanrum"/>
            </w:pPr>
            <w:r w:rsidRPr="00A279F0">
              <w:rPr>
                <w:noProof/>
                <w:lang w:val="sv-FI" w:eastAsia="sv-FI"/>
              </w:rPr>
              <w:drawing>
                <wp:inline distT="0" distB="0" distL="0" distR="0" wp14:anchorId="34DCF8CB" wp14:editId="1C414A7B">
                  <wp:extent cx="49530" cy="49530"/>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c>
      </w:tr>
      <w:tr w:rsidR="00A279F0" w:rsidRPr="00A279F0" w14:paraId="571A9838" w14:textId="77777777">
        <w:trPr>
          <w:cantSplit/>
          <w:trHeight w:val="299"/>
        </w:trPr>
        <w:tc>
          <w:tcPr>
            <w:tcW w:w="861" w:type="dxa"/>
            <w:vMerge/>
          </w:tcPr>
          <w:p w14:paraId="1B144A80" w14:textId="77777777" w:rsidR="002F4853" w:rsidRPr="00A279F0" w:rsidRDefault="002F4853">
            <w:pPr>
              <w:pStyle w:val="xLedtext"/>
            </w:pPr>
          </w:p>
        </w:tc>
        <w:tc>
          <w:tcPr>
            <w:tcW w:w="4448" w:type="dxa"/>
            <w:vAlign w:val="bottom"/>
          </w:tcPr>
          <w:p w14:paraId="747ACD1D" w14:textId="77777777" w:rsidR="001E12B5" w:rsidRPr="00A279F0" w:rsidRDefault="001E12B5">
            <w:pPr>
              <w:pStyle w:val="xAvsandare1"/>
            </w:pPr>
          </w:p>
          <w:p w14:paraId="261BCFB7" w14:textId="77777777" w:rsidR="002F4853" w:rsidRPr="00A279F0" w:rsidRDefault="002F4853">
            <w:pPr>
              <w:pStyle w:val="xAvsandare1"/>
            </w:pPr>
            <w:r w:rsidRPr="00A279F0">
              <w:t>Ålands lagting</w:t>
            </w:r>
          </w:p>
        </w:tc>
        <w:tc>
          <w:tcPr>
            <w:tcW w:w="4288" w:type="dxa"/>
            <w:gridSpan w:val="2"/>
            <w:vAlign w:val="bottom"/>
          </w:tcPr>
          <w:p w14:paraId="13FC74D4" w14:textId="4946A6A4" w:rsidR="002F4853" w:rsidRPr="00A279F0" w:rsidRDefault="006A2FF0" w:rsidP="0008634D">
            <w:pPr>
              <w:pStyle w:val="xDokTypNr"/>
            </w:pPr>
            <w:r w:rsidRPr="00A279F0">
              <w:t xml:space="preserve">UTLÅTANDE </w:t>
            </w:r>
            <w:r w:rsidR="0008634D" w:rsidRPr="00A279F0">
              <w:t>nr 1/</w:t>
            </w:r>
            <w:r w:rsidRPr="00A279F0">
              <w:t>201</w:t>
            </w:r>
            <w:r w:rsidR="00087AE3" w:rsidRPr="00A279F0">
              <w:t>9</w:t>
            </w:r>
            <w:r w:rsidRPr="00A279F0">
              <w:t>-20</w:t>
            </w:r>
            <w:r w:rsidR="00087AE3" w:rsidRPr="00A279F0">
              <w:t>2</w:t>
            </w:r>
            <w:r w:rsidR="00CD3787" w:rsidRPr="00A279F0">
              <w:t>0</w:t>
            </w:r>
          </w:p>
        </w:tc>
      </w:tr>
      <w:tr w:rsidR="00A279F0" w:rsidRPr="00A279F0" w14:paraId="48CA7823" w14:textId="77777777">
        <w:trPr>
          <w:cantSplit/>
          <w:trHeight w:val="238"/>
        </w:trPr>
        <w:tc>
          <w:tcPr>
            <w:tcW w:w="861" w:type="dxa"/>
            <w:vMerge/>
          </w:tcPr>
          <w:p w14:paraId="324E86D1" w14:textId="77777777" w:rsidR="002F4853" w:rsidRPr="00A279F0" w:rsidRDefault="002F4853">
            <w:pPr>
              <w:pStyle w:val="xLedtext"/>
            </w:pPr>
          </w:p>
        </w:tc>
        <w:tc>
          <w:tcPr>
            <w:tcW w:w="4448" w:type="dxa"/>
            <w:vAlign w:val="bottom"/>
          </w:tcPr>
          <w:p w14:paraId="0996DE0A" w14:textId="77777777" w:rsidR="002F4853" w:rsidRPr="00A279F0" w:rsidRDefault="002F4853">
            <w:pPr>
              <w:pStyle w:val="xLedtext"/>
            </w:pPr>
          </w:p>
        </w:tc>
        <w:tc>
          <w:tcPr>
            <w:tcW w:w="1725" w:type="dxa"/>
            <w:vAlign w:val="bottom"/>
          </w:tcPr>
          <w:p w14:paraId="7BD0DE80" w14:textId="77777777" w:rsidR="002F4853" w:rsidRPr="00A279F0" w:rsidRDefault="002F4853">
            <w:pPr>
              <w:pStyle w:val="xLedtext"/>
            </w:pPr>
            <w:r w:rsidRPr="00A279F0">
              <w:t>Datum</w:t>
            </w:r>
          </w:p>
        </w:tc>
        <w:tc>
          <w:tcPr>
            <w:tcW w:w="2563" w:type="dxa"/>
            <w:vAlign w:val="bottom"/>
          </w:tcPr>
          <w:p w14:paraId="16F4CF89" w14:textId="77777777" w:rsidR="002F4853" w:rsidRPr="00A279F0" w:rsidRDefault="002F4853">
            <w:pPr>
              <w:pStyle w:val="xLedtext"/>
            </w:pPr>
          </w:p>
        </w:tc>
      </w:tr>
      <w:tr w:rsidR="00A279F0" w:rsidRPr="00A279F0" w14:paraId="2C46C90E" w14:textId="77777777">
        <w:trPr>
          <w:cantSplit/>
          <w:trHeight w:val="238"/>
        </w:trPr>
        <w:tc>
          <w:tcPr>
            <w:tcW w:w="861" w:type="dxa"/>
            <w:vMerge/>
          </w:tcPr>
          <w:p w14:paraId="1A6FA77D" w14:textId="77777777" w:rsidR="002F4853" w:rsidRPr="00A279F0" w:rsidRDefault="002F4853">
            <w:pPr>
              <w:pStyle w:val="xAvsandare2"/>
            </w:pPr>
          </w:p>
        </w:tc>
        <w:tc>
          <w:tcPr>
            <w:tcW w:w="4448" w:type="dxa"/>
            <w:vAlign w:val="center"/>
          </w:tcPr>
          <w:p w14:paraId="487938E8" w14:textId="77777777" w:rsidR="002F4853" w:rsidRPr="00A279F0" w:rsidRDefault="002F4853">
            <w:pPr>
              <w:pStyle w:val="xAvsandare2"/>
            </w:pPr>
            <w:r w:rsidRPr="00A279F0">
              <w:t>Finans</w:t>
            </w:r>
            <w:r w:rsidR="00C516DE" w:rsidRPr="00A279F0">
              <w:t>- och närings</w:t>
            </w:r>
            <w:r w:rsidRPr="00A279F0">
              <w:t>utskottet</w:t>
            </w:r>
          </w:p>
        </w:tc>
        <w:tc>
          <w:tcPr>
            <w:tcW w:w="1725" w:type="dxa"/>
            <w:vAlign w:val="center"/>
          </w:tcPr>
          <w:p w14:paraId="6D88F598" w14:textId="3B6230B7" w:rsidR="002F4853" w:rsidRPr="00A279F0" w:rsidRDefault="006A2FF0" w:rsidP="00A22C15">
            <w:pPr>
              <w:pStyle w:val="xDatum1"/>
            </w:pPr>
            <w:r w:rsidRPr="00A279F0">
              <w:t>20</w:t>
            </w:r>
            <w:r w:rsidR="00087AE3" w:rsidRPr="00A279F0">
              <w:t>20</w:t>
            </w:r>
            <w:r w:rsidR="00DC2EF6" w:rsidRPr="006D6E37">
              <w:t>-</w:t>
            </w:r>
            <w:r w:rsidR="00503275" w:rsidRPr="006D6E37">
              <w:t>0</w:t>
            </w:r>
            <w:r w:rsidR="00CD3787" w:rsidRPr="006D6E37">
              <w:t>1</w:t>
            </w:r>
            <w:r w:rsidR="00BF7E86" w:rsidRPr="006D6E37">
              <w:t>-</w:t>
            </w:r>
            <w:r w:rsidR="001423B6" w:rsidRPr="006D6E37">
              <w:t>30</w:t>
            </w:r>
          </w:p>
        </w:tc>
        <w:tc>
          <w:tcPr>
            <w:tcW w:w="2563" w:type="dxa"/>
            <w:vAlign w:val="center"/>
          </w:tcPr>
          <w:p w14:paraId="3A42B5D7" w14:textId="77777777" w:rsidR="002F4853" w:rsidRPr="00A279F0" w:rsidRDefault="002F4853">
            <w:pPr>
              <w:pStyle w:val="xBeteckning1"/>
            </w:pPr>
          </w:p>
        </w:tc>
      </w:tr>
      <w:tr w:rsidR="00A279F0" w:rsidRPr="00A279F0" w14:paraId="5B987764" w14:textId="77777777">
        <w:trPr>
          <w:cantSplit/>
          <w:trHeight w:val="238"/>
        </w:trPr>
        <w:tc>
          <w:tcPr>
            <w:tcW w:w="861" w:type="dxa"/>
            <w:vMerge/>
          </w:tcPr>
          <w:p w14:paraId="329BF0A8" w14:textId="77777777" w:rsidR="002F4853" w:rsidRPr="00A279F0" w:rsidRDefault="002F4853">
            <w:pPr>
              <w:pStyle w:val="xLedtext"/>
            </w:pPr>
          </w:p>
        </w:tc>
        <w:tc>
          <w:tcPr>
            <w:tcW w:w="4448" w:type="dxa"/>
            <w:vAlign w:val="bottom"/>
          </w:tcPr>
          <w:p w14:paraId="236C3D51" w14:textId="77777777" w:rsidR="002F4853" w:rsidRPr="00A279F0" w:rsidRDefault="002F4853">
            <w:pPr>
              <w:pStyle w:val="xLedtext"/>
            </w:pPr>
          </w:p>
        </w:tc>
        <w:tc>
          <w:tcPr>
            <w:tcW w:w="1725" w:type="dxa"/>
            <w:vAlign w:val="bottom"/>
          </w:tcPr>
          <w:p w14:paraId="0A790F91" w14:textId="77777777" w:rsidR="002F4853" w:rsidRPr="00A279F0" w:rsidRDefault="002F4853">
            <w:pPr>
              <w:pStyle w:val="xLedtext"/>
            </w:pPr>
          </w:p>
        </w:tc>
        <w:tc>
          <w:tcPr>
            <w:tcW w:w="2563" w:type="dxa"/>
            <w:vAlign w:val="bottom"/>
          </w:tcPr>
          <w:p w14:paraId="6156D78F" w14:textId="77777777" w:rsidR="002F4853" w:rsidRPr="00A279F0" w:rsidRDefault="002F4853">
            <w:pPr>
              <w:pStyle w:val="xLedtext"/>
            </w:pPr>
          </w:p>
        </w:tc>
      </w:tr>
      <w:tr w:rsidR="00A279F0" w:rsidRPr="00A279F0" w14:paraId="4A941995" w14:textId="77777777">
        <w:trPr>
          <w:cantSplit/>
          <w:trHeight w:val="238"/>
        </w:trPr>
        <w:tc>
          <w:tcPr>
            <w:tcW w:w="861" w:type="dxa"/>
            <w:vMerge/>
            <w:tcBorders>
              <w:bottom w:val="single" w:sz="4" w:space="0" w:color="auto"/>
            </w:tcBorders>
          </w:tcPr>
          <w:p w14:paraId="03292D7E" w14:textId="77777777" w:rsidR="002F4853" w:rsidRPr="00A279F0" w:rsidRDefault="002F4853">
            <w:pPr>
              <w:pStyle w:val="xAvsandare3"/>
            </w:pPr>
          </w:p>
        </w:tc>
        <w:tc>
          <w:tcPr>
            <w:tcW w:w="4448" w:type="dxa"/>
            <w:tcBorders>
              <w:bottom w:val="single" w:sz="4" w:space="0" w:color="auto"/>
            </w:tcBorders>
            <w:vAlign w:val="center"/>
          </w:tcPr>
          <w:p w14:paraId="5DC2FF68" w14:textId="77777777" w:rsidR="002F4853" w:rsidRPr="00A279F0" w:rsidRDefault="002F4853">
            <w:pPr>
              <w:pStyle w:val="xAvsandare3"/>
            </w:pPr>
          </w:p>
        </w:tc>
        <w:tc>
          <w:tcPr>
            <w:tcW w:w="1725" w:type="dxa"/>
            <w:tcBorders>
              <w:bottom w:val="single" w:sz="4" w:space="0" w:color="auto"/>
            </w:tcBorders>
            <w:vAlign w:val="center"/>
          </w:tcPr>
          <w:p w14:paraId="1CCD2150" w14:textId="77777777" w:rsidR="002F4853" w:rsidRPr="00A279F0" w:rsidRDefault="002F4853">
            <w:pPr>
              <w:pStyle w:val="xDatum2"/>
            </w:pPr>
          </w:p>
        </w:tc>
        <w:tc>
          <w:tcPr>
            <w:tcW w:w="2563" w:type="dxa"/>
            <w:tcBorders>
              <w:bottom w:val="single" w:sz="4" w:space="0" w:color="auto"/>
            </w:tcBorders>
            <w:vAlign w:val="center"/>
          </w:tcPr>
          <w:p w14:paraId="0483AD18" w14:textId="77777777" w:rsidR="002F4853" w:rsidRPr="00A279F0" w:rsidRDefault="002F4853">
            <w:pPr>
              <w:pStyle w:val="xBeteckning2"/>
            </w:pPr>
          </w:p>
        </w:tc>
      </w:tr>
      <w:tr w:rsidR="00A279F0" w:rsidRPr="00A279F0" w14:paraId="0A1B6454" w14:textId="77777777">
        <w:trPr>
          <w:cantSplit/>
          <w:trHeight w:val="238"/>
        </w:trPr>
        <w:tc>
          <w:tcPr>
            <w:tcW w:w="861" w:type="dxa"/>
            <w:tcBorders>
              <w:top w:val="single" w:sz="4" w:space="0" w:color="auto"/>
            </w:tcBorders>
            <w:vAlign w:val="bottom"/>
          </w:tcPr>
          <w:p w14:paraId="2EA634E2" w14:textId="77777777" w:rsidR="002F4853" w:rsidRPr="00A279F0" w:rsidRDefault="002F4853">
            <w:pPr>
              <w:pStyle w:val="xLedtext"/>
            </w:pPr>
          </w:p>
        </w:tc>
        <w:tc>
          <w:tcPr>
            <w:tcW w:w="4448" w:type="dxa"/>
            <w:tcBorders>
              <w:top w:val="single" w:sz="4" w:space="0" w:color="auto"/>
            </w:tcBorders>
            <w:vAlign w:val="bottom"/>
          </w:tcPr>
          <w:p w14:paraId="39478E14" w14:textId="77777777" w:rsidR="002F4853" w:rsidRPr="00A279F0" w:rsidRDefault="002F4853">
            <w:pPr>
              <w:pStyle w:val="xLedtext"/>
            </w:pPr>
          </w:p>
        </w:tc>
        <w:tc>
          <w:tcPr>
            <w:tcW w:w="4288" w:type="dxa"/>
            <w:gridSpan w:val="2"/>
            <w:tcBorders>
              <w:top w:val="single" w:sz="4" w:space="0" w:color="auto"/>
            </w:tcBorders>
            <w:vAlign w:val="bottom"/>
          </w:tcPr>
          <w:p w14:paraId="09227627" w14:textId="77777777" w:rsidR="002F4853" w:rsidRPr="00A279F0" w:rsidRDefault="002F4853">
            <w:pPr>
              <w:pStyle w:val="xLedtext"/>
            </w:pPr>
          </w:p>
        </w:tc>
      </w:tr>
      <w:tr w:rsidR="00A279F0" w:rsidRPr="00A279F0" w14:paraId="10BB3649" w14:textId="77777777">
        <w:trPr>
          <w:cantSplit/>
          <w:trHeight w:val="238"/>
        </w:trPr>
        <w:tc>
          <w:tcPr>
            <w:tcW w:w="861" w:type="dxa"/>
          </w:tcPr>
          <w:p w14:paraId="57E499CB" w14:textId="77777777" w:rsidR="002F4853" w:rsidRPr="00A279F0" w:rsidRDefault="002F4853">
            <w:pPr>
              <w:pStyle w:val="xCelltext"/>
            </w:pPr>
          </w:p>
        </w:tc>
        <w:tc>
          <w:tcPr>
            <w:tcW w:w="4448" w:type="dxa"/>
            <w:vMerge w:val="restart"/>
          </w:tcPr>
          <w:p w14:paraId="77ECF22F" w14:textId="77777777" w:rsidR="002F4853" w:rsidRPr="00A279F0" w:rsidRDefault="002F4853" w:rsidP="001E12B5">
            <w:pPr>
              <w:pStyle w:val="xMottagare1"/>
            </w:pPr>
            <w:r w:rsidRPr="00A279F0">
              <w:t>Til</w:t>
            </w:r>
            <w:r w:rsidR="00DC2EF6" w:rsidRPr="00A279F0">
              <w:t xml:space="preserve">l </w:t>
            </w:r>
            <w:r w:rsidR="001E12B5" w:rsidRPr="00A279F0">
              <w:t>lag- och kulturutskottet</w:t>
            </w:r>
          </w:p>
        </w:tc>
        <w:tc>
          <w:tcPr>
            <w:tcW w:w="4288" w:type="dxa"/>
            <w:gridSpan w:val="2"/>
            <w:vMerge w:val="restart"/>
          </w:tcPr>
          <w:p w14:paraId="5813F56D" w14:textId="77777777" w:rsidR="002F4853" w:rsidRPr="00A279F0" w:rsidRDefault="002F4853">
            <w:pPr>
              <w:pStyle w:val="xMottagare1"/>
              <w:tabs>
                <w:tab w:val="left" w:pos="2349"/>
              </w:tabs>
            </w:pPr>
          </w:p>
        </w:tc>
      </w:tr>
      <w:tr w:rsidR="00A279F0" w:rsidRPr="00A279F0" w14:paraId="64A868C9" w14:textId="77777777">
        <w:trPr>
          <w:cantSplit/>
          <w:trHeight w:val="238"/>
        </w:trPr>
        <w:tc>
          <w:tcPr>
            <w:tcW w:w="861" w:type="dxa"/>
          </w:tcPr>
          <w:p w14:paraId="791E4045" w14:textId="77777777" w:rsidR="002F4853" w:rsidRPr="00A279F0" w:rsidRDefault="002F4853">
            <w:pPr>
              <w:pStyle w:val="xCelltext"/>
            </w:pPr>
          </w:p>
        </w:tc>
        <w:tc>
          <w:tcPr>
            <w:tcW w:w="4448" w:type="dxa"/>
            <w:vMerge/>
            <w:vAlign w:val="center"/>
          </w:tcPr>
          <w:p w14:paraId="18948849" w14:textId="77777777" w:rsidR="002F4853" w:rsidRPr="00A279F0" w:rsidRDefault="002F4853">
            <w:pPr>
              <w:pStyle w:val="xCelltext"/>
            </w:pPr>
          </w:p>
        </w:tc>
        <w:tc>
          <w:tcPr>
            <w:tcW w:w="4288" w:type="dxa"/>
            <w:gridSpan w:val="2"/>
            <w:vMerge/>
            <w:vAlign w:val="center"/>
          </w:tcPr>
          <w:p w14:paraId="153D1DAE" w14:textId="77777777" w:rsidR="002F4853" w:rsidRPr="00A279F0" w:rsidRDefault="002F4853">
            <w:pPr>
              <w:pStyle w:val="xCelltext"/>
            </w:pPr>
          </w:p>
        </w:tc>
      </w:tr>
      <w:tr w:rsidR="00A279F0" w:rsidRPr="00A279F0" w14:paraId="00470201" w14:textId="77777777">
        <w:trPr>
          <w:cantSplit/>
          <w:trHeight w:val="238"/>
        </w:trPr>
        <w:tc>
          <w:tcPr>
            <w:tcW w:w="861" w:type="dxa"/>
          </w:tcPr>
          <w:p w14:paraId="2BC8D949" w14:textId="77777777" w:rsidR="002F4853" w:rsidRPr="00A279F0" w:rsidRDefault="002F4853">
            <w:pPr>
              <w:pStyle w:val="xCelltext"/>
            </w:pPr>
          </w:p>
        </w:tc>
        <w:tc>
          <w:tcPr>
            <w:tcW w:w="4448" w:type="dxa"/>
            <w:vMerge/>
            <w:vAlign w:val="center"/>
          </w:tcPr>
          <w:p w14:paraId="53449F6F" w14:textId="77777777" w:rsidR="002F4853" w:rsidRPr="00A279F0" w:rsidRDefault="002F4853">
            <w:pPr>
              <w:pStyle w:val="xCelltext"/>
            </w:pPr>
          </w:p>
        </w:tc>
        <w:tc>
          <w:tcPr>
            <w:tcW w:w="4288" w:type="dxa"/>
            <w:gridSpan w:val="2"/>
            <w:vMerge/>
            <w:vAlign w:val="center"/>
          </w:tcPr>
          <w:p w14:paraId="0AA53DF8" w14:textId="77777777" w:rsidR="002F4853" w:rsidRPr="00A279F0" w:rsidRDefault="002F4853">
            <w:pPr>
              <w:pStyle w:val="xCelltext"/>
            </w:pPr>
          </w:p>
        </w:tc>
      </w:tr>
      <w:tr w:rsidR="00A279F0" w:rsidRPr="00A279F0" w14:paraId="2709FFA1" w14:textId="77777777">
        <w:trPr>
          <w:cantSplit/>
          <w:trHeight w:val="238"/>
        </w:trPr>
        <w:tc>
          <w:tcPr>
            <w:tcW w:w="861" w:type="dxa"/>
          </w:tcPr>
          <w:p w14:paraId="3F24889A" w14:textId="77777777" w:rsidR="002F4853" w:rsidRPr="00A279F0" w:rsidRDefault="002F4853">
            <w:pPr>
              <w:pStyle w:val="xCelltext"/>
            </w:pPr>
          </w:p>
        </w:tc>
        <w:tc>
          <w:tcPr>
            <w:tcW w:w="4448" w:type="dxa"/>
            <w:vMerge/>
            <w:vAlign w:val="center"/>
          </w:tcPr>
          <w:p w14:paraId="7799442D" w14:textId="77777777" w:rsidR="002F4853" w:rsidRPr="00A279F0" w:rsidRDefault="002F4853">
            <w:pPr>
              <w:pStyle w:val="xCelltext"/>
            </w:pPr>
          </w:p>
        </w:tc>
        <w:tc>
          <w:tcPr>
            <w:tcW w:w="4288" w:type="dxa"/>
            <w:gridSpan w:val="2"/>
            <w:vMerge/>
            <w:vAlign w:val="center"/>
          </w:tcPr>
          <w:p w14:paraId="4DD95E78" w14:textId="77777777" w:rsidR="002F4853" w:rsidRPr="00A279F0" w:rsidRDefault="002F4853">
            <w:pPr>
              <w:pStyle w:val="xCelltext"/>
            </w:pPr>
          </w:p>
        </w:tc>
      </w:tr>
      <w:tr w:rsidR="00A279F0" w:rsidRPr="00A279F0" w14:paraId="043359FD" w14:textId="77777777">
        <w:trPr>
          <w:cantSplit/>
          <w:trHeight w:val="238"/>
        </w:trPr>
        <w:tc>
          <w:tcPr>
            <w:tcW w:w="861" w:type="dxa"/>
          </w:tcPr>
          <w:p w14:paraId="45A09BC1" w14:textId="77777777" w:rsidR="002F4853" w:rsidRPr="00A279F0" w:rsidRDefault="002F4853">
            <w:pPr>
              <w:pStyle w:val="xCelltext"/>
            </w:pPr>
          </w:p>
        </w:tc>
        <w:tc>
          <w:tcPr>
            <w:tcW w:w="4448" w:type="dxa"/>
            <w:vMerge/>
            <w:vAlign w:val="center"/>
          </w:tcPr>
          <w:p w14:paraId="3D8413E7" w14:textId="77777777" w:rsidR="002F4853" w:rsidRPr="00A279F0" w:rsidRDefault="002F4853">
            <w:pPr>
              <w:pStyle w:val="xCelltext"/>
            </w:pPr>
          </w:p>
        </w:tc>
        <w:tc>
          <w:tcPr>
            <w:tcW w:w="4288" w:type="dxa"/>
            <w:gridSpan w:val="2"/>
            <w:vMerge/>
            <w:vAlign w:val="center"/>
          </w:tcPr>
          <w:p w14:paraId="0EFC6820" w14:textId="77777777" w:rsidR="002F4853" w:rsidRPr="00A279F0" w:rsidRDefault="002F4853">
            <w:pPr>
              <w:pStyle w:val="xCelltext"/>
            </w:pPr>
          </w:p>
        </w:tc>
      </w:tr>
    </w:tbl>
    <w:p w14:paraId="410FE187" w14:textId="77777777" w:rsidR="002F4853" w:rsidRPr="00A279F0" w:rsidRDefault="002F4853">
      <w:pPr>
        <w:rPr>
          <w:b/>
          <w:bCs/>
        </w:rPr>
        <w:sectPr w:rsidR="002F4853" w:rsidRPr="00A279F0">
          <w:footerReference w:type="even" r:id="rId10"/>
          <w:footerReference w:type="default" r:id="rId11"/>
          <w:pgSz w:w="11906" w:h="16838" w:code="9"/>
          <w:pgMar w:top="567" w:right="1134" w:bottom="1134" w:left="1191" w:header="624" w:footer="737" w:gutter="0"/>
          <w:cols w:space="708"/>
          <w:docGrid w:linePitch="360"/>
        </w:sectPr>
      </w:pPr>
    </w:p>
    <w:p w14:paraId="194BCEBD" w14:textId="77777777" w:rsidR="002F4853" w:rsidRPr="00A279F0" w:rsidRDefault="002F4853">
      <w:pPr>
        <w:pStyle w:val="ArendeOverRubrik"/>
      </w:pPr>
      <w:r w:rsidRPr="00A279F0">
        <w:t>Finans</w:t>
      </w:r>
      <w:r w:rsidR="00C516DE" w:rsidRPr="00A279F0">
        <w:t>- och närings</w:t>
      </w:r>
      <w:r w:rsidRPr="00A279F0">
        <w:t>utskottets utlåtande</w:t>
      </w:r>
    </w:p>
    <w:p w14:paraId="0C46E235" w14:textId="77777777" w:rsidR="00BA401D" w:rsidRPr="00A279F0" w:rsidRDefault="008F76F5" w:rsidP="00BA401D">
      <w:pPr>
        <w:pStyle w:val="ArendeRubrik"/>
      </w:pPr>
      <w:r w:rsidRPr="00A279F0">
        <w:t>Ändring av självstyrelselagen för Åland</w:t>
      </w:r>
    </w:p>
    <w:p w14:paraId="1660D1EA" w14:textId="4F196326" w:rsidR="00577CC3" w:rsidRPr="006D6E37" w:rsidRDefault="00577CC3" w:rsidP="00577CC3">
      <w:pPr>
        <w:pStyle w:val="ArendeUnderRubrik"/>
      </w:pPr>
      <w:r w:rsidRPr="006D6E37">
        <w:t xml:space="preserve">Republikens presidents framställning nr </w:t>
      </w:r>
      <w:r w:rsidR="0040579A" w:rsidRPr="006D6E37">
        <w:t>1</w:t>
      </w:r>
      <w:r w:rsidRPr="006D6E37">
        <w:t>/201</w:t>
      </w:r>
      <w:r w:rsidR="0040579A" w:rsidRPr="006D6E37">
        <w:t>9</w:t>
      </w:r>
      <w:r w:rsidRPr="006D6E37">
        <w:t>-20</w:t>
      </w:r>
      <w:r w:rsidR="0040579A" w:rsidRPr="006D6E37">
        <w:t>20</w:t>
      </w:r>
    </w:p>
    <w:p w14:paraId="1B61BC80" w14:textId="77777777" w:rsidR="00577CC3" w:rsidRPr="00A279F0" w:rsidRDefault="00577CC3" w:rsidP="00360E02">
      <w:pPr>
        <w:pStyle w:val="ArendeUnderRubrik"/>
        <w:numPr>
          <w:ilvl w:val="0"/>
          <w:numId w:val="0"/>
        </w:numPr>
        <w:ind w:left="283"/>
      </w:pPr>
    </w:p>
    <w:p w14:paraId="0F8940B6" w14:textId="77777777" w:rsidR="00CE6CB4" w:rsidRPr="00A279F0" w:rsidRDefault="00CE6CB4" w:rsidP="00CE6CB4">
      <w:pPr>
        <w:pStyle w:val="ArendeUnderRubrik"/>
        <w:numPr>
          <w:ilvl w:val="0"/>
          <w:numId w:val="0"/>
        </w:numPr>
        <w:ind w:left="283"/>
      </w:pPr>
    </w:p>
    <w:p w14:paraId="1F84412A" w14:textId="77777777" w:rsidR="002F4853" w:rsidRPr="00A279F0" w:rsidRDefault="002F4853">
      <w:pPr>
        <w:pStyle w:val="Innehll1"/>
      </w:pPr>
      <w:r w:rsidRPr="00A279F0">
        <w:t>INNEHÅLL</w:t>
      </w:r>
    </w:p>
    <w:p w14:paraId="62BF6415" w14:textId="64262607" w:rsidR="00BE2A67" w:rsidRDefault="002F4853">
      <w:pPr>
        <w:pStyle w:val="Innehll1"/>
        <w:rPr>
          <w:rFonts w:asciiTheme="minorHAnsi" w:eastAsiaTheme="minorEastAsia" w:hAnsiTheme="minorHAnsi" w:cstheme="minorBidi"/>
          <w:sz w:val="22"/>
          <w:szCs w:val="22"/>
          <w:lang w:val="sv-FI" w:eastAsia="sv-FI"/>
        </w:rPr>
      </w:pPr>
      <w:r w:rsidRPr="00A279F0">
        <w:fldChar w:fldCharType="begin"/>
      </w:r>
      <w:r w:rsidRPr="00A279F0">
        <w:instrText xml:space="preserve"> TOC \o "1-1" \h \z \t "Rubrik 2;2;Rubrik 3;3;RubrikB;2;RubrikC;3" </w:instrText>
      </w:r>
      <w:r w:rsidRPr="00A279F0">
        <w:fldChar w:fldCharType="separate"/>
      </w:r>
      <w:hyperlink w:anchor="_Toc31267095" w:history="1">
        <w:r w:rsidR="00BE2A67" w:rsidRPr="00601A69">
          <w:rPr>
            <w:rStyle w:val="Hyperlnk"/>
          </w:rPr>
          <w:t>Utskottets synpunkter</w:t>
        </w:r>
        <w:r w:rsidR="00BE2A67">
          <w:rPr>
            <w:webHidden/>
          </w:rPr>
          <w:tab/>
        </w:r>
        <w:r w:rsidR="00BE2A67">
          <w:rPr>
            <w:webHidden/>
          </w:rPr>
          <w:fldChar w:fldCharType="begin"/>
        </w:r>
        <w:r w:rsidR="00BE2A67">
          <w:rPr>
            <w:webHidden/>
          </w:rPr>
          <w:instrText xml:space="preserve"> PAGEREF _Toc31267095 \h </w:instrText>
        </w:r>
        <w:r w:rsidR="00BE2A67">
          <w:rPr>
            <w:webHidden/>
          </w:rPr>
        </w:r>
        <w:r w:rsidR="00BE2A67">
          <w:rPr>
            <w:webHidden/>
          </w:rPr>
          <w:fldChar w:fldCharType="separate"/>
        </w:r>
        <w:r w:rsidR="00E465B0">
          <w:rPr>
            <w:webHidden/>
          </w:rPr>
          <w:t>1</w:t>
        </w:r>
        <w:r w:rsidR="00BE2A67">
          <w:rPr>
            <w:webHidden/>
          </w:rPr>
          <w:fldChar w:fldCharType="end"/>
        </w:r>
      </w:hyperlink>
    </w:p>
    <w:p w14:paraId="636F6D8B" w14:textId="498D341A" w:rsidR="00BE2A67" w:rsidRDefault="008A674D">
      <w:pPr>
        <w:pStyle w:val="Innehll2"/>
        <w:rPr>
          <w:rFonts w:asciiTheme="minorHAnsi" w:eastAsiaTheme="minorEastAsia" w:hAnsiTheme="minorHAnsi" w:cstheme="minorBidi"/>
          <w:sz w:val="22"/>
          <w:szCs w:val="22"/>
          <w:lang w:val="sv-FI" w:eastAsia="sv-FI"/>
        </w:rPr>
      </w:pPr>
      <w:hyperlink w:anchor="_Toc31267096" w:history="1">
        <w:r w:rsidR="00BE2A67" w:rsidRPr="00601A69">
          <w:rPr>
            <w:rStyle w:val="Hyperlnk"/>
          </w:rPr>
          <w:t>Avräkningssystemet</w:t>
        </w:r>
        <w:r w:rsidR="00BE2A67">
          <w:rPr>
            <w:webHidden/>
          </w:rPr>
          <w:tab/>
        </w:r>
        <w:r w:rsidR="00BE2A67">
          <w:rPr>
            <w:webHidden/>
          </w:rPr>
          <w:fldChar w:fldCharType="begin"/>
        </w:r>
        <w:r w:rsidR="00BE2A67">
          <w:rPr>
            <w:webHidden/>
          </w:rPr>
          <w:instrText xml:space="preserve"> PAGEREF _Toc31267096 \h </w:instrText>
        </w:r>
        <w:r w:rsidR="00BE2A67">
          <w:rPr>
            <w:webHidden/>
          </w:rPr>
        </w:r>
        <w:r w:rsidR="00BE2A67">
          <w:rPr>
            <w:webHidden/>
          </w:rPr>
          <w:fldChar w:fldCharType="separate"/>
        </w:r>
        <w:r w:rsidR="00E465B0">
          <w:rPr>
            <w:webHidden/>
          </w:rPr>
          <w:t>2</w:t>
        </w:r>
        <w:r w:rsidR="00BE2A67">
          <w:rPr>
            <w:webHidden/>
          </w:rPr>
          <w:fldChar w:fldCharType="end"/>
        </w:r>
      </w:hyperlink>
    </w:p>
    <w:p w14:paraId="44CA4743" w14:textId="367E6811" w:rsidR="00BE2A67" w:rsidRDefault="008A674D">
      <w:pPr>
        <w:pStyle w:val="Innehll2"/>
        <w:rPr>
          <w:rFonts w:asciiTheme="minorHAnsi" w:eastAsiaTheme="minorEastAsia" w:hAnsiTheme="minorHAnsi" w:cstheme="minorBidi"/>
          <w:sz w:val="22"/>
          <w:szCs w:val="22"/>
          <w:lang w:val="sv-FI" w:eastAsia="sv-FI"/>
        </w:rPr>
      </w:pPr>
      <w:hyperlink w:anchor="_Toc31267097" w:history="1">
        <w:r w:rsidR="00BE2A67" w:rsidRPr="00601A69">
          <w:rPr>
            <w:rStyle w:val="Hyperlnk"/>
          </w:rPr>
          <w:t>Skatteavräkningen</w:t>
        </w:r>
        <w:r w:rsidR="00BE2A67">
          <w:rPr>
            <w:webHidden/>
          </w:rPr>
          <w:tab/>
        </w:r>
        <w:r w:rsidR="00BE2A67">
          <w:rPr>
            <w:webHidden/>
          </w:rPr>
          <w:fldChar w:fldCharType="begin"/>
        </w:r>
        <w:r w:rsidR="00BE2A67">
          <w:rPr>
            <w:webHidden/>
          </w:rPr>
          <w:instrText xml:space="preserve"> PAGEREF _Toc31267097 \h </w:instrText>
        </w:r>
        <w:r w:rsidR="00BE2A67">
          <w:rPr>
            <w:webHidden/>
          </w:rPr>
        </w:r>
        <w:r w:rsidR="00BE2A67">
          <w:rPr>
            <w:webHidden/>
          </w:rPr>
          <w:fldChar w:fldCharType="separate"/>
        </w:r>
        <w:r w:rsidR="00E465B0">
          <w:rPr>
            <w:webHidden/>
          </w:rPr>
          <w:t>2</w:t>
        </w:r>
        <w:r w:rsidR="00BE2A67">
          <w:rPr>
            <w:webHidden/>
          </w:rPr>
          <w:fldChar w:fldCharType="end"/>
        </w:r>
      </w:hyperlink>
    </w:p>
    <w:p w14:paraId="1F1CA00C" w14:textId="69086CB5" w:rsidR="00BE2A67" w:rsidRDefault="008A674D">
      <w:pPr>
        <w:pStyle w:val="Innehll2"/>
        <w:rPr>
          <w:rFonts w:asciiTheme="minorHAnsi" w:eastAsiaTheme="minorEastAsia" w:hAnsiTheme="minorHAnsi" w:cstheme="minorBidi"/>
          <w:sz w:val="22"/>
          <w:szCs w:val="22"/>
          <w:lang w:val="sv-FI" w:eastAsia="sv-FI"/>
        </w:rPr>
      </w:pPr>
      <w:hyperlink w:anchor="_Toc31267098" w:history="1">
        <w:r w:rsidR="00BE2A67" w:rsidRPr="00601A69">
          <w:rPr>
            <w:rStyle w:val="Hyperlnk"/>
          </w:rPr>
          <w:t>Extra anslag</w:t>
        </w:r>
        <w:r w:rsidR="00BE2A67">
          <w:rPr>
            <w:webHidden/>
          </w:rPr>
          <w:tab/>
        </w:r>
        <w:r w:rsidR="00BE2A67">
          <w:rPr>
            <w:webHidden/>
          </w:rPr>
          <w:fldChar w:fldCharType="begin"/>
        </w:r>
        <w:r w:rsidR="00BE2A67">
          <w:rPr>
            <w:webHidden/>
          </w:rPr>
          <w:instrText xml:space="preserve"> PAGEREF _Toc31267098 \h </w:instrText>
        </w:r>
        <w:r w:rsidR="00BE2A67">
          <w:rPr>
            <w:webHidden/>
          </w:rPr>
        </w:r>
        <w:r w:rsidR="00BE2A67">
          <w:rPr>
            <w:webHidden/>
          </w:rPr>
          <w:fldChar w:fldCharType="separate"/>
        </w:r>
        <w:r w:rsidR="00E465B0">
          <w:rPr>
            <w:webHidden/>
          </w:rPr>
          <w:t>3</w:t>
        </w:r>
        <w:r w:rsidR="00BE2A67">
          <w:rPr>
            <w:webHidden/>
          </w:rPr>
          <w:fldChar w:fldCharType="end"/>
        </w:r>
      </w:hyperlink>
    </w:p>
    <w:p w14:paraId="2834A382" w14:textId="2C0EAD59" w:rsidR="00BE2A67" w:rsidRDefault="008A674D">
      <w:pPr>
        <w:pStyle w:val="Innehll1"/>
        <w:rPr>
          <w:rFonts w:asciiTheme="minorHAnsi" w:eastAsiaTheme="minorEastAsia" w:hAnsiTheme="minorHAnsi" w:cstheme="minorBidi"/>
          <w:sz w:val="22"/>
          <w:szCs w:val="22"/>
          <w:lang w:val="sv-FI" w:eastAsia="sv-FI"/>
        </w:rPr>
      </w:pPr>
      <w:hyperlink w:anchor="_Toc31267099" w:history="1">
        <w:r w:rsidR="00BE2A67" w:rsidRPr="00601A69">
          <w:rPr>
            <w:rStyle w:val="Hyperlnk"/>
          </w:rPr>
          <w:t>Ärendets behandling</w:t>
        </w:r>
        <w:r w:rsidR="00BE2A67">
          <w:rPr>
            <w:webHidden/>
          </w:rPr>
          <w:tab/>
        </w:r>
        <w:r w:rsidR="00BE2A67">
          <w:rPr>
            <w:webHidden/>
          </w:rPr>
          <w:fldChar w:fldCharType="begin"/>
        </w:r>
        <w:r w:rsidR="00BE2A67">
          <w:rPr>
            <w:webHidden/>
          </w:rPr>
          <w:instrText xml:space="preserve"> PAGEREF _Toc31267099 \h </w:instrText>
        </w:r>
        <w:r w:rsidR="00BE2A67">
          <w:rPr>
            <w:webHidden/>
          </w:rPr>
        </w:r>
        <w:r w:rsidR="00BE2A67">
          <w:rPr>
            <w:webHidden/>
          </w:rPr>
          <w:fldChar w:fldCharType="separate"/>
        </w:r>
        <w:r w:rsidR="00E465B0">
          <w:rPr>
            <w:webHidden/>
          </w:rPr>
          <w:t>3</w:t>
        </w:r>
        <w:r w:rsidR="00BE2A67">
          <w:rPr>
            <w:webHidden/>
          </w:rPr>
          <w:fldChar w:fldCharType="end"/>
        </w:r>
      </w:hyperlink>
    </w:p>
    <w:p w14:paraId="06718015" w14:textId="547A823D" w:rsidR="00BE2A67" w:rsidRDefault="008A674D">
      <w:pPr>
        <w:pStyle w:val="Innehll1"/>
        <w:rPr>
          <w:rFonts w:asciiTheme="minorHAnsi" w:eastAsiaTheme="minorEastAsia" w:hAnsiTheme="minorHAnsi" w:cstheme="minorBidi"/>
          <w:sz w:val="22"/>
          <w:szCs w:val="22"/>
          <w:lang w:val="sv-FI" w:eastAsia="sv-FI"/>
        </w:rPr>
      </w:pPr>
      <w:hyperlink w:anchor="_Toc31267100" w:history="1">
        <w:r w:rsidR="00BE2A67" w:rsidRPr="00601A69">
          <w:rPr>
            <w:rStyle w:val="Hyperlnk"/>
          </w:rPr>
          <w:t>Utskottets förslag</w:t>
        </w:r>
        <w:r w:rsidR="00BE2A67">
          <w:rPr>
            <w:webHidden/>
          </w:rPr>
          <w:tab/>
        </w:r>
        <w:r w:rsidR="00BE2A67">
          <w:rPr>
            <w:webHidden/>
          </w:rPr>
          <w:fldChar w:fldCharType="begin"/>
        </w:r>
        <w:r w:rsidR="00BE2A67">
          <w:rPr>
            <w:webHidden/>
          </w:rPr>
          <w:instrText xml:space="preserve"> PAGEREF _Toc31267100 \h </w:instrText>
        </w:r>
        <w:r w:rsidR="00BE2A67">
          <w:rPr>
            <w:webHidden/>
          </w:rPr>
        </w:r>
        <w:r w:rsidR="00BE2A67">
          <w:rPr>
            <w:webHidden/>
          </w:rPr>
          <w:fldChar w:fldCharType="separate"/>
        </w:r>
        <w:r w:rsidR="00E465B0">
          <w:rPr>
            <w:webHidden/>
          </w:rPr>
          <w:t>3</w:t>
        </w:r>
        <w:r w:rsidR="00BE2A67">
          <w:rPr>
            <w:webHidden/>
          </w:rPr>
          <w:fldChar w:fldCharType="end"/>
        </w:r>
      </w:hyperlink>
    </w:p>
    <w:p w14:paraId="04F2316D" w14:textId="4B4B4E8A" w:rsidR="002F4853" w:rsidRPr="00A279F0" w:rsidRDefault="002F4853">
      <w:pPr>
        <w:pStyle w:val="ANormal"/>
        <w:rPr>
          <w:rFonts w:ascii="Verdana" w:hAnsi="Verdana"/>
          <w:noProof/>
          <w:sz w:val="16"/>
          <w:szCs w:val="36"/>
        </w:rPr>
      </w:pPr>
      <w:r w:rsidRPr="00A279F0">
        <w:rPr>
          <w:rFonts w:ascii="Verdana" w:hAnsi="Verdana"/>
          <w:noProof/>
          <w:sz w:val="16"/>
          <w:szCs w:val="36"/>
        </w:rPr>
        <w:fldChar w:fldCharType="end"/>
      </w:r>
    </w:p>
    <w:p w14:paraId="5A5EC690" w14:textId="77777777" w:rsidR="0057037D" w:rsidRPr="00A279F0" w:rsidRDefault="0057037D" w:rsidP="00DC2EF6">
      <w:pPr>
        <w:pStyle w:val="anormal0"/>
      </w:pPr>
    </w:p>
    <w:p w14:paraId="1FB150F3" w14:textId="5A13E8C7" w:rsidR="0040579A" w:rsidRPr="005B6CCF" w:rsidRDefault="00BA401D" w:rsidP="00DC2EF6">
      <w:pPr>
        <w:pStyle w:val="anormal0"/>
      </w:pPr>
      <w:r w:rsidRPr="00A279F0">
        <w:t>Lag- och kulturutskottet</w:t>
      </w:r>
      <w:r w:rsidR="00DC2EF6" w:rsidRPr="00A279F0">
        <w:t xml:space="preserve"> har </w:t>
      </w:r>
      <w:r w:rsidR="00CF3958" w:rsidRPr="00A279F0">
        <w:t xml:space="preserve">den </w:t>
      </w:r>
      <w:r w:rsidR="00087AE3" w:rsidRPr="00A279F0">
        <w:t>28</w:t>
      </w:r>
      <w:r w:rsidR="00577CC3" w:rsidRPr="00A279F0">
        <w:t xml:space="preserve"> </w:t>
      </w:r>
      <w:r w:rsidR="0056313B">
        <w:t>januari</w:t>
      </w:r>
      <w:r w:rsidR="00087AE3" w:rsidRPr="00A279F0">
        <w:t xml:space="preserve"> 2020</w:t>
      </w:r>
      <w:r w:rsidR="007B351C" w:rsidRPr="00A279F0">
        <w:t xml:space="preserve"> </w:t>
      </w:r>
      <w:r w:rsidR="00DC2EF6" w:rsidRPr="00A279F0">
        <w:t>med stöd av</w:t>
      </w:r>
      <w:r w:rsidR="00F025E6" w:rsidRPr="00A279F0">
        <w:t xml:space="preserve"> </w:t>
      </w:r>
      <w:r w:rsidR="00F025E6" w:rsidRPr="00874BAC">
        <w:t>56</w:t>
      </w:r>
      <w:r w:rsidR="00AC77C4" w:rsidRPr="00874BAC">
        <w:t xml:space="preserve"> § arbetsordningen för Ålands lagting</w:t>
      </w:r>
      <w:r w:rsidR="00DC2EF6" w:rsidRPr="00874BAC">
        <w:t xml:space="preserve"> </w:t>
      </w:r>
      <w:r w:rsidR="00225156" w:rsidRPr="00874BAC">
        <w:t>beslutat att ge</w:t>
      </w:r>
      <w:r w:rsidR="00DC2EF6" w:rsidRPr="00874BAC">
        <w:t xml:space="preserve"> finans</w:t>
      </w:r>
      <w:r w:rsidR="002C37C7" w:rsidRPr="00874BAC">
        <w:t>- och närings</w:t>
      </w:r>
      <w:r w:rsidR="00DC2EF6" w:rsidRPr="00874BAC">
        <w:t>uts</w:t>
      </w:r>
      <w:r w:rsidR="00DC2EF6" w:rsidRPr="00A279F0">
        <w:t>kot</w:t>
      </w:r>
      <w:r w:rsidR="009A3FAE" w:rsidRPr="00A279F0">
        <w:t>tet</w:t>
      </w:r>
      <w:r w:rsidR="00225156" w:rsidRPr="00A279F0">
        <w:t xml:space="preserve"> tillfälle att om utskottet så önskar och har något ytterligare att tillägga i förhållande till utskottets tidigare utlåtande ge ett utlåtande över föreliggande förslag till lag om ändring av självstyrelselagen för Åland. </w:t>
      </w:r>
      <w:r w:rsidR="0040579A" w:rsidRPr="00A279F0">
        <w:t xml:space="preserve">Finans- och näringsutskottet har i utlåtande 1/2018-2019 anfört synpunkter på samma proposition (RP 320/2018) som </w:t>
      </w:r>
      <w:r w:rsidR="00225156" w:rsidRPr="00A279F0">
        <w:t>nu avses</w:t>
      </w:r>
      <w:r w:rsidR="0056313B">
        <w:t xml:space="preserve"> i</w:t>
      </w:r>
      <w:r w:rsidR="00225156" w:rsidRPr="00A279F0">
        <w:t xml:space="preserve"> </w:t>
      </w:r>
      <w:r w:rsidR="0040579A" w:rsidRPr="00A279F0">
        <w:t>republikens presidents framställning nr 1/2019-</w:t>
      </w:r>
      <w:r w:rsidR="0040579A" w:rsidRPr="005B6CCF">
        <w:t>2020.</w:t>
      </w:r>
    </w:p>
    <w:p w14:paraId="6802B3B4" w14:textId="08A112F6" w:rsidR="00B108D0" w:rsidRDefault="00B108D0" w:rsidP="00B108D0">
      <w:pPr>
        <w:pStyle w:val="anormal0"/>
      </w:pPr>
      <w:r w:rsidRPr="005B6CCF">
        <w:t xml:space="preserve">   Utgående från den behörighetsfördelning mellan utskotten som framgår av lagtingets arbetsordning ser utskottet det som sin uppgift att i första hand granska förslaget </w:t>
      </w:r>
      <w:r w:rsidR="000B289D" w:rsidRPr="005B6CCF">
        <w:t>med beaktande</w:t>
      </w:r>
      <w:r w:rsidRPr="005B6CCF">
        <w:t xml:space="preserve"> att förutsättningarna för finansiering av självstyrelsens uppgifter ska vara tryggade samt att de finansieringsmekanismer som regelverket ger uttryck för på systemnivå ska vara ägnade att främja en livskraftig och hållbar utveckling.</w:t>
      </w:r>
      <w:r>
        <w:t xml:space="preserve"> </w:t>
      </w:r>
    </w:p>
    <w:p w14:paraId="7D8EBD57" w14:textId="77777777" w:rsidR="00B108D0" w:rsidRPr="00A279F0" w:rsidRDefault="00B108D0" w:rsidP="00DC2EF6">
      <w:pPr>
        <w:pStyle w:val="anormal0"/>
      </w:pPr>
    </w:p>
    <w:p w14:paraId="5C3A6800" w14:textId="77777777" w:rsidR="002F4853" w:rsidRPr="00A279F0" w:rsidRDefault="002F4853">
      <w:pPr>
        <w:pStyle w:val="RubrikA"/>
      </w:pPr>
      <w:bookmarkStart w:id="3" w:name="_Toc529800935"/>
      <w:bookmarkStart w:id="4" w:name="_Toc31267095"/>
      <w:r w:rsidRPr="00A279F0">
        <w:t>Utskottets synpunkter</w:t>
      </w:r>
      <w:bookmarkEnd w:id="3"/>
      <w:bookmarkEnd w:id="4"/>
    </w:p>
    <w:p w14:paraId="47B49F4B" w14:textId="77777777" w:rsidR="00BA401D" w:rsidRPr="00A279F0" w:rsidRDefault="00BA401D" w:rsidP="00BA401D">
      <w:pPr>
        <w:pStyle w:val="Rubrikmellanrum"/>
      </w:pPr>
    </w:p>
    <w:p w14:paraId="4163764D" w14:textId="7E6BE397" w:rsidR="002244F1" w:rsidRPr="00A279F0" w:rsidRDefault="00BA401D" w:rsidP="00C63A68">
      <w:pPr>
        <w:pStyle w:val="ANormal"/>
      </w:pPr>
      <w:bookmarkStart w:id="5" w:name="_Toc314755009"/>
      <w:bookmarkStart w:id="6" w:name="_Toc314753406"/>
      <w:bookmarkStart w:id="7" w:name="_Toc314752844"/>
      <w:bookmarkStart w:id="8" w:name="_Toc279748925"/>
      <w:bookmarkStart w:id="9" w:name="_Toc279733747"/>
      <w:bookmarkStart w:id="10" w:name="_Toc279661186"/>
      <w:bookmarkStart w:id="11" w:name="_Toc279655450"/>
      <w:bookmarkEnd w:id="5"/>
      <w:bookmarkEnd w:id="6"/>
      <w:bookmarkEnd w:id="7"/>
      <w:bookmarkEnd w:id="8"/>
      <w:bookmarkEnd w:id="9"/>
      <w:bookmarkEnd w:id="10"/>
      <w:r w:rsidRPr="00A279F0">
        <w:t>Utskottet</w:t>
      </w:r>
      <w:r w:rsidR="00E14B27" w:rsidRPr="00A279F0">
        <w:t xml:space="preserve"> konstaterar att </w:t>
      </w:r>
      <w:r w:rsidR="003152BC" w:rsidRPr="00A279F0">
        <w:t xml:space="preserve">förslaget </w:t>
      </w:r>
      <w:r w:rsidR="002244F1" w:rsidRPr="00A279F0">
        <w:t>syftar till revidering av modellen för finansiering av självstyrelsens uppgifter</w:t>
      </w:r>
      <w:r w:rsidR="00C63A68" w:rsidRPr="00A279F0">
        <w:t xml:space="preserve">. Systemet för avräkning och skattegottgörelse som utgör huvudkomponenter i dagens system ska enligt förslaget ersättas med ett </w:t>
      </w:r>
      <w:r w:rsidR="002244F1" w:rsidRPr="00A279F0">
        <w:t>reviderat system för avräkning</w:t>
      </w:r>
      <w:r w:rsidR="00C63A68" w:rsidRPr="00A279F0">
        <w:t xml:space="preserve"> och</w:t>
      </w:r>
      <w:r w:rsidR="002244F1" w:rsidRPr="00A279F0">
        <w:t xml:space="preserve"> ett nytt system för skatteavräkning</w:t>
      </w:r>
      <w:r w:rsidR="00C63A68" w:rsidRPr="00A279F0">
        <w:t xml:space="preserve">. </w:t>
      </w:r>
    </w:p>
    <w:p w14:paraId="5A31CF74" w14:textId="5DEA2B76" w:rsidR="007A1544" w:rsidRPr="00A279F0" w:rsidRDefault="00C63A68" w:rsidP="00E14B27">
      <w:pPr>
        <w:pStyle w:val="ANormal"/>
      </w:pPr>
      <w:r w:rsidRPr="00A279F0">
        <w:t xml:space="preserve">   Förändringen medför en förskjutning av tyngdpunkten mellan finansieringsmodellens olika delar så att </w:t>
      </w:r>
      <w:r w:rsidR="00A064B3">
        <w:t xml:space="preserve">Ålands </w:t>
      </w:r>
      <w:r w:rsidRPr="00A279F0">
        <w:t>utgifter till mindre del komm</w:t>
      </w:r>
      <w:r w:rsidR="00D93D6F">
        <w:t>er</w:t>
      </w:r>
      <w:r w:rsidRPr="00A279F0">
        <w:t xml:space="preserve"> att finansieras med avräkningsbeloppet och till större del med skatte</w:t>
      </w:r>
      <w:r w:rsidR="004967CB">
        <w:t>avräkningen</w:t>
      </w:r>
      <w:r w:rsidRPr="00A279F0">
        <w:t xml:space="preserve">. Av regeringens proposition (RP 320/2018) framgår att </w:t>
      </w:r>
      <w:r w:rsidRPr="00155EA9">
        <w:t>landskapets</w:t>
      </w:r>
      <w:r w:rsidRPr="00A279F0">
        <w:t xml:space="preserve"> uppgifter </w:t>
      </w:r>
      <w:r w:rsidR="00D93D6F" w:rsidRPr="00A279F0">
        <w:t xml:space="preserve">år </w:t>
      </w:r>
      <w:proofErr w:type="gramStart"/>
      <w:r w:rsidR="00D93D6F" w:rsidRPr="00A279F0">
        <w:t>2016-2018</w:t>
      </w:r>
      <w:proofErr w:type="gramEnd"/>
      <w:r w:rsidR="00D93D6F" w:rsidRPr="00A279F0">
        <w:t xml:space="preserve"> </w:t>
      </w:r>
      <w:r w:rsidRPr="00A279F0">
        <w:t xml:space="preserve">finansierades i genomsnitt till ca 65 procent med avräkningsbeloppet </w:t>
      </w:r>
      <w:r w:rsidR="00D93D6F">
        <w:t xml:space="preserve">och </w:t>
      </w:r>
      <w:r w:rsidRPr="00A279F0">
        <w:t>till ca. 4,5 procent med skattegottgörelsen</w:t>
      </w:r>
      <w:r w:rsidR="00D93D6F">
        <w:t>. E</w:t>
      </w:r>
      <w:r w:rsidR="007A1544" w:rsidRPr="00A279F0">
        <w:t>nligt en preliminär uppskattning baserad på 201</w:t>
      </w:r>
      <w:r w:rsidR="004967CB">
        <w:t>6</w:t>
      </w:r>
      <w:r w:rsidR="007A1544" w:rsidRPr="00A279F0">
        <w:t>-2018 års uppgifter innebär lagförslaget att uppgifterna skulle finansieras till ca 48 procent med avräkningsbeloppet och till ca 23 procent med skatteavräkningen.</w:t>
      </w:r>
    </w:p>
    <w:p w14:paraId="7B76927D" w14:textId="77777777" w:rsidR="007A1544" w:rsidRPr="00A279F0" w:rsidRDefault="007A1544" w:rsidP="00E14B27">
      <w:pPr>
        <w:pStyle w:val="ANormal"/>
      </w:pPr>
      <w:bookmarkStart w:id="12" w:name="_GoBack"/>
      <w:bookmarkEnd w:id="12"/>
    </w:p>
    <w:p w14:paraId="6DDCE4B7" w14:textId="108657B4" w:rsidR="00C63A68" w:rsidRPr="00A279F0" w:rsidRDefault="007A1544" w:rsidP="007D54D6">
      <w:pPr>
        <w:pStyle w:val="RubrikB"/>
      </w:pPr>
      <w:bookmarkStart w:id="13" w:name="_Toc31267096"/>
      <w:r w:rsidRPr="00A279F0">
        <w:lastRenderedPageBreak/>
        <w:t>Avräkningssystemet</w:t>
      </w:r>
      <w:bookmarkEnd w:id="13"/>
    </w:p>
    <w:p w14:paraId="11F58C3D" w14:textId="2BC1212A" w:rsidR="003528B1" w:rsidRPr="00A279F0" w:rsidRDefault="007A1544" w:rsidP="00E14B27">
      <w:pPr>
        <w:pStyle w:val="ANormal"/>
      </w:pPr>
      <w:r w:rsidRPr="00A279F0">
        <w:t xml:space="preserve">Av propositionen framgår att vid dimensionering av det nya avräkningssystemet </w:t>
      </w:r>
      <w:r w:rsidR="009D25DA" w:rsidRPr="00A279F0">
        <w:t>(</w:t>
      </w:r>
      <w:proofErr w:type="gramStart"/>
      <w:r w:rsidR="009D25DA" w:rsidRPr="00A279F0">
        <w:t>46-48</w:t>
      </w:r>
      <w:proofErr w:type="gramEnd"/>
      <w:r w:rsidR="009D25DA" w:rsidRPr="00A279F0">
        <w:t xml:space="preserve"> §§) </w:t>
      </w:r>
      <w:r w:rsidRPr="00A279F0">
        <w:t xml:space="preserve">har i jämförelse med nuläget beaktats ett tillägg </w:t>
      </w:r>
      <w:r w:rsidR="00803B46">
        <w:t>till</w:t>
      </w:r>
      <w:r w:rsidRPr="00A279F0">
        <w:t xml:space="preserve"> grundfinansieringen </w:t>
      </w:r>
      <w:r w:rsidR="00803B46">
        <w:t>med syfte</w:t>
      </w:r>
      <w:r w:rsidRPr="00A279F0">
        <w:t xml:space="preserve"> att trygga </w:t>
      </w:r>
      <w:r w:rsidRPr="00155EA9">
        <w:t xml:space="preserve">att </w:t>
      </w:r>
      <w:r w:rsidR="00A064B3" w:rsidRPr="00155EA9">
        <w:t>landskapet</w:t>
      </w:r>
      <w:r w:rsidR="00803B46">
        <w:t xml:space="preserve"> </w:t>
      </w:r>
      <w:r w:rsidRPr="00A279F0">
        <w:t>kan finansiera sina uppgifter. Den i propositionen nämnda nivå</w:t>
      </w:r>
      <w:r w:rsidR="00803B46">
        <w:t>n</w:t>
      </w:r>
      <w:r w:rsidRPr="00A279F0">
        <w:t xml:space="preserve"> </w:t>
      </w:r>
      <w:r w:rsidR="003528B1" w:rsidRPr="00A279F0">
        <w:t xml:space="preserve">på avräkningsgrunden </w:t>
      </w:r>
      <w:r w:rsidRPr="00A279F0">
        <w:t xml:space="preserve">om 0,45 </w:t>
      </w:r>
      <w:r w:rsidR="003528B1" w:rsidRPr="00A279F0">
        <w:t xml:space="preserve">procent står </w:t>
      </w:r>
      <w:r w:rsidRPr="00A279F0">
        <w:t xml:space="preserve">enligt utskottets förmenande inte i proportion </w:t>
      </w:r>
      <w:r w:rsidRPr="00155EA9">
        <w:t xml:space="preserve">till </w:t>
      </w:r>
      <w:r w:rsidR="00A064B3" w:rsidRPr="00155EA9">
        <w:t>Ålands</w:t>
      </w:r>
      <w:r w:rsidRPr="00155EA9">
        <w:t xml:space="preserve"> kostnadsansvar </w:t>
      </w:r>
      <w:r w:rsidR="003528B1" w:rsidRPr="00155EA9">
        <w:t xml:space="preserve">och till </w:t>
      </w:r>
      <w:r w:rsidR="008801C8" w:rsidRPr="00155EA9">
        <w:t xml:space="preserve">den ökning av </w:t>
      </w:r>
      <w:r w:rsidR="00155EA9" w:rsidRPr="00155EA9">
        <w:t>landskapets</w:t>
      </w:r>
      <w:r w:rsidR="008801C8" w:rsidRPr="00155EA9">
        <w:t xml:space="preserve"> relativa befolkningsandel som skett </w:t>
      </w:r>
      <w:r w:rsidRPr="00155EA9">
        <w:t>sedan senaste revision</w:t>
      </w:r>
      <w:r w:rsidR="003528B1" w:rsidRPr="00155EA9">
        <w:t xml:space="preserve">. </w:t>
      </w:r>
      <w:r w:rsidR="003746A6" w:rsidRPr="00155EA9">
        <w:t xml:space="preserve">Utskottet har </w:t>
      </w:r>
      <w:r w:rsidR="003528B1" w:rsidRPr="00155EA9">
        <w:t xml:space="preserve">nu </w:t>
      </w:r>
      <w:r w:rsidR="003746A6" w:rsidRPr="00155EA9">
        <w:t xml:space="preserve">erfarit </w:t>
      </w:r>
      <w:r w:rsidR="00197E9D" w:rsidRPr="00155EA9">
        <w:t>att de</w:t>
      </w:r>
      <w:r w:rsidR="003528B1" w:rsidRPr="00155EA9">
        <w:t xml:space="preserve">t från regeringen i </w:t>
      </w:r>
      <w:r w:rsidR="00A064B3" w:rsidRPr="00155EA9">
        <w:t>Finland</w:t>
      </w:r>
      <w:r w:rsidR="003528B1" w:rsidRPr="00155EA9">
        <w:t xml:space="preserve"> har lämnats en utfästelse om att, under förutsättning att </w:t>
      </w:r>
      <w:r w:rsidR="00A064B3" w:rsidRPr="00155EA9">
        <w:t>Åland</w:t>
      </w:r>
      <w:r w:rsidR="003528B1" w:rsidRPr="00155EA9">
        <w:t xml:space="preserve"> först för sin d</w:t>
      </w:r>
      <w:r w:rsidR="003528B1" w:rsidRPr="00A279F0">
        <w:t xml:space="preserve">el godkänner föreliggande förslag till ändring av självstyrelselagen, föra en proposition </w:t>
      </w:r>
      <w:r w:rsidR="003528B1" w:rsidRPr="00B920C5">
        <w:t>innehållande</w:t>
      </w:r>
      <w:r w:rsidR="003528B1" w:rsidRPr="00A279F0">
        <w:t xml:space="preserve"> en höjning av avräkningsgrunden från 0,45 procent till 0,47 procent till riksdagen. </w:t>
      </w:r>
      <w:r w:rsidR="00BF103A" w:rsidRPr="00A279F0">
        <w:t xml:space="preserve">Givet att garantierna för att så blir fallet är tillräckliga anser utskottet att modellen för det reviderade avräkningssystemet så som den utarbetats i förslaget är </w:t>
      </w:r>
      <w:r w:rsidR="00BF103A" w:rsidRPr="00803B46">
        <w:t>tillfyllest</w:t>
      </w:r>
      <w:r w:rsidR="00BF103A" w:rsidRPr="00A279F0">
        <w:t xml:space="preserve">. </w:t>
      </w:r>
    </w:p>
    <w:p w14:paraId="12E020C1" w14:textId="213A8B48" w:rsidR="00187535" w:rsidRPr="00A279F0" w:rsidRDefault="008801C8" w:rsidP="007D54D6">
      <w:pPr>
        <w:pStyle w:val="ANormal"/>
      </w:pPr>
      <w:r w:rsidRPr="00A279F0">
        <w:t xml:space="preserve">   </w:t>
      </w:r>
      <w:r w:rsidR="00BF103A" w:rsidRPr="00A279F0">
        <w:t xml:space="preserve">Utskottet välkomnar </w:t>
      </w:r>
      <w:r w:rsidR="004470B6" w:rsidRPr="00A279F0">
        <w:t xml:space="preserve">den återkommande </w:t>
      </w:r>
      <w:r w:rsidR="009D25DA" w:rsidRPr="00A279F0">
        <w:t>bedömning</w:t>
      </w:r>
      <w:r w:rsidR="004470B6" w:rsidRPr="00A279F0">
        <w:t>en</w:t>
      </w:r>
      <w:r w:rsidR="009D25DA" w:rsidRPr="00A279F0">
        <w:t xml:space="preserve"> av huruvida det föreligger grunder för ändring av avräkningsgrunden</w:t>
      </w:r>
      <w:r w:rsidR="00187535" w:rsidRPr="00A279F0">
        <w:t xml:space="preserve">. I en föränderlig värld måste olika parametrar kunna </w:t>
      </w:r>
      <w:r w:rsidR="007D54D6" w:rsidRPr="00A279F0">
        <w:t xml:space="preserve">tas till diskussion och </w:t>
      </w:r>
      <w:r w:rsidR="00187535" w:rsidRPr="00A279F0">
        <w:t>förändras</w:t>
      </w:r>
      <w:r w:rsidR="007D54D6" w:rsidRPr="00A279F0">
        <w:t>. D</w:t>
      </w:r>
      <w:r w:rsidR="00187535" w:rsidRPr="00A279F0">
        <w:t xml:space="preserve">en regelbundet återkommande bedömningen </w:t>
      </w:r>
      <w:r w:rsidR="007D54D6" w:rsidRPr="00A279F0">
        <w:t xml:space="preserve">kan, under förutsättning att de nu gjorda utfästelserna till en början infrias, </w:t>
      </w:r>
      <w:r w:rsidR="00187535" w:rsidRPr="00A279F0">
        <w:t>utgör</w:t>
      </w:r>
      <w:r w:rsidR="007D54D6" w:rsidRPr="00A279F0">
        <w:t>a en plattform för ömsesidig och tillitsfull dialog.</w:t>
      </w:r>
      <w:r w:rsidR="00187535" w:rsidRPr="00A279F0">
        <w:t xml:space="preserve"> </w:t>
      </w:r>
    </w:p>
    <w:p w14:paraId="7F1393DC" w14:textId="7EE2E42B" w:rsidR="002C0A65" w:rsidRPr="00A279F0" w:rsidRDefault="007D54D6" w:rsidP="008801C8">
      <w:pPr>
        <w:pStyle w:val="ANormal"/>
      </w:pPr>
      <w:r w:rsidRPr="00A279F0">
        <w:t xml:space="preserve">   Utskottet välkomnar också </w:t>
      </w:r>
      <w:r w:rsidR="004470B6" w:rsidRPr="00A279F0">
        <w:t xml:space="preserve">mekanismen för automatiskt </w:t>
      </w:r>
      <w:r w:rsidR="00BF103A" w:rsidRPr="00A279F0">
        <w:t>beaktande av förändringar i befolkningsunderlaget</w:t>
      </w:r>
      <w:r w:rsidR="004470B6" w:rsidRPr="00A279F0">
        <w:t xml:space="preserve">. </w:t>
      </w:r>
      <w:r w:rsidR="008801C8" w:rsidRPr="00A279F0">
        <w:t xml:space="preserve">Utskottet konstaterar att minskande födelsetal utgör en utmaning på Åland och i hela </w:t>
      </w:r>
      <w:r w:rsidR="00B920C5">
        <w:t>Finland</w:t>
      </w:r>
      <w:r w:rsidR="008801C8" w:rsidRPr="00A279F0">
        <w:t xml:space="preserve">. De fördelar som </w:t>
      </w:r>
      <w:r w:rsidR="008801C8" w:rsidRPr="00A064B3">
        <w:t>följer av att befolkningstalet för Åland i förhållande till hela Finlands befolk</w:t>
      </w:r>
      <w:r w:rsidR="008801C8" w:rsidRPr="00A279F0">
        <w:t xml:space="preserve">ningstal beaktas vid verkställandet av avräkningsbeloppet är ägnade att stimulera ett aktivt </w:t>
      </w:r>
      <w:r w:rsidR="002C0A65" w:rsidRPr="00A279F0">
        <w:t xml:space="preserve">lokalt </w:t>
      </w:r>
      <w:r w:rsidR="008801C8" w:rsidRPr="00A279F0">
        <w:t>arbete för tillväxt och attraktionskraft</w:t>
      </w:r>
      <w:r w:rsidR="002C0A65" w:rsidRPr="00A279F0">
        <w:t xml:space="preserve">, som ifall det är framgångsrikt gynnar både Åland och Finland. De risker som följer av samma bestämmelse bedömer utskottet i ljuset av lagförslaget som helhet som </w:t>
      </w:r>
      <w:r w:rsidR="00803B46">
        <w:t>rimliga</w:t>
      </w:r>
      <w:r w:rsidR="002C0A65" w:rsidRPr="00803B46">
        <w:t>.</w:t>
      </w:r>
      <w:r w:rsidR="002C0A65" w:rsidRPr="00A279F0">
        <w:t xml:space="preserve"> </w:t>
      </w:r>
    </w:p>
    <w:p w14:paraId="1616262B" w14:textId="5E853C9E" w:rsidR="008801C8" w:rsidRPr="00A279F0" w:rsidRDefault="008801C8" w:rsidP="00E14B27">
      <w:pPr>
        <w:pStyle w:val="ANormal"/>
      </w:pPr>
    </w:p>
    <w:p w14:paraId="76384933" w14:textId="063A021B" w:rsidR="00BF103A" w:rsidRPr="00A279F0" w:rsidRDefault="009D25DA" w:rsidP="007D54D6">
      <w:pPr>
        <w:pStyle w:val="RubrikB"/>
      </w:pPr>
      <w:bookmarkStart w:id="14" w:name="_Toc31267097"/>
      <w:r w:rsidRPr="00A279F0">
        <w:t>Skatteavräkningen</w:t>
      </w:r>
      <w:bookmarkEnd w:id="14"/>
    </w:p>
    <w:p w14:paraId="6EE60193" w14:textId="2B564110" w:rsidR="00BF103A" w:rsidRPr="00A279F0" w:rsidRDefault="009D25DA" w:rsidP="009C7C50">
      <w:pPr>
        <w:pStyle w:val="ANormal"/>
      </w:pPr>
      <w:r w:rsidRPr="00A279F0">
        <w:t xml:space="preserve">   Skatteavräkningen (49 §) innehåller förvärvsinkomst-, kapitalinkomst-, käll-, samfunds-, tonnage- och lotteriskatten.</w:t>
      </w:r>
      <w:r w:rsidR="004470B6" w:rsidRPr="00A279F0">
        <w:t xml:space="preserve"> Bestämmelsen om skatteavräkning är utformad så att det finns en direkt koppling mellan de skatter som genereras på Åland och det belopp som återförs till Åland. </w:t>
      </w:r>
      <w:r w:rsidR="009C7C50" w:rsidRPr="00A279F0">
        <w:t xml:space="preserve">Förändringen </w:t>
      </w:r>
      <w:r w:rsidR="009C7C50" w:rsidRPr="00155EA9">
        <w:t xml:space="preserve">tillerkänner inte </w:t>
      </w:r>
      <w:r w:rsidR="00A064B3" w:rsidRPr="00155EA9">
        <w:t>Åland</w:t>
      </w:r>
      <w:r w:rsidR="009C7C50" w:rsidRPr="00155EA9">
        <w:t xml:space="preserve"> beskattningsrätt men ger </w:t>
      </w:r>
      <w:r w:rsidR="00155EA9" w:rsidRPr="00155EA9">
        <w:t>landskapet</w:t>
      </w:r>
      <w:r w:rsidR="009C7C50" w:rsidRPr="00155EA9">
        <w:t xml:space="preserve"> en ställning som</w:t>
      </w:r>
      <w:r w:rsidR="009C7C50" w:rsidRPr="00A279F0">
        <w:t xml:space="preserve"> är jämförbar med en </w:t>
      </w:r>
      <w:r w:rsidR="004470B6" w:rsidRPr="00A279F0">
        <w:t xml:space="preserve">skattetagares. </w:t>
      </w:r>
    </w:p>
    <w:p w14:paraId="443055CD" w14:textId="72C9F3EC" w:rsidR="007E022D" w:rsidRPr="00A279F0" w:rsidRDefault="001F2DF8" w:rsidP="009C7C50">
      <w:pPr>
        <w:pStyle w:val="ANormal"/>
      </w:pPr>
      <w:r w:rsidRPr="00A279F0">
        <w:t xml:space="preserve">   Modellen där skatter som uppbärs från Åland återförs till Åland skapar en tydlig </w:t>
      </w:r>
      <w:r w:rsidR="007D54D6" w:rsidRPr="00A279F0">
        <w:t>incitamentsstruktur</w:t>
      </w:r>
      <w:r w:rsidRPr="00A279F0">
        <w:t xml:space="preserve"> för att föra en </w:t>
      </w:r>
      <w:r w:rsidR="00734959">
        <w:t>resultatrik</w:t>
      </w:r>
      <w:r w:rsidRPr="00A279F0">
        <w:t xml:space="preserve"> närings- och tillväxtpolitik. Betydelsen av ett välmående näringsliv för finansieringen av självstyrelsen blir tydlig</w:t>
      </w:r>
      <w:r w:rsidR="00734959">
        <w:t>,</w:t>
      </w:r>
      <w:r w:rsidRPr="00A279F0">
        <w:t xml:space="preserve"> vilket sätter press på </w:t>
      </w:r>
      <w:r w:rsidR="00F96544">
        <w:t xml:space="preserve">en </w:t>
      </w:r>
      <w:r w:rsidRPr="00A279F0">
        <w:t xml:space="preserve">näringspolitik </w:t>
      </w:r>
      <w:r w:rsidR="00F96544">
        <w:t xml:space="preserve">som </w:t>
      </w:r>
      <w:r w:rsidRPr="00A279F0">
        <w:t xml:space="preserve">tar fasta på tillväxtfrämjande insatser. </w:t>
      </w:r>
    </w:p>
    <w:p w14:paraId="1F7A51E7" w14:textId="196ABB04" w:rsidR="007E022D" w:rsidRPr="00A279F0" w:rsidRDefault="007E022D" w:rsidP="009C7C50">
      <w:pPr>
        <w:pStyle w:val="ANormal"/>
      </w:pPr>
      <w:r w:rsidRPr="00A279F0">
        <w:t xml:space="preserve">   </w:t>
      </w:r>
      <w:r w:rsidR="001F2DF8" w:rsidRPr="00A279F0">
        <w:t xml:space="preserve">Liksom </w:t>
      </w:r>
      <w:r w:rsidRPr="00A279F0">
        <w:t>framgår ovan förväntas</w:t>
      </w:r>
      <w:r w:rsidR="001F2DF8" w:rsidRPr="00A279F0">
        <w:t xml:space="preserve"> </w:t>
      </w:r>
      <w:r w:rsidRPr="00A279F0">
        <w:t xml:space="preserve">skatteavräkningens betydelse för finansiering av </w:t>
      </w:r>
      <w:r w:rsidR="00F96544">
        <w:t>landskapets</w:t>
      </w:r>
      <w:r w:rsidRPr="00A279F0">
        <w:t xml:space="preserve"> kostnader bli c</w:t>
      </w:r>
      <w:r w:rsidR="00F96544">
        <w:t>irka</w:t>
      </w:r>
      <w:r w:rsidRPr="00A279F0">
        <w:t xml:space="preserve"> </w:t>
      </w:r>
      <w:r w:rsidR="00F96544">
        <w:t>fem</w:t>
      </w:r>
      <w:r w:rsidRPr="00A279F0">
        <w:t xml:space="preserve"> gånger större än den nuvarande skattegottgörelsens. Det gör också att </w:t>
      </w:r>
      <w:r w:rsidR="00A064B3" w:rsidRPr="00F96544">
        <w:t>Åland</w:t>
      </w:r>
      <w:r w:rsidR="00A064B3" w:rsidRPr="00A279F0">
        <w:t xml:space="preserve"> </w:t>
      </w:r>
      <w:r w:rsidRPr="00A279F0">
        <w:t xml:space="preserve">blir mera direkt beroende av förändringar vad gäller </w:t>
      </w:r>
      <w:r w:rsidRPr="00F96544">
        <w:t xml:space="preserve">såväl skattegrund som skattebas för de olika skatteslagen. Utskottet noterar att </w:t>
      </w:r>
      <w:r w:rsidR="00A064B3" w:rsidRPr="00F96544">
        <w:t>Åland</w:t>
      </w:r>
      <w:r w:rsidRPr="00A279F0">
        <w:t xml:space="preserve"> alltjämt i stor utsträckning saknar </w:t>
      </w:r>
      <w:r w:rsidR="00734959">
        <w:t>möjligheter</w:t>
      </w:r>
      <w:r w:rsidRPr="00A279F0">
        <w:t xml:space="preserve"> att påverka förutsättningar av betydelse för dessa skatteslag. </w:t>
      </w:r>
      <w:r w:rsidRPr="00734959">
        <w:t xml:space="preserve">Tonnageskattens utfall kan exempelvis påverkas av den nationella sjöfartspolitiken </w:t>
      </w:r>
      <w:r w:rsidR="00FB7F7F" w:rsidRPr="00734959">
        <w:t>och förutsättningar</w:t>
      </w:r>
      <w:r w:rsidR="00B920C5" w:rsidRPr="00734959">
        <w:t>na</w:t>
      </w:r>
      <w:r w:rsidR="00FB7F7F" w:rsidRPr="00734959">
        <w:t xml:space="preserve"> </w:t>
      </w:r>
      <w:r w:rsidR="00B920C5" w:rsidRPr="00734959">
        <w:t>för</w:t>
      </w:r>
      <w:r w:rsidR="00FB7F7F" w:rsidRPr="00734959">
        <w:t xml:space="preserve"> att bedriva sjöfart under fin</w:t>
      </w:r>
      <w:r w:rsidR="00734959" w:rsidRPr="00734959">
        <w:t>ländsk</w:t>
      </w:r>
      <w:r w:rsidR="001423B6" w:rsidRPr="00734959">
        <w:t xml:space="preserve"> </w:t>
      </w:r>
      <w:r w:rsidR="00FB7F7F" w:rsidRPr="00734959">
        <w:t>flagg</w:t>
      </w:r>
      <w:r w:rsidRPr="00734959">
        <w:t xml:space="preserve"> ligger utanför </w:t>
      </w:r>
      <w:r w:rsidR="00F96544">
        <w:t>åländsk</w:t>
      </w:r>
      <w:r w:rsidRPr="00734959">
        <w:t xml:space="preserve"> kontroll.</w:t>
      </w:r>
      <w:r w:rsidRPr="00A279F0">
        <w:t xml:space="preserve"> </w:t>
      </w:r>
      <w:r w:rsidR="00FB7F7F" w:rsidRPr="00A279F0">
        <w:t>För att inte drabbas av oväntade bortfall i ekonomi</w:t>
      </w:r>
      <w:r w:rsidR="00F96544">
        <w:t>n</w:t>
      </w:r>
      <w:r w:rsidR="00FB7F7F" w:rsidRPr="00A279F0">
        <w:t xml:space="preserve"> kan det vara motiverat att närmare analysera de olika skatteslagens andel av hela skatteavräkningen och vid behov göra fördjupade riskanalyser för ett eller flera skatteslag. </w:t>
      </w:r>
    </w:p>
    <w:p w14:paraId="0BD03B46" w14:textId="31761C1D" w:rsidR="00423658" w:rsidRDefault="004470B6" w:rsidP="004470B6">
      <w:pPr>
        <w:pStyle w:val="ANormal"/>
      </w:pPr>
      <w:r w:rsidRPr="00A279F0">
        <w:lastRenderedPageBreak/>
        <w:t xml:space="preserve">   </w:t>
      </w:r>
      <w:r w:rsidR="002175CD" w:rsidRPr="00423658">
        <w:t>Bland de s</w:t>
      </w:r>
      <w:r w:rsidRPr="00423658">
        <w:t xml:space="preserve">katteslag som </w:t>
      </w:r>
      <w:r w:rsidR="002175CD" w:rsidRPr="00423658">
        <w:t xml:space="preserve">ingår i avräkningen är samfunds- och kapitalinkomstskatterna särskilt varierande och svåra att förutsäga över tid på ett sätt som kan medföra stora oväntade variationer i inkomstnivåer. Förslaget innehåller en säkerhetsmekanism för att dämpa effekten av stora lokala nedgångar. Mekanismen är utformad så att Åland, om dessa skatter med mer än 10 procent understiger det belopp som hade tillfallit </w:t>
      </w:r>
      <w:r w:rsidR="00A064B3" w:rsidRPr="00F96544">
        <w:t>Åland</w:t>
      </w:r>
      <w:r w:rsidR="002175CD" w:rsidRPr="00423658">
        <w:t xml:space="preserve"> om skatterna istället hade hanterats inom ramen för avräkningssystemet, kompenseras med ett belopp motsvarande mellanskillnaden. Utskottet konstaterar att mekanismen är ägnad att </w:t>
      </w:r>
      <w:r w:rsidR="0050328B" w:rsidRPr="00423658">
        <w:t>säkra stabilitet och förutsägbarhet i ekonomi</w:t>
      </w:r>
      <w:r w:rsidR="00F96544">
        <w:t>n</w:t>
      </w:r>
      <w:r w:rsidR="0050328B" w:rsidRPr="00423658">
        <w:t xml:space="preserve"> vilket </w:t>
      </w:r>
      <w:r w:rsidR="00423658" w:rsidRPr="00423658">
        <w:t xml:space="preserve">är </w:t>
      </w:r>
      <w:r w:rsidR="0050328B" w:rsidRPr="00423658">
        <w:t xml:space="preserve">till fördel för såväl Åland som för </w:t>
      </w:r>
      <w:r w:rsidR="00423658" w:rsidRPr="00423658">
        <w:t>Finland</w:t>
      </w:r>
      <w:r w:rsidR="0050328B" w:rsidRPr="00423658">
        <w:t>.</w:t>
      </w:r>
      <w:r w:rsidR="0050328B" w:rsidRPr="00A279F0">
        <w:t xml:space="preserve"> </w:t>
      </w:r>
    </w:p>
    <w:p w14:paraId="58CF7FB7" w14:textId="77777777" w:rsidR="004470B6" w:rsidRPr="00A279F0" w:rsidRDefault="004470B6" w:rsidP="00E14B27">
      <w:pPr>
        <w:pStyle w:val="ANormal"/>
      </w:pPr>
    </w:p>
    <w:p w14:paraId="7AC1D990" w14:textId="77777777" w:rsidR="008D66C2" w:rsidRPr="00A279F0" w:rsidRDefault="008D66C2" w:rsidP="007D54D6">
      <w:pPr>
        <w:pStyle w:val="RubrikB"/>
      </w:pPr>
      <w:bookmarkStart w:id="15" w:name="_Toc31267098"/>
      <w:r w:rsidRPr="00A279F0">
        <w:t>Extra anslag</w:t>
      </w:r>
      <w:bookmarkEnd w:id="15"/>
      <w:r w:rsidRPr="00A279F0">
        <w:t xml:space="preserve"> </w:t>
      </w:r>
    </w:p>
    <w:p w14:paraId="79C44FF6" w14:textId="60FCD0E4" w:rsidR="008D66C2" w:rsidRPr="00A279F0" w:rsidRDefault="008D66C2" w:rsidP="008D66C2">
      <w:pPr>
        <w:pStyle w:val="Rubrikmellanrum"/>
      </w:pPr>
    </w:p>
    <w:p w14:paraId="18E6CF24" w14:textId="0E46B94D" w:rsidR="0095326C" w:rsidRPr="00A279F0" w:rsidRDefault="002C0A65" w:rsidP="008D66C2">
      <w:pPr>
        <w:pStyle w:val="ANormal"/>
      </w:pPr>
      <w:r w:rsidRPr="00A279F0">
        <w:t xml:space="preserve">Vad gäller </w:t>
      </w:r>
      <w:r w:rsidR="0095326C" w:rsidRPr="00A279F0">
        <w:t xml:space="preserve">möjligheten att på framställning av lagtinget bevilja </w:t>
      </w:r>
      <w:r w:rsidR="008D66C2" w:rsidRPr="00A279F0">
        <w:t xml:space="preserve">extra anslag för ”osedvanligt stora engångsutgifter som inte rimligen kan finansieras med budgeten för </w:t>
      </w:r>
      <w:r w:rsidR="008D66C2" w:rsidRPr="00F96544">
        <w:t>landskapet</w:t>
      </w:r>
      <w:r w:rsidR="008D66C2" w:rsidRPr="00A279F0">
        <w:t xml:space="preserve"> Åland” </w:t>
      </w:r>
      <w:r w:rsidR="0095326C" w:rsidRPr="00A279F0">
        <w:t>konstaterar utskottet att det inför kommande revisioner av självstyrelselagen kvarstår ett behov av att förtydliga</w:t>
      </w:r>
      <w:r w:rsidR="00423658">
        <w:t>.</w:t>
      </w:r>
      <w:r w:rsidR="0095326C" w:rsidRPr="00A279F0">
        <w:t xml:space="preserve"> </w:t>
      </w:r>
      <w:r w:rsidR="00423658">
        <w:t>V</w:t>
      </w:r>
      <w:r w:rsidR="0095326C" w:rsidRPr="00A279F0">
        <w:t xml:space="preserve">ilken funktion bestämmelsen har i modellen för finansiering av självstyrelsen samt </w:t>
      </w:r>
    </w:p>
    <w:p w14:paraId="198C6875" w14:textId="22504501" w:rsidR="0095326C" w:rsidRPr="00A279F0" w:rsidRDefault="008D66C2" w:rsidP="008D66C2">
      <w:pPr>
        <w:pStyle w:val="ANormal"/>
      </w:pPr>
      <w:r w:rsidRPr="00A279F0">
        <w:t xml:space="preserve">vilka typer av utgifter som </w:t>
      </w:r>
      <w:r w:rsidR="0095326C" w:rsidRPr="00A279F0">
        <w:t>avses</w:t>
      </w:r>
      <w:r w:rsidR="00423658">
        <w:t xml:space="preserve"> behöver klargöras.</w:t>
      </w:r>
    </w:p>
    <w:p w14:paraId="592BD216" w14:textId="77777777" w:rsidR="00187535" w:rsidRPr="00F96544" w:rsidRDefault="00187535" w:rsidP="002845F9">
      <w:pPr>
        <w:pStyle w:val="ANormal"/>
        <w:rPr>
          <w:sz w:val="24"/>
          <w:szCs w:val="24"/>
        </w:rPr>
      </w:pPr>
    </w:p>
    <w:p w14:paraId="2641B8CF" w14:textId="77777777" w:rsidR="002F4853" w:rsidRPr="00A279F0" w:rsidRDefault="002F4853" w:rsidP="007D54D6">
      <w:pPr>
        <w:pStyle w:val="RubrikA"/>
      </w:pPr>
      <w:bookmarkStart w:id="16" w:name="_Toc529800936"/>
      <w:bookmarkStart w:id="17" w:name="_Toc31267099"/>
      <w:bookmarkEnd w:id="11"/>
      <w:r w:rsidRPr="00A279F0">
        <w:t>Ärendets behandling</w:t>
      </w:r>
      <w:bookmarkEnd w:id="16"/>
      <w:bookmarkEnd w:id="17"/>
    </w:p>
    <w:p w14:paraId="425BAC19" w14:textId="77777777" w:rsidR="009A3FAE" w:rsidRPr="00A279F0" w:rsidRDefault="009A3FAE" w:rsidP="009A3FAE">
      <w:pPr>
        <w:pStyle w:val="Rubrikmellanrum"/>
      </w:pPr>
    </w:p>
    <w:p w14:paraId="59099605" w14:textId="6BDE8AF4" w:rsidR="007D54D6" w:rsidRPr="00A279F0" w:rsidRDefault="00BA401D" w:rsidP="007D54D6">
      <w:pPr>
        <w:pStyle w:val="ANormal"/>
      </w:pPr>
      <w:r w:rsidRPr="00A279F0">
        <w:rPr>
          <w:szCs w:val="22"/>
        </w:rPr>
        <w:t>Lagtingets lag- och kulturutskott har den 2</w:t>
      </w:r>
      <w:r w:rsidR="007D54D6" w:rsidRPr="00A279F0">
        <w:rPr>
          <w:szCs w:val="22"/>
        </w:rPr>
        <w:t xml:space="preserve">8 </w:t>
      </w:r>
      <w:r w:rsidR="004611CC">
        <w:rPr>
          <w:szCs w:val="22"/>
        </w:rPr>
        <w:t>januari</w:t>
      </w:r>
      <w:r w:rsidR="007D54D6" w:rsidRPr="00A279F0">
        <w:rPr>
          <w:szCs w:val="22"/>
        </w:rPr>
        <w:t xml:space="preserve"> </w:t>
      </w:r>
      <w:r w:rsidR="00360E02" w:rsidRPr="00A279F0">
        <w:rPr>
          <w:szCs w:val="22"/>
        </w:rPr>
        <w:t>20</w:t>
      </w:r>
      <w:r w:rsidR="001C6F06">
        <w:rPr>
          <w:szCs w:val="22"/>
        </w:rPr>
        <w:t>20</w:t>
      </w:r>
      <w:r w:rsidRPr="00A279F0">
        <w:rPr>
          <w:szCs w:val="22"/>
        </w:rPr>
        <w:t xml:space="preserve"> </w:t>
      </w:r>
      <w:r w:rsidR="007D54D6" w:rsidRPr="00A279F0">
        <w:t xml:space="preserve">beslutat att ge finans- och näringsutskottet tillfälle att ge ett utlåtande över föreliggande förslag till lag om ändring av självstyrelselagen för Åland. </w:t>
      </w:r>
    </w:p>
    <w:p w14:paraId="3CAFE131" w14:textId="3A0A1B29" w:rsidR="00BA401D" w:rsidRPr="00A279F0" w:rsidRDefault="00BA401D" w:rsidP="00BA401D">
      <w:pPr>
        <w:pStyle w:val="ANormal"/>
      </w:pPr>
      <w:r w:rsidRPr="00A279F0">
        <w:tab/>
      </w:r>
      <w:r w:rsidRPr="00264897">
        <w:t>I ärendets avgörande behandling deltog</w:t>
      </w:r>
      <w:r w:rsidR="00A22C15" w:rsidRPr="00264897">
        <w:t xml:space="preserve"> </w:t>
      </w:r>
      <w:r w:rsidRPr="00264897">
        <w:t>ordförande</w:t>
      </w:r>
      <w:r w:rsidR="00AB2E74" w:rsidRPr="00264897">
        <w:t>n</w:t>
      </w:r>
      <w:r w:rsidRPr="00264897">
        <w:t xml:space="preserve"> </w:t>
      </w:r>
      <w:r w:rsidR="007D54D6" w:rsidRPr="00264897">
        <w:t xml:space="preserve">Jörgen Pettersson, vice ordföranden </w:t>
      </w:r>
      <w:r w:rsidRPr="00264897">
        <w:t xml:space="preserve">John Holmberg, </w:t>
      </w:r>
      <w:r w:rsidR="007D54D6" w:rsidRPr="00264897">
        <w:t xml:space="preserve">ledamöterna </w:t>
      </w:r>
      <w:r w:rsidRPr="00264897">
        <w:t>Lars Häggblom</w:t>
      </w:r>
      <w:r w:rsidR="007D54D6" w:rsidRPr="00264897">
        <w:t>, Liz Mattsson och Jörgen Strand samt er</w:t>
      </w:r>
      <w:r w:rsidR="00A22C15" w:rsidRPr="00264897">
        <w:t xml:space="preserve">sättaren </w:t>
      </w:r>
      <w:r w:rsidR="007D54D6" w:rsidRPr="00264897">
        <w:t>Katrin Sjögren.</w:t>
      </w:r>
    </w:p>
    <w:p w14:paraId="425EEFFD" w14:textId="77777777" w:rsidR="000273DB" w:rsidRPr="00A279F0" w:rsidRDefault="000273DB" w:rsidP="00BA401D">
      <w:pPr>
        <w:pStyle w:val="ANormal"/>
      </w:pPr>
      <w:r w:rsidRPr="00A279F0">
        <w:tab/>
      </w:r>
    </w:p>
    <w:p w14:paraId="4F2998EC" w14:textId="77777777" w:rsidR="002F4853" w:rsidRPr="00A279F0" w:rsidRDefault="002F4853" w:rsidP="007D54D6">
      <w:pPr>
        <w:pStyle w:val="RubrikA"/>
      </w:pPr>
      <w:bookmarkStart w:id="18" w:name="_Toc529800937"/>
      <w:bookmarkStart w:id="19" w:name="_Toc31267100"/>
      <w:r w:rsidRPr="00A279F0">
        <w:t>Utskottets förslag</w:t>
      </w:r>
      <w:bookmarkEnd w:id="18"/>
      <w:bookmarkEnd w:id="19"/>
    </w:p>
    <w:p w14:paraId="09DC71AD" w14:textId="77777777" w:rsidR="002F4853" w:rsidRPr="00A279F0" w:rsidRDefault="002F4853">
      <w:pPr>
        <w:pStyle w:val="Rubrikmellanrum"/>
      </w:pPr>
    </w:p>
    <w:p w14:paraId="6901A873" w14:textId="77777777" w:rsidR="002F4853" w:rsidRPr="00A279F0" w:rsidRDefault="002F4853">
      <w:pPr>
        <w:pStyle w:val="ANormal"/>
      </w:pPr>
      <w:r w:rsidRPr="00A279F0">
        <w:t>Med hänvisning till det anförda föreslår utskottet</w:t>
      </w:r>
    </w:p>
    <w:p w14:paraId="7FA8433A" w14:textId="77777777" w:rsidR="002F4853" w:rsidRPr="00A279F0" w:rsidRDefault="002F4853">
      <w:pPr>
        <w:pStyle w:val="ANormal"/>
      </w:pPr>
    </w:p>
    <w:p w14:paraId="75280725" w14:textId="77777777" w:rsidR="002F4853" w:rsidRPr="00A279F0" w:rsidRDefault="002F4853">
      <w:pPr>
        <w:pStyle w:val="Klam"/>
      </w:pPr>
      <w:r w:rsidRPr="00A279F0">
        <w:t xml:space="preserve">att </w:t>
      </w:r>
      <w:r w:rsidR="00BA401D" w:rsidRPr="00A279F0">
        <w:t>lag- och kulturutskottet</w:t>
      </w:r>
      <w:r w:rsidRPr="00A279F0">
        <w:t xml:space="preserve"> </w:t>
      </w:r>
      <w:r w:rsidR="000273DB" w:rsidRPr="00A279F0">
        <w:t xml:space="preserve">vid </w:t>
      </w:r>
      <w:r w:rsidRPr="00A279F0">
        <w:t>uppgörande</w:t>
      </w:r>
      <w:r w:rsidR="000273DB" w:rsidRPr="00A279F0">
        <w:t>t</w:t>
      </w:r>
      <w:r w:rsidRPr="00A279F0">
        <w:t xml:space="preserve"> av sitt betänkande beaktar vad som anförts i detta utlåtande.</w:t>
      </w:r>
    </w:p>
    <w:p w14:paraId="1BA7190B" w14:textId="77777777" w:rsidR="00C024E5" w:rsidRPr="00A279F0" w:rsidRDefault="00C024E5" w:rsidP="00C024E5">
      <w:pPr>
        <w:pStyle w:val="ANormal"/>
      </w:pPr>
    </w:p>
    <w:p w14:paraId="7478858C" w14:textId="77777777" w:rsidR="002F4853" w:rsidRPr="00A279F0" w:rsidRDefault="008A674D">
      <w:pPr>
        <w:pStyle w:val="ANormal"/>
        <w:jc w:val="center"/>
      </w:pPr>
      <w:hyperlink w:anchor="_top" w:tooltip="Klicka för att gå till toppen av dokumentet" w:history="1">
        <w:r w:rsidR="002F4853" w:rsidRPr="00A279F0">
          <w:rPr>
            <w:rStyle w:val="Hyperlnk"/>
            <w:color w:val="auto"/>
          </w:rPr>
          <w:t>__________________</w:t>
        </w:r>
      </w:hyperlink>
    </w:p>
    <w:p w14:paraId="4EA841CC" w14:textId="77777777" w:rsidR="002F4853" w:rsidRPr="00A279F0" w:rsidRDefault="002F4853">
      <w:pPr>
        <w:pStyle w:val="ANormal"/>
      </w:pPr>
    </w:p>
    <w:p w14:paraId="27F1055B" w14:textId="77777777" w:rsidR="002F4853" w:rsidRPr="00A279F0" w:rsidRDefault="002F4853">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279F0" w:rsidRPr="00A279F0" w14:paraId="64C91FEA" w14:textId="77777777">
        <w:trPr>
          <w:cantSplit/>
        </w:trPr>
        <w:tc>
          <w:tcPr>
            <w:tcW w:w="7931" w:type="dxa"/>
            <w:gridSpan w:val="2"/>
          </w:tcPr>
          <w:p w14:paraId="64672A28" w14:textId="28D5780E" w:rsidR="002F4853" w:rsidRPr="00A279F0" w:rsidRDefault="00CC3054" w:rsidP="00A22C15">
            <w:pPr>
              <w:pStyle w:val="ANormal"/>
              <w:keepNext/>
            </w:pPr>
            <w:r w:rsidRPr="00A279F0">
              <w:t>Mariehamn den</w:t>
            </w:r>
            <w:r w:rsidR="00B3634B" w:rsidRPr="00A279F0">
              <w:t xml:space="preserve"> </w:t>
            </w:r>
            <w:r w:rsidR="007D54D6" w:rsidRPr="00A279F0">
              <w:t>30 januari 2</w:t>
            </w:r>
            <w:r w:rsidR="009A3FAE" w:rsidRPr="00A279F0">
              <w:t>0</w:t>
            </w:r>
            <w:r w:rsidR="007D54D6" w:rsidRPr="00A279F0">
              <w:t>20</w:t>
            </w:r>
          </w:p>
        </w:tc>
      </w:tr>
      <w:tr w:rsidR="00A279F0" w:rsidRPr="00A279F0" w14:paraId="54087A08" w14:textId="77777777">
        <w:tc>
          <w:tcPr>
            <w:tcW w:w="4454" w:type="dxa"/>
            <w:vAlign w:val="bottom"/>
          </w:tcPr>
          <w:p w14:paraId="12DA369E" w14:textId="0E3CD9CD" w:rsidR="002F4853" w:rsidRDefault="002F4853">
            <w:pPr>
              <w:pStyle w:val="ANormal"/>
              <w:keepNext/>
            </w:pPr>
          </w:p>
          <w:p w14:paraId="4F7C479E" w14:textId="77777777" w:rsidR="00710D99" w:rsidRPr="00A279F0" w:rsidRDefault="00710D99">
            <w:pPr>
              <w:pStyle w:val="ANormal"/>
              <w:keepNext/>
            </w:pPr>
          </w:p>
          <w:p w14:paraId="586E005F" w14:textId="77777777" w:rsidR="002F4853" w:rsidRPr="00A279F0" w:rsidRDefault="002F4853">
            <w:pPr>
              <w:pStyle w:val="ANormal"/>
              <w:keepNext/>
            </w:pPr>
          </w:p>
          <w:p w14:paraId="0F112677" w14:textId="27055A15" w:rsidR="002F4853" w:rsidRPr="00A279F0" w:rsidRDefault="00921E6A" w:rsidP="00A22C15">
            <w:pPr>
              <w:pStyle w:val="ANormal"/>
              <w:keepNext/>
            </w:pPr>
            <w:r>
              <w:t>O</w:t>
            </w:r>
            <w:r w:rsidR="002F4853" w:rsidRPr="00A279F0">
              <w:t>rdförande</w:t>
            </w:r>
          </w:p>
        </w:tc>
        <w:tc>
          <w:tcPr>
            <w:tcW w:w="3477" w:type="dxa"/>
            <w:vAlign w:val="bottom"/>
          </w:tcPr>
          <w:p w14:paraId="1FFD5090" w14:textId="2DCC3C22" w:rsidR="002F4853" w:rsidRPr="00A279F0" w:rsidRDefault="007D54D6" w:rsidP="00A22C15">
            <w:pPr>
              <w:pStyle w:val="ANormal"/>
              <w:keepNext/>
              <w:rPr>
                <w:lang w:val="en-GB"/>
              </w:rPr>
            </w:pPr>
            <w:r w:rsidRPr="00A279F0">
              <w:rPr>
                <w:lang w:val="en-GB"/>
              </w:rPr>
              <w:t xml:space="preserve">Jörgen Pettersson </w:t>
            </w:r>
          </w:p>
        </w:tc>
      </w:tr>
      <w:tr w:rsidR="002F4853" w:rsidRPr="00A279F0" w14:paraId="73F4C18E" w14:textId="77777777">
        <w:tc>
          <w:tcPr>
            <w:tcW w:w="4454" w:type="dxa"/>
            <w:vAlign w:val="bottom"/>
          </w:tcPr>
          <w:p w14:paraId="643E56F3" w14:textId="6DD45070" w:rsidR="002F4853" w:rsidRDefault="002F4853">
            <w:pPr>
              <w:pStyle w:val="ANormal"/>
              <w:keepNext/>
              <w:rPr>
                <w:lang w:val="en-GB"/>
              </w:rPr>
            </w:pPr>
          </w:p>
          <w:p w14:paraId="051EC2F1" w14:textId="77777777" w:rsidR="00710D99" w:rsidRPr="00A279F0" w:rsidRDefault="00710D99">
            <w:pPr>
              <w:pStyle w:val="ANormal"/>
              <w:keepNext/>
              <w:rPr>
                <w:lang w:val="en-GB"/>
              </w:rPr>
            </w:pPr>
          </w:p>
          <w:p w14:paraId="469AA482" w14:textId="77777777" w:rsidR="002F4853" w:rsidRPr="00A279F0" w:rsidRDefault="002F4853">
            <w:pPr>
              <w:pStyle w:val="ANormal"/>
              <w:keepNext/>
              <w:rPr>
                <w:lang w:val="en-GB"/>
              </w:rPr>
            </w:pPr>
          </w:p>
          <w:p w14:paraId="35A5EF36" w14:textId="77777777" w:rsidR="002F4853" w:rsidRPr="00A279F0" w:rsidRDefault="002F4853">
            <w:pPr>
              <w:pStyle w:val="ANormal"/>
              <w:keepNext/>
            </w:pPr>
            <w:r w:rsidRPr="00A279F0">
              <w:t>Sekreterare</w:t>
            </w:r>
          </w:p>
        </w:tc>
        <w:tc>
          <w:tcPr>
            <w:tcW w:w="3477" w:type="dxa"/>
            <w:vAlign w:val="bottom"/>
          </w:tcPr>
          <w:p w14:paraId="39D6B83E" w14:textId="5310C03D" w:rsidR="002F4853" w:rsidRDefault="002F4853">
            <w:pPr>
              <w:pStyle w:val="ANormal"/>
              <w:keepNext/>
            </w:pPr>
          </w:p>
          <w:p w14:paraId="44ABCF4F" w14:textId="77777777" w:rsidR="00710D99" w:rsidRPr="00A279F0" w:rsidRDefault="00710D99">
            <w:pPr>
              <w:pStyle w:val="ANormal"/>
              <w:keepNext/>
            </w:pPr>
          </w:p>
          <w:p w14:paraId="7D670341" w14:textId="241497D8" w:rsidR="009A650E" w:rsidRPr="00A279F0" w:rsidRDefault="007D54D6" w:rsidP="00BA401D">
            <w:pPr>
              <w:pStyle w:val="ANormal"/>
              <w:keepNext/>
            </w:pPr>
            <w:r w:rsidRPr="00A279F0">
              <w:t>Emma Dahlén</w:t>
            </w:r>
          </w:p>
        </w:tc>
      </w:tr>
    </w:tbl>
    <w:p w14:paraId="0FB268FD" w14:textId="77777777" w:rsidR="002F4853" w:rsidRPr="00A279F0" w:rsidRDefault="002F4853">
      <w:pPr>
        <w:pStyle w:val="ANormal"/>
      </w:pPr>
    </w:p>
    <w:sectPr w:rsidR="002F4853" w:rsidRPr="00A279F0" w:rsidSect="009669D3">
      <w:headerReference w:type="even" r:id="rId12"/>
      <w:headerReference w:type="default" r:id="rId13"/>
      <w:footerReference w:type="even" r:id="rId14"/>
      <w:headerReference w:type="first" r:id="rId15"/>
      <w:footerReference w:type="first" r:id="rId16"/>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11BBB" w14:textId="77777777" w:rsidR="00CF6696" w:rsidRDefault="00CF6696">
      <w:r>
        <w:separator/>
      </w:r>
    </w:p>
  </w:endnote>
  <w:endnote w:type="continuationSeparator" w:id="0">
    <w:p w14:paraId="6393C530" w14:textId="77777777" w:rsidR="00CF6696" w:rsidRDefault="00CF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B9E4" w14:textId="77777777" w:rsidR="00CF6696" w:rsidRDefault="00CF6696">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30EB" w14:textId="37D3D91F" w:rsidR="008A674D" w:rsidRPr="00B31652" w:rsidRDefault="008A674D" w:rsidP="008A674D">
    <w:pPr>
      <w:pStyle w:val="Sidfot"/>
      <w:rPr>
        <w:lang w:val="sv-FI"/>
      </w:rPr>
    </w:pPr>
    <w:r>
      <w:rPr>
        <w:lang w:val="sv-FI"/>
      </w:rPr>
      <w:t>FNU</w:t>
    </w:r>
    <w:r>
      <w:rPr>
        <w:lang w:val="sv-FI"/>
      </w:rPr>
      <w:t xml:space="preserve"> -</w:t>
    </w:r>
    <w:r>
      <w:rPr>
        <w:lang w:val="sv-FI"/>
      </w:rPr>
      <w:t xml:space="preserve"> </w:t>
    </w:r>
    <w:r>
      <w:rPr>
        <w:lang w:val="sv-FI"/>
      </w:rPr>
      <w:t>U</w:t>
    </w:r>
    <w:r>
      <w:rPr>
        <w:lang w:val="sv-FI"/>
      </w:rPr>
      <w:t xml:space="preserve">tlåtande </w:t>
    </w:r>
    <w:r>
      <w:rPr>
        <w:lang w:val="sv-FI"/>
      </w:rPr>
      <w:t>0120192020</w:t>
    </w:r>
  </w:p>
  <w:p w14:paraId="77049F08" w14:textId="7BBFCB3F" w:rsidR="00CF6696" w:rsidRPr="008A674D" w:rsidRDefault="00CF6696" w:rsidP="008A674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EC10" w14:textId="77777777" w:rsidR="00CF6696" w:rsidRDefault="00CF6696">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EB15" w14:textId="77777777" w:rsidR="00CF6696" w:rsidRDefault="00CF66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1625" w14:textId="77777777" w:rsidR="00CF6696" w:rsidRDefault="00CF6696">
      <w:r>
        <w:separator/>
      </w:r>
    </w:p>
  </w:footnote>
  <w:footnote w:type="continuationSeparator" w:id="0">
    <w:p w14:paraId="562F5BD3" w14:textId="77777777" w:rsidR="00CF6696" w:rsidRDefault="00CF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C02F" w14:textId="77777777" w:rsidR="00CF6696" w:rsidRDefault="00CF669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0497" w14:textId="77777777" w:rsidR="00CF6696" w:rsidRDefault="00CF669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61CE" w14:textId="77777777" w:rsidR="00CF6696" w:rsidRDefault="00CF66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F0A28"/>
    <w:multiLevelType w:val="hybridMultilevel"/>
    <w:tmpl w:val="74F8EAA0"/>
    <w:lvl w:ilvl="0" w:tplc="872E7C9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7"/>
  </w:num>
  <w:num w:numId="13">
    <w:abstractNumId w:val="11"/>
  </w:num>
  <w:num w:numId="14">
    <w:abstractNumId w:val="16"/>
  </w:num>
  <w:num w:numId="15">
    <w:abstractNumId w:val="9"/>
  </w:num>
  <w:num w:numId="16">
    <w:abstractNumId w:val="22"/>
  </w:num>
  <w:num w:numId="17">
    <w:abstractNumId w:val="8"/>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737"/>
    <w:rsid w:val="00002870"/>
    <w:rsid w:val="00014ADF"/>
    <w:rsid w:val="000177FC"/>
    <w:rsid w:val="00026859"/>
    <w:rsid w:val="000273DB"/>
    <w:rsid w:val="000321BD"/>
    <w:rsid w:val="00034B29"/>
    <w:rsid w:val="00036719"/>
    <w:rsid w:val="000519A5"/>
    <w:rsid w:val="00052ADD"/>
    <w:rsid w:val="00052C1E"/>
    <w:rsid w:val="00060361"/>
    <w:rsid w:val="00060F02"/>
    <w:rsid w:val="000702B2"/>
    <w:rsid w:val="000705DC"/>
    <w:rsid w:val="00075DDB"/>
    <w:rsid w:val="00084647"/>
    <w:rsid w:val="0008634D"/>
    <w:rsid w:val="00087AE3"/>
    <w:rsid w:val="0009398E"/>
    <w:rsid w:val="000A3F2E"/>
    <w:rsid w:val="000B10ED"/>
    <w:rsid w:val="000B289D"/>
    <w:rsid w:val="000C4F12"/>
    <w:rsid w:val="000D405C"/>
    <w:rsid w:val="000E5F59"/>
    <w:rsid w:val="000F6D4B"/>
    <w:rsid w:val="001015E9"/>
    <w:rsid w:val="0010364C"/>
    <w:rsid w:val="0010435C"/>
    <w:rsid w:val="001069C5"/>
    <w:rsid w:val="0010728F"/>
    <w:rsid w:val="0012228F"/>
    <w:rsid w:val="00126737"/>
    <w:rsid w:val="00133DC1"/>
    <w:rsid w:val="00134EFE"/>
    <w:rsid w:val="001423B6"/>
    <w:rsid w:val="00145049"/>
    <w:rsid w:val="00145567"/>
    <w:rsid w:val="00145822"/>
    <w:rsid w:val="00152995"/>
    <w:rsid w:val="00154A0B"/>
    <w:rsid w:val="00155EA9"/>
    <w:rsid w:val="00184AD6"/>
    <w:rsid w:val="00185E48"/>
    <w:rsid w:val="00187535"/>
    <w:rsid w:val="00196E41"/>
    <w:rsid w:val="00197E9D"/>
    <w:rsid w:val="001A2CCE"/>
    <w:rsid w:val="001A5DE9"/>
    <w:rsid w:val="001B209F"/>
    <w:rsid w:val="001C6F06"/>
    <w:rsid w:val="001D1C19"/>
    <w:rsid w:val="001D3863"/>
    <w:rsid w:val="001E12B5"/>
    <w:rsid w:val="001E26D4"/>
    <w:rsid w:val="001E70A6"/>
    <w:rsid w:val="001F2DF8"/>
    <w:rsid w:val="001F6046"/>
    <w:rsid w:val="00201B43"/>
    <w:rsid w:val="0020780B"/>
    <w:rsid w:val="0021347D"/>
    <w:rsid w:val="002175CD"/>
    <w:rsid w:val="002244F1"/>
    <w:rsid w:val="00225156"/>
    <w:rsid w:val="00227D7C"/>
    <w:rsid w:val="00232875"/>
    <w:rsid w:val="00264897"/>
    <w:rsid w:val="002845F9"/>
    <w:rsid w:val="00285253"/>
    <w:rsid w:val="00295727"/>
    <w:rsid w:val="002A6791"/>
    <w:rsid w:val="002C0A65"/>
    <w:rsid w:val="002C318D"/>
    <w:rsid w:val="002C37C7"/>
    <w:rsid w:val="002C5B02"/>
    <w:rsid w:val="002D67D5"/>
    <w:rsid w:val="002E3691"/>
    <w:rsid w:val="002E69E6"/>
    <w:rsid w:val="002F4853"/>
    <w:rsid w:val="00302422"/>
    <w:rsid w:val="00314564"/>
    <w:rsid w:val="003150F7"/>
    <w:rsid w:val="003152BC"/>
    <w:rsid w:val="00317244"/>
    <w:rsid w:val="00326544"/>
    <w:rsid w:val="00333FCE"/>
    <w:rsid w:val="00342D07"/>
    <w:rsid w:val="0034386F"/>
    <w:rsid w:val="003441C1"/>
    <w:rsid w:val="003528B1"/>
    <w:rsid w:val="003529F9"/>
    <w:rsid w:val="00355289"/>
    <w:rsid w:val="00356ECB"/>
    <w:rsid w:val="00360E02"/>
    <w:rsid w:val="003746A6"/>
    <w:rsid w:val="00384C15"/>
    <w:rsid w:val="003A1EF2"/>
    <w:rsid w:val="003A2238"/>
    <w:rsid w:val="003C00DD"/>
    <w:rsid w:val="003C037C"/>
    <w:rsid w:val="003C0894"/>
    <w:rsid w:val="003C666D"/>
    <w:rsid w:val="003E6A25"/>
    <w:rsid w:val="003E77CF"/>
    <w:rsid w:val="003F71D6"/>
    <w:rsid w:val="0040579A"/>
    <w:rsid w:val="004167BE"/>
    <w:rsid w:val="0041765E"/>
    <w:rsid w:val="00423658"/>
    <w:rsid w:val="004350E2"/>
    <w:rsid w:val="0043543D"/>
    <w:rsid w:val="00436A32"/>
    <w:rsid w:val="00446E7F"/>
    <w:rsid w:val="004470B6"/>
    <w:rsid w:val="004611CC"/>
    <w:rsid w:val="0046329D"/>
    <w:rsid w:val="004807BC"/>
    <w:rsid w:val="00481C54"/>
    <w:rsid w:val="004967CB"/>
    <w:rsid w:val="004A31E2"/>
    <w:rsid w:val="004A4603"/>
    <w:rsid w:val="004A7D67"/>
    <w:rsid w:val="004B0208"/>
    <w:rsid w:val="004B6D99"/>
    <w:rsid w:val="004C1191"/>
    <w:rsid w:val="004C350F"/>
    <w:rsid w:val="004E2116"/>
    <w:rsid w:val="00503275"/>
    <w:rsid w:val="0050328B"/>
    <w:rsid w:val="00503597"/>
    <w:rsid w:val="005117EC"/>
    <w:rsid w:val="00513C17"/>
    <w:rsid w:val="00520FDF"/>
    <w:rsid w:val="00527FA9"/>
    <w:rsid w:val="00531997"/>
    <w:rsid w:val="0056166E"/>
    <w:rsid w:val="0056313B"/>
    <w:rsid w:val="0057037D"/>
    <w:rsid w:val="005734AA"/>
    <w:rsid w:val="00577CC3"/>
    <w:rsid w:val="005814B5"/>
    <w:rsid w:val="00584716"/>
    <w:rsid w:val="00593473"/>
    <w:rsid w:val="005A0562"/>
    <w:rsid w:val="005A415D"/>
    <w:rsid w:val="005B27B6"/>
    <w:rsid w:val="005B2809"/>
    <w:rsid w:val="005B337E"/>
    <w:rsid w:val="005B6CCF"/>
    <w:rsid w:val="005C2AC4"/>
    <w:rsid w:val="005D0826"/>
    <w:rsid w:val="005D0986"/>
    <w:rsid w:val="005D2477"/>
    <w:rsid w:val="005D6CD5"/>
    <w:rsid w:val="005D72C7"/>
    <w:rsid w:val="005F0641"/>
    <w:rsid w:val="005F0BD2"/>
    <w:rsid w:val="00601E12"/>
    <w:rsid w:val="0060388E"/>
    <w:rsid w:val="0061273B"/>
    <w:rsid w:val="00624516"/>
    <w:rsid w:val="00630D77"/>
    <w:rsid w:val="00633B52"/>
    <w:rsid w:val="00642A32"/>
    <w:rsid w:val="0065321A"/>
    <w:rsid w:val="006578BD"/>
    <w:rsid w:val="00662B62"/>
    <w:rsid w:val="00672827"/>
    <w:rsid w:val="00674C58"/>
    <w:rsid w:val="0068545A"/>
    <w:rsid w:val="00685EA5"/>
    <w:rsid w:val="006A0128"/>
    <w:rsid w:val="006A2FF0"/>
    <w:rsid w:val="006A70A7"/>
    <w:rsid w:val="006B1133"/>
    <w:rsid w:val="006C1120"/>
    <w:rsid w:val="006C7073"/>
    <w:rsid w:val="006D3932"/>
    <w:rsid w:val="006D6E37"/>
    <w:rsid w:val="006F279F"/>
    <w:rsid w:val="006F2F4B"/>
    <w:rsid w:val="006F7A88"/>
    <w:rsid w:val="00707874"/>
    <w:rsid w:val="00710D99"/>
    <w:rsid w:val="0071390F"/>
    <w:rsid w:val="00717E49"/>
    <w:rsid w:val="00720531"/>
    <w:rsid w:val="00734959"/>
    <w:rsid w:val="00735116"/>
    <w:rsid w:val="00741AA6"/>
    <w:rsid w:val="00753F72"/>
    <w:rsid w:val="00763367"/>
    <w:rsid w:val="00765212"/>
    <w:rsid w:val="00774282"/>
    <w:rsid w:val="00780B36"/>
    <w:rsid w:val="0078296C"/>
    <w:rsid w:val="00786B3D"/>
    <w:rsid w:val="007A1544"/>
    <w:rsid w:val="007B07C6"/>
    <w:rsid w:val="007B351C"/>
    <w:rsid w:val="007B58C2"/>
    <w:rsid w:val="007D19EE"/>
    <w:rsid w:val="007D20A1"/>
    <w:rsid w:val="007D54D6"/>
    <w:rsid w:val="007D665C"/>
    <w:rsid w:val="007E022D"/>
    <w:rsid w:val="007E3594"/>
    <w:rsid w:val="007E3A1A"/>
    <w:rsid w:val="007F0AB9"/>
    <w:rsid w:val="007F1BC3"/>
    <w:rsid w:val="0080318B"/>
    <w:rsid w:val="00803B46"/>
    <w:rsid w:val="0080561F"/>
    <w:rsid w:val="008076DE"/>
    <w:rsid w:val="00807A69"/>
    <w:rsid w:val="00811402"/>
    <w:rsid w:val="00811A77"/>
    <w:rsid w:val="00812A84"/>
    <w:rsid w:val="00815C13"/>
    <w:rsid w:val="00815DCB"/>
    <w:rsid w:val="008225E7"/>
    <w:rsid w:val="008242C5"/>
    <w:rsid w:val="00832B07"/>
    <w:rsid w:val="00840003"/>
    <w:rsid w:val="008418A7"/>
    <w:rsid w:val="00874BAC"/>
    <w:rsid w:val="0087552A"/>
    <w:rsid w:val="008801C8"/>
    <w:rsid w:val="00882939"/>
    <w:rsid w:val="008A674D"/>
    <w:rsid w:val="008B2157"/>
    <w:rsid w:val="008B2592"/>
    <w:rsid w:val="008B2A7A"/>
    <w:rsid w:val="008B301E"/>
    <w:rsid w:val="008B67F6"/>
    <w:rsid w:val="008D1C99"/>
    <w:rsid w:val="008D3767"/>
    <w:rsid w:val="008D66C2"/>
    <w:rsid w:val="008E2904"/>
    <w:rsid w:val="008E761F"/>
    <w:rsid w:val="008F76F5"/>
    <w:rsid w:val="00900CDF"/>
    <w:rsid w:val="00921E6A"/>
    <w:rsid w:val="00923F0A"/>
    <w:rsid w:val="0093044E"/>
    <w:rsid w:val="0093569D"/>
    <w:rsid w:val="00947048"/>
    <w:rsid w:val="00951E71"/>
    <w:rsid w:val="0095326C"/>
    <w:rsid w:val="0095743E"/>
    <w:rsid w:val="00957D1D"/>
    <w:rsid w:val="009669D3"/>
    <w:rsid w:val="009708A6"/>
    <w:rsid w:val="00974704"/>
    <w:rsid w:val="00986135"/>
    <w:rsid w:val="00987BB6"/>
    <w:rsid w:val="009A3FAE"/>
    <w:rsid w:val="009A650E"/>
    <w:rsid w:val="009C7C50"/>
    <w:rsid w:val="009D25DA"/>
    <w:rsid w:val="009F6BB1"/>
    <w:rsid w:val="00A02C3F"/>
    <w:rsid w:val="00A060BE"/>
    <w:rsid w:val="00A064B3"/>
    <w:rsid w:val="00A07D1C"/>
    <w:rsid w:val="00A1223D"/>
    <w:rsid w:val="00A13C91"/>
    <w:rsid w:val="00A22C15"/>
    <w:rsid w:val="00A272E4"/>
    <w:rsid w:val="00A279F0"/>
    <w:rsid w:val="00A31BD2"/>
    <w:rsid w:val="00A3429C"/>
    <w:rsid w:val="00A36778"/>
    <w:rsid w:val="00A41CBD"/>
    <w:rsid w:val="00A51884"/>
    <w:rsid w:val="00A62C25"/>
    <w:rsid w:val="00A63D6E"/>
    <w:rsid w:val="00A86F13"/>
    <w:rsid w:val="00A95CA2"/>
    <w:rsid w:val="00AA36C1"/>
    <w:rsid w:val="00AB0930"/>
    <w:rsid w:val="00AB2E74"/>
    <w:rsid w:val="00AC0827"/>
    <w:rsid w:val="00AC77C4"/>
    <w:rsid w:val="00AF2D03"/>
    <w:rsid w:val="00AF7222"/>
    <w:rsid w:val="00B02F69"/>
    <w:rsid w:val="00B030FA"/>
    <w:rsid w:val="00B0367D"/>
    <w:rsid w:val="00B0453E"/>
    <w:rsid w:val="00B05A7C"/>
    <w:rsid w:val="00B063DA"/>
    <w:rsid w:val="00B071A2"/>
    <w:rsid w:val="00B108D0"/>
    <w:rsid w:val="00B146FA"/>
    <w:rsid w:val="00B24117"/>
    <w:rsid w:val="00B31652"/>
    <w:rsid w:val="00B3634B"/>
    <w:rsid w:val="00B44626"/>
    <w:rsid w:val="00B60852"/>
    <w:rsid w:val="00B6510E"/>
    <w:rsid w:val="00B751A6"/>
    <w:rsid w:val="00B8410B"/>
    <w:rsid w:val="00B86247"/>
    <w:rsid w:val="00B920C5"/>
    <w:rsid w:val="00B94838"/>
    <w:rsid w:val="00BA401D"/>
    <w:rsid w:val="00BB0B9E"/>
    <w:rsid w:val="00BB2088"/>
    <w:rsid w:val="00BB3041"/>
    <w:rsid w:val="00BD1A8A"/>
    <w:rsid w:val="00BD3323"/>
    <w:rsid w:val="00BE0737"/>
    <w:rsid w:val="00BE2A67"/>
    <w:rsid w:val="00BE35B3"/>
    <w:rsid w:val="00BF103A"/>
    <w:rsid w:val="00BF7A76"/>
    <w:rsid w:val="00BF7E86"/>
    <w:rsid w:val="00C024E5"/>
    <w:rsid w:val="00C26F77"/>
    <w:rsid w:val="00C516DE"/>
    <w:rsid w:val="00C60F01"/>
    <w:rsid w:val="00C61424"/>
    <w:rsid w:val="00C62507"/>
    <w:rsid w:val="00C63A68"/>
    <w:rsid w:val="00C821FB"/>
    <w:rsid w:val="00C869C9"/>
    <w:rsid w:val="00C9144D"/>
    <w:rsid w:val="00C94EB9"/>
    <w:rsid w:val="00C9555E"/>
    <w:rsid w:val="00C96B8A"/>
    <w:rsid w:val="00C9771A"/>
    <w:rsid w:val="00CB5797"/>
    <w:rsid w:val="00CC3054"/>
    <w:rsid w:val="00CC45C2"/>
    <w:rsid w:val="00CC4D34"/>
    <w:rsid w:val="00CC5D30"/>
    <w:rsid w:val="00CD1FFB"/>
    <w:rsid w:val="00CD2BE4"/>
    <w:rsid w:val="00CD3357"/>
    <w:rsid w:val="00CD3787"/>
    <w:rsid w:val="00CE4EFB"/>
    <w:rsid w:val="00CE6CB4"/>
    <w:rsid w:val="00CF3958"/>
    <w:rsid w:val="00CF6696"/>
    <w:rsid w:val="00D04BB7"/>
    <w:rsid w:val="00D05D18"/>
    <w:rsid w:val="00D132F0"/>
    <w:rsid w:val="00D279C6"/>
    <w:rsid w:val="00D410AA"/>
    <w:rsid w:val="00D43C87"/>
    <w:rsid w:val="00D56545"/>
    <w:rsid w:val="00D57140"/>
    <w:rsid w:val="00D63E22"/>
    <w:rsid w:val="00D72E36"/>
    <w:rsid w:val="00D81DBD"/>
    <w:rsid w:val="00D840C8"/>
    <w:rsid w:val="00D84D25"/>
    <w:rsid w:val="00D85E89"/>
    <w:rsid w:val="00D9242F"/>
    <w:rsid w:val="00D93D6F"/>
    <w:rsid w:val="00D9452E"/>
    <w:rsid w:val="00DC2EF6"/>
    <w:rsid w:val="00DC643B"/>
    <w:rsid w:val="00DC72D4"/>
    <w:rsid w:val="00DD3A53"/>
    <w:rsid w:val="00DE36D6"/>
    <w:rsid w:val="00DE6B26"/>
    <w:rsid w:val="00E04FB9"/>
    <w:rsid w:val="00E10BA9"/>
    <w:rsid w:val="00E14B27"/>
    <w:rsid w:val="00E22781"/>
    <w:rsid w:val="00E2389C"/>
    <w:rsid w:val="00E31B25"/>
    <w:rsid w:val="00E465B0"/>
    <w:rsid w:val="00E46DCF"/>
    <w:rsid w:val="00E56B3F"/>
    <w:rsid w:val="00E63F95"/>
    <w:rsid w:val="00E66DDA"/>
    <w:rsid w:val="00E71763"/>
    <w:rsid w:val="00E87EF9"/>
    <w:rsid w:val="00E947C4"/>
    <w:rsid w:val="00E9711D"/>
    <w:rsid w:val="00E971C6"/>
    <w:rsid w:val="00E976DE"/>
    <w:rsid w:val="00E97905"/>
    <w:rsid w:val="00EA1109"/>
    <w:rsid w:val="00EB1739"/>
    <w:rsid w:val="00EC0CC5"/>
    <w:rsid w:val="00EC1B68"/>
    <w:rsid w:val="00EC242D"/>
    <w:rsid w:val="00EC3BD4"/>
    <w:rsid w:val="00EC58EF"/>
    <w:rsid w:val="00EE32ED"/>
    <w:rsid w:val="00EE65CB"/>
    <w:rsid w:val="00EF30EF"/>
    <w:rsid w:val="00EF46B2"/>
    <w:rsid w:val="00F013D6"/>
    <w:rsid w:val="00F025E6"/>
    <w:rsid w:val="00F02D8E"/>
    <w:rsid w:val="00F06CDF"/>
    <w:rsid w:val="00F1464E"/>
    <w:rsid w:val="00F214A6"/>
    <w:rsid w:val="00F259FB"/>
    <w:rsid w:val="00F275B0"/>
    <w:rsid w:val="00F357DF"/>
    <w:rsid w:val="00F36CDB"/>
    <w:rsid w:val="00F377D7"/>
    <w:rsid w:val="00F94F26"/>
    <w:rsid w:val="00F96544"/>
    <w:rsid w:val="00FA3CB9"/>
    <w:rsid w:val="00FB47D1"/>
    <w:rsid w:val="00FB622A"/>
    <w:rsid w:val="00FB6675"/>
    <w:rsid w:val="00FB7F7F"/>
    <w:rsid w:val="00FE0AE2"/>
    <w:rsid w:val="00FE3F8C"/>
    <w:rsid w:val="00FE58D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BD62"/>
  <w15:docId w15:val="{F4DC50EB-E8DD-457A-A3CE-C52285CB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Ballongtext">
    <w:name w:val="Balloon Text"/>
    <w:basedOn w:val="Normal"/>
    <w:link w:val="BallongtextChar"/>
    <w:uiPriority w:val="99"/>
    <w:semiHidden/>
    <w:unhideWhenUsed/>
    <w:rsid w:val="00520FDF"/>
    <w:rPr>
      <w:rFonts w:ascii="Tahoma" w:hAnsi="Tahoma" w:cs="Tahoma"/>
      <w:sz w:val="16"/>
      <w:szCs w:val="16"/>
    </w:rPr>
  </w:style>
  <w:style w:type="character" w:customStyle="1" w:styleId="BallongtextChar">
    <w:name w:val="Ballongtext Char"/>
    <w:link w:val="Ballongtext"/>
    <w:uiPriority w:val="99"/>
    <w:semiHidden/>
    <w:rsid w:val="00520FDF"/>
    <w:rPr>
      <w:rFonts w:ascii="Tahoma" w:hAnsi="Tahoma" w:cs="Tahoma"/>
      <w:sz w:val="16"/>
      <w:szCs w:val="16"/>
    </w:rPr>
  </w:style>
  <w:style w:type="paragraph" w:customStyle="1" w:styleId="anormal0">
    <w:name w:val="anormal"/>
    <w:basedOn w:val="Normal"/>
    <w:rsid w:val="00DC2EF6"/>
    <w:pPr>
      <w:jc w:val="both"/>
    </w:pPr>
    <w:rPr>
      <w:sz w:val="22"/>
      <w:szCs w:val="22"/>
    </w:rPr>
  </w:style>
  <w:style w:type="paragraph" w:customStyle="1" w:styleId="Default">
    <w:name w:val="Default"/>
    <w:rsid w:val="006578BD"/>
    <w:pPr>
      <w:autoSpaceDE w:val="0"/>
      <w:autoSpaceDN w:val="0"/>
      <w:adjustRightInd w:val="0"/>
    </w:pPr>
    <w:rPr>
      <w:rFonts w:ascii="Calibri" w:hAnsi="Calibri" w:cs="Calibri"/>
      <w:color w:val="000000"/>
      <w:sz w:val="24"/>
      <w:szCs w:val="24"/>
    </w:rPr>
  </w:style>
  <w:style w:type="character" w:customStyle="1" w:styleId="ANormalChar">
    <w:name w:val="ANormal Char"/>
    <w:link w:val="ANormal"/>
    <w:rsid w:val="00BA401D"/>
    <w:rPr>
      <w:sz w:val="22"/>
      <w:lang w:val="sv-SE" w:eastAsia="sv-SE"/>
    </w:rPr>
  </w:style>
  <w:style w:type="paragraph" w:customStyle="1" w:styleId="xmsonormal">
    <w:name w:val="x_msonormal"/>
    <w:basedOn w:val="Normal"/>
    <w:rsid w:val="009A650E"/>
    <w:pPr>
      <w:spacing w:before="100" w:beforeAutospacing="1" w:after="100" w:afterAutospacing="1"/>
    </w:pPr>
    <w:rPr>
      <w:lang w:val="sv-FI" w:eastAsia="sv-FI"/>
    </w:rPr>
  </w:style>
  <w:style w:type="character" w:customStyle="1" w:styleId="SidfotChar">
    <w:name w:val="Sidfot Char"/>
    <w:basedOn w:val="Standardstycketeckensnitt"/>
    <w:link w:val="Sidfot"/>
    <w:semiHidden/>
    <w:rsid w:val="008A674D"/>
    <w:rPr>
      <w:rFonts w:ascii="Verdana" w:hAnsi="Verdana" w:cs="Arial"/>
      <w:sz w:val="1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6246">
      <w:bodyDiv w:val="1"/>
      <w:marLeft w:val="0"/>
      <w:marRight w:val="0"/>
      <w:marTop w:val="0"/>
      <w:marBottom w:val="0"/>
      <w:divBdr>
        <w:top w:val="none" w:sz="0" w:space="0" w:color="auto"/>
        <w:left w:val="none" w:sz="0" w:space="0" w:color="auto"/>
        <w:bottom w:val="none" w:sz="0" w:space="0" w:color="auto"/>
        <w:right w:val="none" w:sz="0" w:space="0" w:color="auto"/>
      </w:divBdr>
    </w:div>
    <w:div w:id="381054716">
      <w:bodyDiv w:val="1"/>
      <w:marLeft w:val="0"/>
      <w:marRight w:val="0"/>
      <w:marTop w:val="0"/>
      <w:marBottom w:val="0"/>
      <w:divBdr>
        <w:top w:val="none" w:sz="0" w:space="0" w:color="auto"/>
        <w:left w:val="none" w:sz="0" w:space="0" w:color="auto"/>
        <w:bottom w:val="none" w:sz="0" w:space="0" w:color="auto"/>
        <w:right w:val="none" w:sz="0" w:space="0" w:color="auto"/>
      </w:divBdr>
    </w:div>
    <w:div w:id="539784126">
      <w:bodyDiv w:val="1"/>
      <w:marLeft w:val="0"/>
      <w:marRight w:val="0"/>
      <w:marTop w:val="0"/>
      <w:marBottom w:val="0"/>
      <w:divBdr>
        <w:top w:val="none" w:sz="0" w:space="0" w:color="auto"/>
        <w:left w:val="none" w:sz="0" w:space="0" w:color="auto"/>
        <w:bottom w:val="none" w:sz="0" w:space="0" w:color="auto"/>
        <w:right w:val="none" w:sz="0" w:space="0" w:color="auto"/>
      </w:divBdr>
    </w:div>
    <w:div w:id="702635159">
      <w:bodyDiv w:val="1"/>
      <w:marLeft w:val="0"/>
      <w:marRight w:val="0"/>
      <w:marTop w:val="0"/>
      <w:marBottom w:val="0"/>
      <w:divBdr>
        <w:top w:val="none" w:sz="0" w:space="0" w:color="auto"/>
        <w:left w:val="none" w:sz="0" w:space="0" w:color="auto"/>
        <w:bottom w:val="none" w:sz="0" w:space="0" w:color="auto"/>
        <w:right w:val="none" w:sz="0" w:space="0" w:color="auto"/>
      </w:divBdr>
    </w:div>
    <w:div w:id="769468649">
      <w:bodyDiv w:val="1"/>
      <w:marLeft w:val="0"/>
      <w:marRight w:val="0"/>
      <w:marTop w:val="0"/>
      <w:marBottom w:val="0"/>
      <w:divBdr>
        <w:top w:val="none" w:sz="0" w:space="0" w:color="auto"/>
        <w:left w:val="none" w:sz="0" w:space="0" w:color="auto"/>
        <w:bottom w:val="none" w:sz="0" w:space="0" w:color="auto"/>
        <w:right w:val="none" w:sz="0" w:space="0" w:color="auto"/>
      </w:divBdr>
    </w:div>
    <w:div w:id="777720453">
      <w:bodyDiv w:val="1"/>
      <w:marLeft w:val="0"/>
      <w:marRight w:val="0"/>
      <w:marTop w:val="0"/>
      <w:marBottom w:val="0"/>
      <w:divBdr>
        <w:top w:val="none" w:sz="0" w:space="0" w:color="auto"/>
        <w:left w:val="none" w:sz="0" w:space="0" w:color="auto"/>
        <w:bottom w:val="none" w:sz="0" w:space="0" w:color="auto"/>
        <w:right w:val="none" w:sz="0" w:space="0" w:color="auto"/>
      </w:divBdr>
    </w:div>
    <w:div w:id="900867476">
      <w:bodyDiv w:val="1"/>
      <w:marLeft w:val="0"/>
      <w:marRight w:val="0"/>
      <w:marTop w:val="0"/>
      <w:marBottom w:val="0"/>
      <w:divBdr>
        <w:top w:val="none" w:sz="0" w:space="0" w:color="auto"/>
        <w:left w:val="none" w:sz="0" w:space="0" w:color="auto"/>
        <w:bottom w:val="none" w:sz="0" w:space="0" w:color="auto"/>
        <w:right w:val="none" w:sz="0" w:space="0" w:color="auto"/>
      </w:divBdr>
    </w:div>
    <w:div w:id="1018776217">
      <w:bodyDiv w:val="1"/>
      <w:marLeft w:val="0"/>
      <w:marRight w:val="0"/>
      <w:marTop w:val="0"/>
      <w:marBottom w:val="0"/>
      <w:divBdr>
        <w:top w:val="none" w:sz="0" w:space="0" w:color="auto"/>
        <w:left w:val="none" w:sz="0" w:space="0" w:color="auto"/>
        <w:bottom w:val="none" w:sz="0" w:space="0" w:color="auto"/>
        <w:right w:val="none" w:sz="0" w:space="0" w:color="auto"/>
      </w:divBdr>
    </w:div>
    <w:div w:id="1255823867">
      <w:bodyDiv w:val="1"/>
      <w:marLeft w:val="60"/>
      <w:marRight w:val="60"/>
      <w:marTop w:val="60"/>
      <w:marBottom w:val="15"/>
      <w:divBdr>
        <w:top w:val="none" w:sz="0" w:space="0" w:color="auto"/>
        <w:left w:val="none" w:sz="0" w:space="0" w:color="auto"/>
        <w:bottom w:val="none" w:sz="0" w:space="0" w:color="auto"/>
        <w:right w:val="none" w:sz="0" w:space="0" w:color="auto"/>
      </w:divBdr>
      <w:divsChild>
        <w:div w:id="1396272498">
          <w:marLeft w:val="0"/>
          <w:marRight w:val="0"/>
          <w:marTop w:val="0"/>
          <w:marBottom w:val="0"/>
          <w:divBdr>
            <w:top w:val="none" w:sz="0" w:space="0" w:color="auto"/>
            <w:left w:val="none" w:sz="0" w:space="0" w:color="auto"/>
            <w:bottom w:val="none" w:sz="0" w:space="0" w:color="auto"/>
            <w:right w:val="none" w:sz="0" w:space="0" w:color="auto"/>
          </w:divBdr>
        </w:div>
      </w:divsChild>
    </w:div>
    <w:div w:id="1580753755">
      <w:bodyDiv w:val="1"/>
      <w:marLeft w:val="0"/>
      <w:marRight w:val="0"/>
      <w:marTop w:val="0"/>
      <w:marBottom w:val="0"/>
      <w:divBdr>
        <w:top w:val="none" w:sz="0" w:space="0" w:color="auto"/>
        <w:left w:val="none" w:sz="0" w:space="0" w:color="auto"/>
        <w:bottom w:val="none" w:sz="0" w:space="0" w:color="auto"/>
        <w:right w:val="none" w:sz="0" w:space="0" w:color="auto"/>
      </w:divBdr>
    </w:div>
    <w:div w:id="1841194245">
      <w:bodyDiv w:val="1"/>
      <w:marLeft w:val="0"/>
      <w:marRight w:val="0"/>
      <w:marTop w:val="0"/>
      <w:marBottom w:val="0"/>
      <w:divBdr>
        <w:top w:val="none" w:sz="0" w:space="0" w:color="auto"/>
        <w:left w:val="none" w:sz="0" w:space="0" w:color="auto"/>
        <w:bottom w:val="none" w:sz="0" w:space="0" w:color="auto"/>
        <w:right w:val="none" w:sz="0" w:space="0" w:color="auto"/>
      </w:divBdr>
    </w:div>
    <w:div w:id="2030183521">
      <w:bodyDiv w:val="1"/>
      <w:marLeft w:val="0"/>
      <w:marRight w:val="0"/>
      <w:marTop w:val="0"/>
      <w:marBottom w:val="0"/>
      <w:divBdr>
        <w:top w:val="none" w:sz="0" w:space="0" w:color="auto"/>
        <w:left w:val="none" w:sz="0" w:space="0" w:color="auto"/>
        <w:bottom w:val="none" w:sz="0" w:space="0" w:color="auto"/>
        <w:right w:val="none" w:sz="0" w:space="0" w:color="auto"/>
      </w:divBdr>
    </w:div>
    <w:div w:id="20571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4E19-9DB4-4C76-AC67-A3981FAE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1334</Words>
  <Characters>7076</Characters>
  <Application>Microsoft Office Word</Application>
  <DocSecurity>0</DocSecurity>
  <Lines>58</Lines>
  <Paragraphs>16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 utlåtande</vt:lpstr>
      <vt:lpstr>Social- och miljöulturutskottets utlåtande</vt:lpstr>
    </vt:vector>
  </TitlesOfParts>
  <Company>Ålands lagting</Company>
  <LinksUpToDate>false</LinksUpToDate>
  <CharactersWithSpaces>8394</CharactersWithSpaces>
  <SharedDoc>false</SharedDoc>
  <HLinks>
    <vt:vector size="48" baseType="variant">
      <vt:variant>
        <vt:i4>262192</vt:i4>
      </vt:variant>
      <vt:variant>
        <vt:i4>45</vt:i4>
      </vt:variant>
      <vt:variant>
        <vt:i4>0</vt:i4>
      </vt:variant>
      <vt:variant>
        <vt:i4>5</vt:i4>
      </vt:variant>
      <vt:variant>
        <vt:lpwstr/>
      </vt:variant>
      <vt:variant>
        <vt:lpwstr>_top</vt:lpwstr>
      </vt:variant>
      <vt:variant>
        <vt:i4>1441849</vt:i4>
      </vt:variant>
      <vt:variant>
        <vt:i4>38</vt:i4>
      </vt:variant>
      <vt:variant>
        <vt:i4>0</vt:i4>
      </vt:variant>
      <vt:variant>
        <vt:i4>5</vt:i4>
      </vt:variant>
      <vt:variant>
        <vt:lpwstr/>
      </vt:variant>
      <vt:variant>
        <vt:lpwstr>_Toc447791331</vt:lpwstr>
      </vt:variant>
      <vt:variant>
        <vt:i4>1441849</vt:i4>
      </vt:variant>
      <vt:variant>
        <vt:i4>32</vt:i4>
      </vt:variant>
      <vt:variant>
        <vt:i4>0</vt:i4>
      </vt:variant>
      <vt:variant>
        <vt:i4>5</vt:i4>
      </vt:variant>
      <vt:variant>
        <vt:lpwstr/>
      </vt:variant>
      <vt:variant>
        <vt:lpwstr>_Toc447791330</vt:lpwstr>
      </vt:variant>
      <vt:variant>
        <vt:i4>1507385</vt:i4>
      </vt:variant>
      <vt:variant>
        <vt:i4>26</vt:i4>
      </vt:variant>
      <vt:variant>
        <vt:i4>0</vt:i4>
      </vt:variant>
      <vt:variant>
        <vt:i4>5</vt:i4>
      </vt:variant>
      <vt:variant>
        <vt:lpwstr/>
      </vt:variant>
      <vt:variant>
        <vt:lpwstr>_Toc447791329</vt:lpwstr>
      </vt:variant>
      <vt:variant>
        <vt:i4>1507385</vt:i4>
      </vt:variant>
      <vt:variant>
        <vt:i4>20</vt:i4>
      </vt:variant>
      <vt:variant>
        <vt:i4>0</vt:i4>
      </vt:variant>
      <vt:variant>
        <vt:i4>5</vt:i4>
      </vt:variant>
      <vt:variant>
        <vt:lpwstr/>
      </vt:variant>
      <vt:variant>
        <vt:lpwstr>_Toc447791328</vt:lpwstr>
      </vt:variant>
      <vt:variant>
        <vt:i4>1507385</vt:i4>
      </vt:variant>
      <vt:variant>
        <vt:i4>14</vt:i4>
      </vt:variant>
      <vt:variant>
        <vt:i4>0</vt:i4>
      </vt:variant>
      <vt:variant>
        <vt:i4>5</vt:i4>
      </vt:variant>
      <vt:variant>
        <vt:lpwstr/>
      </vt:variant>
      <vt:variant>
        <vt:lpwstr>_Toc447791327</vt:lpwstr>
      </vt:variant>
      <vt:variant>
        <vt:i4>1507385</vt:i4>
      </vt:variant>
      <vt:variant>
        <vt:i4>8</vt:i4>
      </vt:variant>
      <vt:variant>
        <vt:i4>0</vt:i4>
      </vt:variant>
      <vt:variant>
        <vt:i4>5</vt:i4>
      </vt:variant>
      <vt:variant>
        <vt:lpwstr/>
      </vt:variant>
      <vt:variant>
        <vt:lpwstr>_Toc447791326</vt:lpwstr>
      </vt:variant>
      <vt:variant>
        <vt:i4>1507385</vt:i4>
      </vt:variant>
      <vt:variant>
        <vt:i4>2</vt:i4>
      </vt:variant>
      <vt:variant>
        <vt:i4>0</vt:i4>
      </vt:variant>
      <vt:variant>
        <vt:i4>5</vt:i4>
      </vt:variant>
      <vt:variant>
        <vt:lpwstr/>
      </vt:variant>
      <vt:variant>
        <vt:lpwstr>_Toc447791325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 utlåtande</dc:title>
  <dc:creator>Ålands lagting</dc:creator>
  <cp:lastModifiedBy>Marina Eriksson</cp:lastModifiedBy>
  <cp:revision>3</cp:revision>
  <cp:lastPrinted>2020-02-05T10:40:00Z</cp:lastPrinted>
  <dcterms:created xsi:type="dcterms:W3CDTF">2020-02-05T10:42:00Z</dcterms:created>
  <dcterms:modified xsi:type="dcterms:W3CDTF">2020-02-07T06:44:00Z</dcterms:modified>
</cp:coreProperties>
</file>