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77D8770" w14:textId="77777777">
        <w:trPr>
          <w:cantSplit/>
          <w:trHeight w:val="20"/>
        </w:trPr>
        <w:tc>
          <w:tcPr>
            <w:tcW w:w="861" w:type="dxa"/>
            <w:vMerge w:val="restart"/>
          </w:tcPr>
          <w:p w14:paraId="4FA60D31" w14:textId="77777777" w:rsidR="002401D0" w:rsidRDefault="000E1E1D">
            <w:pPr>
              <w:pStyle w:val="xLedtext"/>
              <w:rPr>
                <w:noProof/>
              </w:rPr>
            </w:pPr>
            <w:bookmarkStart w:id="0" w:name="_top"/>
            <w:bookmarkEnd w:id="0"/>
            <w:r>
              <w:rPr>
                <w:noProof/>
                <w:lang w:val="sv-FI" w:eastAsia="sv-FI"/>
              </w:rPr>
              <w:drawing>
                <wp:inline distT="0" distB="0" distL="0" distR="0" wp14:anchorId="38A5DD1A" wp14:editId="4E1FF720">
                  <wp:extent cx="476250" cy="685165"/>
                  <wp:effectExtent l="0" t="0" r="0" b="63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165"/>
                          </a:xfrm>
                          <a:prstGeom prst="rect">
                            <a:avLst/>
                          </a:prstGeom>
                          <a:noFill/>
                          <a:ln>
                            <a:noFill/>
                          </a:ln>
                        </pic:spPr>
                      </pic:pic>
                    </a:graphicData>
                  </a:graphic>
                </wp:inline>
              </w:drawing>
            </w:r>
          </w:p>
        </w:tc>
        <w:tc>
          <w:tcPr>
            <w:tcW w:w="8736" w:type="dxa"/>
            <w:gridSpan w:val="3"/>
            <w:vAlign w:val="bottom"/>
          </w:tcPr>
          <w:p w14:paraId="3054FD13" w14:textId="77777777" w:rsidR="002401D0" w:rsidRDefault="000E1E1D">
            <w:pPr>
              <w:pStyle w:val="xMellanrum"/>
            </w:pPr>
            <w:r>
              <w:rPr>
                <w:noProof/>
                <w:lang w:val="sv-FI" w:eastAsia="sv-FI"/>
              </w:rPr>
              <w:drawing>
                <wp:inline distT="0" distB="0" distL="0" distR="0" wp14:anchorId="3B5867CF" wp14:editId="49933A3A">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A05E9D2" w14:textId="77777777">
        <w:trPr>
          <w:cantSplit/>
          <w:trHeight w:val="299"/>
        </w:trPr>
        <w:tc>
          <w:tcPr>
            <w:tcW w:w="861" w:type="dxa"/>
            <w:vMerge/>
          </w:tcPr>
          <w:p w14:paraId="35C19CBE" w14:textId="77777777" w:rsidR="002401D0" w:rsidRDefault="002401D0">
            <w:pPr>
              <w:pStyle w:val="xLedtext"/>
            </w:pPr>
          </w:p>
        </w:tc>
        <w:tc>
          <w:tcPr>
            <w:tcW w:w="4448" w:type="dxa"/>
            <w:vAlign w:val="bottom"/>
          </w:tcPr>
          <w:p w14:paraId="5FA702AF" w14:textId="77777777" w:rsidR="002401D0" w:rsidRPr="00737188" w:rsidRDefault="002401D0">
            <w:pPr>
              <w:pStyle w:val="xAvsandare1"/>
            </w:pPr>
            <w:r w:rsidRPr="00737188">
              <w:t>Ålands lagting</w:t>
            </w:r>
          </w:p>
        </w:tc>
        <w:tc>
          <w:tcPr>
            <w:tcW w:w="4288" w:type="dxa"/>
            <w:gridSpan w:val="2"/>
            <w:vAlign w:val="bottom"/>
          </w:tcPr>
          <w:p w14:paraId="251ECF5D" w14:textId="3D27214E" w:rsidR="002401D0" w:rsidRPr="00737188" w:rsidRDefault="00B6105A" w:rsidP="00E5739C">
            <w:pPr>
              <w:pStyle w:val="xDokTypNr"/>
            </w:pPr>
            <w:r w:rsidRPr="00737188">
              <w:t xml:space="preserve">BETÄNKANDE nr </w:t>
            </w:r>
            <w:r w:rsidR="00737188" w:rsidRPr="00737188">
              <w:t>19</w:t>
            </w:r>
            <w:r w:rsidR="002401D0" w:rsidRPr="00737188">
              <w:t>/</w:t>
            </w:r>
            <w:proofErr w:type="gramStart"/>
            <w:r w:rsidR="002401D0" w:rsidRPr="00737188">
              <w:t>20</w:t>
            </w:r>
            <w:r w:rsidR="00723B93" w:rsidRPr="00737188">
              <w:t>1</w:t>
            </w:r>
            <w:r w:rsidR="00110EED" w:rsidRPr="00737188">
              <w:t>9</w:t>
            </w:r>
            <w:r w:rsidR="0015337C" w:rsidRPr="00737188">
              <w:t>-20</w:t>
            </w:r>
            <w:r w:rsidR="00110EED" w:rsidRPr="00737188">
              <w:t>20</w:t>
            </w:r>
            <w:proofErr w:type="gramEnd"/>
          </w:p>
        </w:tc>
      </w:tr>
      <w:tr w:rsidR="002401D0" w14:paraId="02E8BB9E" w14:textId="77777777">
        <w:trPr>
          <w:cantSplit/>
          <w:trHeight w:val="238"/>
        </w:trPr>
        <w:tc>
          <w:tcPr>
            <w:tcW w:w="861" w:type="dxa"/>
            <w:vMerge/>
          </w:tcPr>
          <w:p w14:paraId="3FE7D842" w14:textId="77777777" w:rsidR="002401D0" w:rsidRDefault="002401D0">
            <w:pPr>
              <w:pStyle w:val="xLedtext"/>
            </w:pPr>
          </w:p>
        </w:tc>
        <w:tc>
          <w:tcPr>
            <w:tcW w:w="4448" w:type="dxa"/>
            <w:vAlign w:val="bottom"/>
          </w:tcPr>
          <w:p w14:paraId="3C6033F1" w14:textId="77777777" w:rsidR="002401D0" w:rsidRPr="00737188" w:rsidRDefault="002401D0">
            <w:pPr>
              <w:pStyle w:val="xLedtext"/>
            </w:pPr>
          </w:p>
        </w:tc>
        <w:tc>
          <w:tcPr>
            <w:tcW w:w="1725" w:type="dxa"/>
            <w:vAlign w:val="bottom"/>
          </w:tcPr>
          <w:p w14:paraId="51B587D4" w14:textId="77777777" w:rsidR="002401D0" w:rsidRPr="00737188" w:rsidRDefault="002401D0">
            <w:pPr>
              <w:pStyle w:val="xLedtext"/>
            </w:pPr>
            <w:r w:rsidRPr="00737188">
              <w:t>Datum</w:t>
            </w:r>
          </w:p>
        </w:tc>
        <w:tc>
          <w:tcPr>
            <w:tcW w:w="2563" w:type="dxa"/>
            <w:vAlign w:val="bottom"/>
          </w:tcPr>
          <w:p w14:paraId="3C28C3B5" w14:textId="77777777" w:rsidR="002401D0" w:rsidRDefault="002401D0">
            <w:pPr>
              <w:pStyle w:val="xLedtext"/>
            </w:pPr>
          </w:p>
        </w:tc>
      </w:tr>
      <w:tr w:rsidR="002401D0" w14:paraId="75FF6039" w14:textId="77777777">
        <w:trPr>
          <w:cantSplit/>
          <w:trHeight w:val="238"/>
        </w:trPr>
        <w:tc>
          <w:tcPr>
            <w:tcW w:w="861" w:type="dxa"/>
            <w:vMerge/>
          </w:tcPr>
          <w:p w14:paraId="35724D1A" w14:textId="77777777" w:rsidR="002401D0" w:rsidRDefault="002401D0">
            <w:pPr>
              <w:pStyle w:val="xAvsandare2"/>
            </w:pPr>
          </w:p>
        </w:tc>
        <w:tc>
          <w:tcPr>
            <w:tcW w:w="4448" w:type="dxa"/>
            <w:vAlign w:val="center"/>
          </w:tcPr>
          <w:p w14:paraId="7D04BAD5" w14:textId="77777777" w:rsidR="002401D0" w:rsidRPr="00737188" w:rsidRDefault="004F110F">
            <w:pPr>
              <w:pStyle w:val="xAvsandare2"/>
            </w:pPr>
            <w:r w:rsidRPr="00737188">
              <w:t>Finans- och närings</w:t>
            </w:r>
            <w:r w:rsidR="002401D0" w:rsidRPr="00737188">
              <w:t>utskottet</w:t>
            </w:r>
          </w:p>
        </w:tc>
        <w:tc>
          <w:tcPr>
            <w:tcW w:w="1725" w:type="dxa"/>
            <w:vAlign w:val="center"/>
          </w:tcPr>
          <w:p w14:paraId="39806CCC" w14:textId="3707A63A" w:rsidR="00B6105A" w:rsidRPr="00737188" w:rsidRDefault="002401D0" w:rsidP="00F775E8">
            <w:pPr>
              <w:pStyle w:val="xDatum1"/>
            </w:pPr>
            <w:r w:rsidRPr="00737188">
              <w:t>20</w:t>
            </w:r>
            <w:r w:rsidR="00110EED" w:rsidRPr="00737188">
              <w:t>20</w:t>
            </w:r>
            <w:r w:rsidR="00521AAB" w:rsidRPr="00737188">
              <w:t>-</w:t>
            </w:r>
            <w:r w:rsidR="00904FCD" w:rsidRPr="00737188">
              <w:t>0</w:t>
            </w:r>
            <w:r w:rsidR="008177D2" w:rsidRPr="00737188">
              <w:t>9</w:t>
            </w:r>
            <w:r w:rsidR="00904FCD" w:rsidRPr="00737188">
              <w:t>-</w:t>
            </w:r>
            <w:r w:rsidR="00737188" w:rsidRPr="00737188">
              <w:t>02</w:t>
            </w:r>
          </w:p>
        </w:tc>
        <w:tc>
          <w:tcPr>
            <w:tcW w:w="2563" w:type="dxa"/>
            <w:vAlign w:val="center"/>
          </w:tcPr>
          <w:p w14:paraId="0EDAABD9" w14:textId="77777777" w:rsidR="002401D0" w:rsidRDefault="002401D0">
            <w:pPr>
              <w:pStyle w:val="xBeteckning1"/>
            </w:pPr>
          </w:p>
        </w:tc>
      </w:tr>
      <w:tr w:rsidR="002401D0" w14:paraId="30653736" w14:textId="77777777">
        <w:trPr>
          <w:cantSplit/>
          <w:trHeight w:val="238"/>
        </w:trPr>
        <w:tc>
          <w:tcPr>
            <w:tcW w:w="861" w:type="dxa"/>
            <w:vMerge/>
          </w:tcPr>
          <w:p w14:paraId="611B53FB" w14:textId="77777777" w:rsidR="002401D0" w:rsidRDefault="002401D0">
            <w:pPr>
              <w:pStyle w:val="xLedtext"/>
            </w:pPr>
          </w:p>
        </w:tc>
        <w:tc>
          <w:tcPr>
            <w:tcW w:w="4448" w:type="dxa"/>
            <w:vAlign w:val="bottom"/>
          </w:tcPr>
          <w:p w14:paraId="7071A5F6" w14:textId="77777777" w:rsidR="002401D0" w:rsidRDefault="002401D0">
            <w:pPr>
              <w:pStyle w:val="xLedtext"/>
            </w:pPr>
          </w:p>
        </w:tc>
        <w:tc>
          <w:tcPr>
            <w:tcW w:w="1725" w:type="dxa"/>
            <w:vAlign w:val="bottom"/>
          </w:tcPr>
          <w:p w14:paraId="52F8D024" w14:textId="77777777" w:rsidR="002401D0" w:rsidRDefault="002401D0">
            <w:pPr>
              <w:pStyle w:val="xLedtext"/>
            </w:pPr>
          </w:p>
        </w:tc>
        <w:tc>
          <w:tcPr>
            <w:tcW w:w="2563" w:type="dxa"/>
            <w:vAlign w:val="bottom"/>
          </w:tcPr>
          <w:p w14:paraId="2E55E5FF" w14:textId="77777777" w:rsidR="002401D0" w:rsidRDefault="002401D0">
            <w:pPr>
              <w:pStyle w:val="xLedtext"/>
            </w:pPr>
          </w:p>
        </w:tc>
      </w:tr>
      <w:tr w:rsidR="002401D0" w14:paraId="43615CC5" w14:textId="77777777">
        <w:trPr>
          <w:cantSplit/>
          <w:trHeight w:val="238"/>
        </w:trPr>
        <w:tc>
          <w:tcPr>
            <w:tcW w:w="861" w:type="dxa"/>
            <w:vMerge/>
            <w:tcBorders>
              <w:bottom w:val="single" w:sz="4" w:space="0" w:color="auto"/>
            </w:tcBorders>
          </w:tcPr>
          <w:p w14:paraId="3603E8B6" w14:textId="77777777" w:rsidR="002401D0" w:rsidRDefault="002401D0">
            <w:pPr>
              <w:pStyle w:val="xAvsandare3"/>
            </w:pPr>
          </w:p>
        </w:tc>
        <w:tc>
          <w:tcPr>
            <w:tcW w:w="4448" w:type="dxa"/>
            <w:tcBorders>
              <w:bottom w:val="single" w:sz="4" w:space="0" w:color="auto"/>
            </w:tcBorders>
            <w:vAlign w:val="center"/>
          </w:tcPr>
          <w:p w14:paraId="4F035CA4" w14:textId="77777777" w:rsidR="002401D0" w:rsidRDefault="002401D0">
            <w:pPr>
              <w:pStyle w:val="xAvsandare3"/>
            </w:pPr>
          </w:p>
        </w:tc>
        <w:tc>
          <w:tcPr>
            <w:tcW w:w="1725" w:type="dxa"/>
            <w:tcBorders>
              <w:bottom w:val="single" w:sz="4" w:space="0" w:color="auto"/>
            </w:tcBorders>
            <w:vAlign w:val="center"/>
          </w:tcPr>
          <w:p w14:paraId="4F05E734" w14:textId="77777777" w:rsidR="002401D0" w:rsidRDefault="002401D0">
            <w:pPr>
              <w:pStyle w:val="xDatum2"/>
            </w:pPr>
          </w:p>
        </w:tc>
        <w:tc>
          <w:tcPr>
            <w:tcW w:w="2563" w:type="dxa"/>
            <w:tcBorders>
              <w:bottom w:val="single" w:sz="4" w:space="0" w:color="auto"/>
            </w:tcBorders>
            <w:vAlign w:val="center"/>
          </w:tcPr>
          <w:p w14:paraId="308397C0" w14:textId="77777777" w:rsidR="002401D0" w:rsidRDefault="002401D0">
            <w:pPr>
              <w:pStyle w:val="xBeteckning2"/>
            </w:pPr>
          </w:p>
        </w:tc>
      </w:tr>
      <w:tr w:rsidR="002401D0" w14:paraId="538D501D" w14:textId="77777777">
        <w:trPr>
          <w:cantSplit/>
          <w:trHeight w:val="238"/>
        </w:trPr>
        <w:tc>
          <w:tcPr>
            <w:tcW w:w="861" w:type="dxa"/>
            <w:tcBorders>
              <w:top w:val="single" w:sz="4" w:space="0" w:color="auto"/>
            </w:tcBorders>
            <w:vAlign w:val="bottom"/>
          </w:tcPr>
          <w:p w14:paraId="0930B801" w14:textId="77777777" w:rsidR="002401D0" w:rsidRDefault="002401D0">
            <w:pPr>
              <w:pStyle w:val="xLedtext"/>
            </w:pPr>
          </w:p>
        </w:tc>
        <w:tc>
          <w:tcPr>
            <w:tcW w:w="4448" w:type="dxa"/>
            <w:tcBorders>
              <w:top w:val="single" w:sz="4" w:space="0" w:color="auto"/>
            </w:tcBorders>
            <w:vAlign w:val="bottom"/>
          </w:tcPr>
          <w:p w14:paraId="2D0FA7F3" w14:textId="77777777" w:rsidR="002401D0" w:rsidRDefault="002401D0">
            <w:pPr>
              <w:pStyle w:val="xLedtext"/>
            </w:pPr>
          </w:p>
        </w:tc>
        <w:tc>
          <w:tcPr>
            <w:tcW w:w="4288" w:type="dxa"/>
            <w:gridSpan w:val="2"/>
            <w:tcBorders>
              <w:top w:val="single" w:sz="4" w:space="0" w:color="auto"/>
            </w:tcBorders>
            <w:vAlign w:val="bottom"/>
          </w:tcPr>
          <w:p w14:paraId="4CAAE7D9" w14:textId="77777777" w:rsidR="002401D0" w:rsidRDefault="002401D0">
            <w:pPr>
              <w:pStyle w:val="xLedtext"/>
            </w:pPr>
          </w:p>
        </w:tc>
      </w:tr>
      <w:tr w:rsidR="002401D0" w14:paraId="531BD787" w14:textId="77777777">
        <w:trPr>
          <w:cantSplit/>
          <w:trHeight w:val="238"/>
        </w:trPr>
        <w:tc>
          <w:tcPr>
            <w:tcW w:w="861" w:type="dxa"/>
          </w:tcPr>
          <w:p w14:paraId="6F475208" w14:textId="77777777" w:rsidR="002401D0" w:rsidRDefault="002401D0">
            <w:pPr>
              <w:pStyle w:val="xCelltext"/>
            </w:pPr>
          </w:p>
        </w:tc>
        <w:tc>
          <w:tcPr>
            <w:tcW w:w="4448" w:type="dxa"/>
            <w:vMerge w:val="restart"/>
          </w:tcPr>
          <w:p w14:paraId="1E22F385" w14:textId="77777777" w:rsidR="002401D0" w:rsidRDefault="002401D0">
            <w:pPr>
              <w:pStyle w:val="xMottagare1"/>
            </w:pPr>
            <w:r>
              <w:t>Till Ålands lagting</w:t>
            </w:r>
          </w:p>
          <w:p w14:paraId="5FDD2249" w14:textId="77777777" w:rsidR="0035335F" w:rsidRPr="000E36E1" w:rsidRDefault="0035335F" w:rsidP="0035335F">
            <w:pPr>
              <w:pStyle w:val="xMottagare3"/>
            </w:pPr>
          </w:p>
          <w:p w14:paraId="14DCE1BA" w14:textId="70509E7D" w:rsidR="005C05BC" w:rsidRPr="005C05BC" w:rsidRDefault="005C05BC" w:rsidP="005C05BC">
            <w:pPr>
              <w:pStyle w:val="xMottagare4"/>
            </w:pPr>
          </w:p>
        </w:tc>
        <w:tc>
          <w:tcPr>
            <w:tcW w:w="4288" w:type="dxa"/>
            <w:gridSpan w:val="2"/>
            <w:vMerge w:val="restart"/>
          </w:tcPr>
          <w:p w14:paraId="78CC5D15" w14:textId="77777777" w:rsidR="002401D0" w:rsidRDefault="002401D0">
            <w:pPr>
              <w:pStyle w:val="xMottagare1"/>
              <w:tabs>
                <w:tab w:val="left" w:pos="2349"/>
              </w:tabs>
            </w:pPr>
          </w:p>
        </w:tc>
      </w:tr>
      <w:tr w:rsidR="002401D0" w14:paraId="66FA1993" w14:textId="77777777">
        <w:trPr>
          <w:cantSplit/>
          <w:trHeight w:val="238"/>
        </w:trPr>
        <w:tc>
          <w:tcPr>
            <w:tcW w:w="861" w:type="dxa"/>
          </w:tcPr>
          <w:p w14:paraId="6E283B45" w14:textId="77777777" w:rsidR="002401D0" w:rsidRDefault="002401D0">
            <w:pPr>
              <w:pStyle w:val="xCelltext"/>
            </w:pPr>
          </w:p>
        </w:tc>
        <w:tc>
          <w:tcPr>
            <w:tcW w:w="4448" w:type="dxa"/>
            <w:vMerge/>
            <w:vAlign w:val="center"/>
          </w:tcPr>
          <w:p w14:paraId="1876AF1E" w14:textId="77777777" w:rsidR="002401D0" w:rsidRDefault="002401D0">
            <w:pPr>
              <w:pStyle w:val="xCelltext"/>
            </w:pPr>
          </w:p>
        </w:tc>
        <w:tc>
          <w:tcPr>
            <w:tcW w:w="4288" w:type="dxa"/>
            <w:gridSpan w:val="2"/>
            <w:vMerge/>
            <w:vAlign w:val="center"/>
          </w:tcPr>
          <w:p w14:paraId="1C28DEDA" w14:textId="77777777" w:rsidR="002401D0" w:rsidRDefault="002401D0">
            <w:pPr>
              <w:pStyle w:val="xCelltext"/>
            </w:pPr>
          </w:p>
        </w:tc>
      </w:tr>
      <w:tr w:rsidR="002401D0" w14:paraId="0F1E0B13" w14:textId="77777777">
        <w:trPr>
          <w:cantSplit/>
          <w:trHeight w:val="238"/>
        </w:trPr>
        <w:tc>
          <w:tcPr>
            <w:tcW w:w="861" w:type="dxa"/>
          </w:tcPr>
          <w:p w14:paraId="23B40814" w14:textId="77777777" w:rsidR="002401D0" w:rsidRDefault="002401D0">
            <w:pPr>
              <w:pStyle w:val="xCelltext"/>
            </w:pPr>
          </w:p>
        </w:tc>
        <w:tc>
          <w:tcPr>
            <w:tcW w:w="4448" w:type="dxa"/>
            <w:vMerge/>
            <w:vAlign w:val="center"/>
          </w:tcPr>
          <w:p w14:paraId="4CA69B6A" w14:textId="77777777" w:rsidR="002401D0" w:rsidRDefault="002401D0">
            <w:pPr>
              <w:pStyle w:val="xCelltext"/>
            </w:pPr>
          </w:p>
        </w:tc>
        <w:tc>
          <w:tcPr>
            <w:tcW w:w="4288" w:type="dxa"/>
            <w:gridSpan w:val="2"/>
            <w:vMerge/>
            <w:vAlign w:val="center"/>
          </w:tcPr>
          <w:p w14:paraId="2EA51B88" w14:textId="77777777" w:rsidR="002401D0" w:rsidRDefault="002401D0">
            <w:pPr>
              <w:pStyle w:val="xCelltext"/>
            </w:pPr>
          </w:p>
        </w:tc>
      </w:tr>
      <w:tr w:rsidR="002401D0" w14:paraId="26434644" w14:textId="77777777">
        <w:trPr>
          <w:cantSplit/>
          <w:trHeight w:val="238"/>
        </w:trPr>
        <w:tc>
          <w:tcPr>
            <w:tcW w:w="861" w:type="dxa"/>
          </w:tcPr>
          <w:p w14:paraId="0E9B8324" w14:textId="77777777" w:rsidR="002401D0" w:rsidRDefault="002401D0">
            <w:pPr>
              <w:pStyle w:val="xCelltext"/>
            </w:pPr>
          </w:p>
        </w:tc>
        <w:tc>
          <w:tcPr>
            <w:tcW w:w="4448" w:type="dxa"/>
            <w:vMerge/>
            <w:vAlign w:val="center"/>
          </w:tcPr>
          <w:p w14:paraId="7F02A822" w14:textId="77777777" w:rsidR="002401D0" w:rsidRDefault="002401D0">
            <w:pPr>
              <w:pStyle w:val="xCelltext"/>
            </w:pPr>
          </w:p>
        </w:tc>
        <w:tc>
          <w:tcPr>
            <w:tcW w:w="4288" w:type="dxa"/>
            <w:gridSpan w:val="2"/>
            <w:vMerge/>
            <w:vAlign w:val="center"/>
          </w:tcPr>
          <w:p w14:paraId="23F91910" w14:textId="77777777" w:rsidR="002401D0" w:rsidRDefault="002401D0">
            <w:pPr>
              <w:pStyle w:val="xCelltext"/>
            </w:pPr>
          </w:p>
        </w:tc>
      </w:tr>
      <w:tr w:rsidR="002401D0" w14:paraId="0C1CF511" w14:textId="77777777">
        <w:trPr>
          <w:cantSplit/>
          <w:trHeight w:val="238"/>
        </w:trPr>
        <w:tc>
          <w:tcPr>
            <w:tcW w:w="861" w:type="dxa"/>
          </w:tcPr>
          <w:p w14:paraId="7DEB752B" w14:textId="77777777" w:rsidR="002401D0" w:rsidRDefault="002401D0">
            <w:pPr>
              <w:pStyle w:val="xCelltext"/>
            </w:pPr>
          </w:p>
        </w:tc>
        <w:tc>
          <w:tcPr>
            <w:tcW w:w="4448" w:type="dxa"/>
            <w:vMerge/>
            <w:vAlign w:val="center"/>
          </w:tcPr>
          <w:p w14:paraId="4CFAE3FD" w14:textId="77777777" w:rsidR="002401D0" w:rsidRDefault="002401D0">
            <w:pPr>
              <w:pStyle w:val="xCelltext"/>
            </w:pPr>
          </w:p>
        </w:tc>
        <w:tc>
          <w:tcPr>
            <w:tcW w:w="4288" w:type="dxa"/>
            <w:gridSpan w:val="2"/>
            <w:vMerge/>
            <w:vAlign w:val="center"/>
          </w:tcPr>
          <w:p w14:paraId="50093401" w14:textId="77777777" w:rsidR="002401D0" w:rsidRDefault="002401D0">
            <w:pPr>
              <w:pStyle w:val="xCelltext"/>
            </w:pPr>
          </w:p>
        </w:tc>
      </w:tr>
    </w:tbl>
    <w:p w14:paraId="4DF23377" w14:textId="77777777" w:rsidR="002401D0" w:rsidRDefault="002401D0">
      <w:pPr>
        <w:rPr>
          <w:b/>
          <w:bCs/>
        </w:rPr>
        <w:sectPr w:rsidR="002401D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14:paraId="5FAD2F19" w14:textId="77777777" w:rsidR="002401D0" w:rsidRDefault="004F110F">
      <w:pPr>
        <w:pStyle w:val="ArendeOverRubrik"/>
      </w:pPr>
      <w:r>
        <w:t>Finans- och närings</w:t>
      </w:r>
      <w:r w:rsidR="002401D0">
        <w:t>utskottets betänkande</w:t>
      </w:r>
    </w:p>
    <w:p w14:paraId="11F4CE3E" w14:textId="4ECDCB6A" w:rsidR="002401D0" w:rsidRPr="00B6105A" w:rsidRDefault="00EF538E" w:rsidP="00D06E29">
      <w:pPr>
        <w:pStyle w:val="ArendeUnderRubrik"/>
        <w:keepNext/>
        <w:numPr>
          <w:ilvl w:val="0"/>
          <w:numId w:val="0"/>
        </w:numPr>
        <w:jc w:val="both"/>
        <w:rPr>
          <w:rFonts w:ascii="Arial" w:hAnsi="Arial"/>
          <w:b/>
          <w:bCs/>
          <w:sz w:val="26"/>
        </w:rPr>
      </w:pPr>
      <w:r w:rsidRPr="00EF538E">
        <w:rPr>
          <w:rFonts w:ascii="Arial" w:hAnsi="Arial"/>
          <w:b/>
          <w:bCs/>
          <w:sz w:val="26"/>
        </w:rPr>
        <w:t>Landskapsrevis</w:t>
      </w:r>
      <w:r w:rsidR="00D06E29">
        <w:rPr>
          <w:rFonts w:ascii="Arial" w:hAnsi="Arial"/>
          <w:b/>
          <w:bCs/>
          <w:sz w:val="26"/>
        </w:rPr>
        <w:t xml:space="preserve">ionens </w:t>
      </w:r>
      <w:r>
        <w:rPr>
          <w:rFonts w:ascii="Arial" w:hAnsi="Arial"/>
          <w:b/>
          <w:bCs/>
          <w:sz w:val="26"/>
        </w:rPr>
        <w:t xml:space="preserve">berättelse </w:t>
      </w:r>
      <w:r w:rsidR="00D06E29">
        <w:rPr>
          <w:rFonts w:ascii="Arial" w:hAnsi="Arial"/>
          <w:b/>
          <w:bCs/>
          <w:sz w:val="26"/>
        </w:rPr>
        <w:t xml:space="preserve">över effektivitets-revisionen år </w:t>
      </w:r>
      <w:r w:rsidR="00A60572">
        <w:rPr>
          <w:rFonts w:ascii="Arial" w:hAnsi="Arial"/>
          <w:b/>
          <w:bCs/>
          <w:sz w:val="26"/>
        </w:rPr>
        <w:t>201</w:t>
      </w:r>
      <w:r w:rsidR="00110EED">
        <w:rPr>
          <w:rFonts w:ascii="Arial" w:hAnsi="Arial"/>
          <w:b/>
          <w:bCs/>
          <w:sz w:val="26"/>
        </w:rPr>
        <w:t>9</w:t>
      </w:r>
    </w:p>
    <w:p w14:paraId="7798D32C" w14:textId="68361969" w:rsidR="00EF538E" w:rsidRDefault="002B403F" w:rsidP="00EF538E">
      <w:pPr>
        <w:pStyle w:val="ArendeUnderRubrik"/>
      </w:pPr>
      <w:hyperlink r:id="rId16" w:history="1">
        <w:r w:rsidR="00EF538E" w:rsidRPr="00C71E55">
          <w:rPr>
            <w:rStyle w:val="Hyperlnk"/>
          </w:rPr>
          <w:t>Landskapsre</w:t>
        </w:r>
        <w:r w:rsidR="00521AAB" w:rsidRPr="00C71E55">
          <w:rPr>
            <w:rStyle w:val="Hyperlnk"/>
          </w:rPr>
          <w:t>visionens berättelse nr 1</w:t>
        </w:r>
        <w:r w:rsidR="00EF538E" w:rsidRPr="00C71E55">
          <w:rPr>
            <w:rStyle w:val="Hyperlnk"/>
          </w:rPr>
          <w:t>/</w:t>
        </w:r>
        <w:proofErr w:type="gramStart"/>
        <w:r w:rsidR="00EF538E" w:rsidRPr="00C71E55">
          <w:rPr>
            <w:rStyle w:val="Hyperlnk"/>
          </w:rPr>
          <w:t>201</w:t>
        </w:r>
        <w:r w:rsidR="00110EED" w:rsidRPr="00C71E55">
          <w:rPr>
            <w:rStyle w:val="Hyperlnk"/>
          </w:rPr>
          <w:t>9</w:t>
        </w:r>
        <w:r w:rsidR="00EF538E" w:rsidRPr="00C71E55">
          <w:rPr>
            <w:rStyle w:val="Hyperlnk"/>
          </w:rPr>
          <w:t>-20</w:t>
        </w:r>
        <w:r w:rsidR="00110EED" w:rsidRPr="00C71E55">
          <w:rPr>
            <w:rStyle w:val="Hyperlnk"/>
          </w:rPr>
          <w:t>20</w:t>
        </w:r>
        <w:proofErr w:type="gramEnd"/>
      </w:hyperlink>
    </w:p>
    <w:p w14:paraId="3CEA3718" w14:textId="70B247FC" w:rsidR="00521AAB" w:rsidRDefault="002B403F" w:rsidP="00EF538E">
      <w:pPr>
        <w:pStyle w:val="ArendeUnderRubrik"/>
      </w:pPr>
      <w:hyperlink r:id="rId17" w:history="1">
        <w:r w:rsidR="00A60572" w:rsidRPr="00C71E55">
          <w:rPr>
            <w:rStyle w:val="Hyperlnk"/>
          </w:rPr>
          <w:t xml:space="preserve">Landskapsregeringens svar </w:t>
        </w:r>
        <w:r w:rsidR="003352F4" w:rsidRPr="00C71E55">
          <w:rPr>
            <w:rStyle w:val="Hyperlnk"/>
          </w:rPr>
          <w:t>RB</w:t>
        </w:r>
        <w:r w:rsidR="00521AAB" w:rsidRPr="00C71E55">
          <w:rPr>
            <w:rStyle w:val="Hyperlnk"/>
          </w:rPr>
          <w:t xml:space="preserve"> </w:t>
        </w:r>
        <w:r w:rsidR="00164D3E" w:rsidRPr="00C71E55">
          <w:rPr>
            <w:rStyle w:val="Hyperlnk"/>
          </w:rPr>
          <w:t>1</w:t>
        </w:r>
        <w:r w:rsidR="00521AAB" w:rsidRPr="00C71E55">
          <w:rPr>
            <w:rStyle w:val="Hyperlnk"/>
          </w:rPr>
          <w:t>/</w:t>
        </w:r>
        <w:proofErr w:type="gramStart"/>
        <w:r w:rsidR="00521AAB" w:rsidRPr="00C71E55">
          <w:rPr>
            <w:rStyle w:val="Hyperlnk"/>
          </w:rPr>
          <w:t>201</w:t>
        </w:r>
        <w:r w:rsidR="00CA5446" w:rsidRPr="00C71E55">
          <w:rPr>
            <w:rStyle w:val="Hyperlnk"/>
          </w:rPr>
          <w:t>9</w:t>
        </w:r>
        <w:r w:rsidR="00521AAB" w:rsidRPr="00C71E55">
          <w:rPr>
            <w:rStyle w:val="Hyperlnk"/>
          </w:rPr>
          <w:t>-20</w:t>
        </w:r>
        <w:r w:rsidR="003352F4" w:rsidRPr="00C71E55">
          <w:rPr>
            <w:rStyle w:val="Hyperlnk"/>
          </w:rPr>
          <w:t>20</w:t>
        </w:r>
        <w:proofErr w:type="gramEnd"/>
      </w:hyperlink>
    </w:p>
    <w:p w14:paraId="00507428" w14:textId="77777777" w:rsidR="00CB7D45" w:rsidRPr="00CB7D45" w:rsidRDefault="00CB7D45" w:rsidP="00CB7D45">
      <w:pPr>
        <w:pStyle w:val="ArendeUnderRubrik"/>
        <w:numPr>
          <w:ilvl w:val="0"/>
          <w:numId w:val="0"/>
        </w:numPr>
        <w:ind w:left="283"/>
      </w:pPr>
    </w:p>
    <w:p w14:paraId="2984CD3E" w14:textId="77777777" w:rsidR="002401D0" w:rsidRDefault="002401D0">
      <w:pPr>
        <w:pStyle w:val="Innehll1"/>
      </w:pPr>
      <w:r>
        <w:t>INNEHÅLL</w:t>
      </w:r>
    </w:p>
    <w:p w14:paraId="78A94256" w14:textId="2C3D47B9" w:rsidR="00B604D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9938323" w:history="1">
        <w:r w:rsidR="00B604DD" w:rsidRPr="00AF1852">
          <w:rPr>
            <w:rStyle w:val="Hyperlnk"/>
          </w:rPr>
          <w:t>Sammanfattning</w:t>
        </w:r>
        <w:r w:rsidR="00B604DD">
          <w:rPr>
            <w:webHidden/>
          </w:rPr>
          <w:tab/>
        </w:r>
        <w:r w:rsidR="00B604DD">
          <w:rPr>
            <w:webHidden/>
          </w:rPr>
          <w:fldChar w:fldCharType="begin"/>
        </w:r>
        <w:r w:rsidR="00B604DD">
          <w:rPr>
            <w:webHidden/>
          </w:rPr>
          <w:instrText xml:space="preserve"> PAGEREF _Toc49938323 \h </w:instrText>
        </w:r>
        <w:r w:rsidR="00B604DD">
          <w:rPr>
            <w:webHidden/>
          </w:rPr>
        </w:r>
        <w:r w:rsidR="00B604DD">
          <w:rPr>
            <w:webHidden/>
          </w:rPr>
          <w:fldChar w:fldCharType="separate"/>
        </w:r>
        <w:r w:rsidR="002B403F">
          <w:rPr>
            <w:webHidden/>
          </w:rPr>
          <w:t>1</w:t>
        </w:r>
        <w:r w:rsidR="00B604DD">
          <w:rPr>
            <w:webHidden/>
          </w:rPr>
          <w:fldChar w:fldCharType="end"/>
        </w:r>
      </w:hyperlink>
    </w:p>
    <w:p w14:paraId="1062C91B" w14:textId="51D8176E" w:rsidR="00B604DD" w:rsidRDefault="002B403F">
      <w:pPr>
        <w:pStyle w:val="Innehll2"/>
        <w:rPr>
          <w:rFonts w:asciiTheme="minorHAnsi" w:eastAsiaTheme="minorEastAsia" w:hAnsiTheme="minorHAnsi" w:cstheme="minorBidi"/>
          <w:sz w:val="22"/>
          <w:szCs w:val="22"/>
          <w:lang w:val="sv-FI" w:eastAsia="sv-FI"/>
        </w:rPr>
      </w:pPr>
      <w:hyperlink w:anchor="_Toc49938324" w:history="1">
        <w:r w:rsidR="00B604DD" w:rsidRPr="00AF1852">
          <w:rPr>
            <w:rStyle w:val="Hyperlnk"/>
          </w:rPr>
          <w:t>Utskottets förslag</w:t>
        </w:r>
        <w:r w:rsidR="00B604DD">
          <w:rPr>
            <w:webHidden/>
          </w:rPr>
          <w:tab/>
        </w:r>
        <w:r w:rsidR="00B604DD">
          <w:rPr>
            <w:webHidden/>
          </w:rPr>
          <w:fldChar w:fldCharType="begin"/>
        </w:r>
        <w:r w:rsidR="00B604DD">
          <w:rPr>
            <w:webHidden/>
          </w:rPr>
          <w:instrText xml:space="preserve"> PAGEREF _Toc49938324 \h </w:instrText>
        </w:r>
        <w:r w:rsidR="00B604DD">
          <w:rPr>
            <w:webHidden/>
          </w:rPr>
        </w:r>
        <w:r w:rsidR="00B604DD">
          <w:rPr>
            <w:webHidden/>
          </w:rPr>
          <w:fldChar w:fldCharType="separate"/>
        </w:r>
        <w:r>
          <w:rPr>
            <w:webHidden/>
          </w:rPr>
          <w:t>1</w:t>
        </w:r>
        <w:r w:rsidR="00B604DD">
          <w:rPr>
            <w:webHidden/>
          </w:rPr>
          <w:fldChar w:fldCharType="end"/>
        </w:r>
      </w:hyperlink>
    </w:p>
    <w:p w14:paraId="38C9C33C" w14:textId="462A4238" w:rsidR="00B604DD" w:rsidRDefault="002B403F">
      <w:pPr>
        <w:pStyle w:val="Innehll1"/>
        <w:rPr>
          <w:rFonts w:asciiTheme="minorHAnsi" w:eastAsiaTheme="minorEastAsia" w:hAnsiTheme="minorHAnsi" w:cstheme="minorBidi"/>
          <w:sz w:val="22"/>
          <w:szCs w:val="22"/>
          <w:lang w:val="sv-FI" w:eastAsia="sv-FI"/>
        </w:rPr>
      </w:pPr>
      <w:hyperlink w:anchor="_Toc49938325" w:history="1">
        <w:r w:rsidR="00B604DD" w:rsidRPr="00AF1852">
          <w:rPr>
            <w:rStyle w:val="Hyperlnk"/>
          </w:rPr>
          <w:t>Utskottets synpunkter</w:t>
        </w:r>
        <w:r w:rsidR="00B604DD">
          <w:rPr>
            <w:webHidden/>
          </w:rPr>
          <w:tab/>
        </w:r>
        <w:r w:rsidR="00B604DD">
          <w:rPr>
            <w:webHidden/>
          </w:rPr>
          <w:fldChar w:fldCharType="begin"/>
        </w:r>
        <w:r w:rsidR="00B604DD">
          <w:rPr>
            <w:webHidden/>
          </w:rPr>
          <w:instrText xml:space="preserve"> PAGEREF _Toc49938325 \h </w:instrText>
        </w:r>
        <w:r w:rsidR="00B604DD">
          <w:rPr>
            <w:webHidden/>
          </w:rPr>
        </w:r>
        <w:r w:rsidR="00B604DD">
          <w:rPr>
            <w:webHidden/>
          </w:rPr>
          <w:fldChar w:fldCharType="separate"/>
        </w:r>
        <w:r>
          <w:rPr>
            <w:webHidden/>
          </w:rPr>
          <w:t>1</w:t>
        </w:r>
        <w:r w:rsidR="00B604DD">
          <w:rPr>
            <w:webHidden/>
          </w:rPr>
          <w:fldChar w:fldCharType="end"/>
        </w:r>
      </w:hyperlink>
    </w:p>
    <w:p w14:paraId="2F53B801" w14:textId="2190CD1E" w:rsidR="00B604DD" w:rsidRDefault="002B403F">
      <w:pPr>
        <w:pStyle w:val="Innehll2"/>
        <w:rPr>
          <w:rFonts w:asciiTheme="minorHAnsi" w:eastAsiaTheme="minorEastAsia" w:hAnsiTheme="minorHAnsi" w:cstheme="minorBidi"/>
          <w:sz w:val="22"/>
          <w:szCs w:val="22"/>
          <w:lang w:val="sv-FI" w:eastAsia="sv-FI"/>
        </w:rPr>
      </w:pPr>
      <w:hyperlink w:anchor="_Toc49938326" w:history="1">
        <w:r w:rsidR="00B604DD" w:rsidRPr="00AF1852">
          <w:rPr>
            <w:rStyle w:val="Hyperlnk"/>
          </w:rPr>
          <w:t>Granskning av Ålands hälso- och sjukvård</w:t>
        </w:r>
        <w:r w:rsidR="00B604DD">
          <w:rPr>
            <w:webHidden/>
          </w:rPr>
          <w:tab/>
        </w:r>
        <w:r w:rsidR="00B604DD">
          <w:rPr>
            <w:webHidden/>
          </w:rPr>
          <w:fldChar w:fldCharType="begin"/>
        </w:r>
        <w:r w:rsidR="00B604DD">
          <w:rPr>
            <w:webHidden/>
          </w:rPr>
          <w:instrText xml:space="preserve"> PAGEREF _Toc49938326 \h </w:instrText>
        </w:r>
        <w:r w:rsidR="00B604DD">
          <w:rPr>
            <w:webHidden/>
          </w:rPr>
        </w:r>
        <w:r w:rsidR="00B604DD">
          <w:rPr>
            <w:webHidden/>
          </w:rPr>
          <w:fldChar w:fldCharType="separate"/>
        </w:r>
        <w:r>
          <w:rPr>
            <w:webHidden/>
          </w:rPr>
          <w:t>3</w:t>
        </w:r>
        <w:r w:rsidR="00B604DD">
          <w:rPr>
            <w:webHidden/>
          </w:rPr>
          <w:fldChar w:fldCharType="end"/>
        </w:r>
      </w:hyperlink>
    </w:p>
    <w:p w14:paraId="39C6C4B9" w14:textId="368D887B" w:rsidR="00B604DD" w:rsidRDefault="002B403F">
      <w:pPr>
        <w:pStyle w:val="Innehll2"/>
        <w:rPr>
          <w:rFonts w:asciiTheme="minorHAnsi" w:eastAsiaTheme="minorEastAsia" w:hAnsiTheme="minorHAnsi" w:cstheme="minorBidi"/>
          <w:sz w:val="22"/>
          <w:szCs w:val="22"/>
          <w:lang w:val="sv-FI" w:eastAsia="sv-FI"/>
        </w:rPr>
      </w:pPr>
      <w:hyperlink w:anchor="_Toc49938327" w:history="1">
        <w:r w:rsidR="00B604DD" w:rsidRPr="00AF1852">
          <w:rPr>
            <w:rStyle w:val="Hyperlnk"/>
          </w:rPr>
          <w:t>Granskning av IT-drift och -utveckling inom landskapets förvaltning</w:t>
        </w:r>
        <w:r w:rsidR="00B604DD">
          <w:rPr>
            <w:webHidden/>
          </w:rPr>
          <w:tab/>
        </w:r>
        <w:r w:rsidR="00B604DD">
          <w:rPr>
            <w:webHidden/>
          </w:rPr>
          <w:fldChar w:fldCharType="begin"/>
        </w:r>
        <w:r w:rsidR="00B604DD">
          <w:rPr>
            <w:webHidden/>
          </w:rPr>
          <w:instrText xml:space="preserve"> PAGEREF _Toc49938327 \h </w:instrText>
        </w:r>
        <w:r w:rsidR="00B604DD">
          <w:rPr>
            <w:webHidden/>
          </w:rPr>
        </w:r>
        <w:r w:rsidR="00B604DD">
          <w:rPr>
            <w:webHidden/>
          </w:rPr>
          <w:fldChar w:fldCharType="separate"/>
        </w:r>
        <w:r>
          <w:rPr>
            <w:webHidden/>
          </w:rPr>
          <w:t>3</w:t>
        </w:r>
        <w:r w:rsidR="00B604DD">
          <w:rPr>
            <w:webHidden/>
          </w:rPr>
          <w:fldChar w:fldCharType="end"/>
        </w:r>
      </w:hyperlink>
    </w:p>
    <w:p w14:paraId="1975B631" w14:textId="65F4E7FF" w:rsidR="00B604DD" w:rsidRDefault="002B403F">
      <w:pPr>
        <w:pStyle w:val="Innehll2"/>
        <w:rPr>
          <w:rFonts w:asciiTheme="minorHAnsi" w:eastAsiaTheme="minorEastAsia" w:hAnsiTheme="minorHAnsi" w:cstheme="minorBidi"/>
          <w:sz w:val="22"/>
          <w:szCs w:val="22"/>
          <w:lang w:val="sv-FI" w:eastAsia="sv-FI"/>
        </w:rPr>
      </w:pPr>
      <w:hyperlink w:anchor="_Toc49938328" w:history="1">
        <w:r w:rsidR="00B604DD" w:rsidRPr="00AF1852">
          <w:rPr>
            <w:rStyle w:val="Hyperlnk"/>
          </w:rPr>
          <w:t>Granskning av Datainspektionen, Lotteriinspektionen och Upphandlingsinspektionen</w:t>
        </w:r>
        <w:r w:rsidR="00B604DD">
          <w:rPr>
            <w:webHidden/>
          </w:rPr>
          <w:tab/>
        </w:r>
        <w:r w:rsidR="00B604DD">
          <w:rPr>
            <w:webHidden/>
          </w:rPr>
          <w:fldChar w:fldCharType="begin"/>
        </w:r>
        <w:r w:rsidR="00B604DD">
          <w:rPr>
            <w:webHidden/>
          </w:rPr>
          <w:instrText xml:space="preserve"> PAGEREF _Toc49938328 \h </w:instrText>
        </w:r>
        <w:r w:rsidR="00B604DD">
          <w:rPr>
            <w:webHidden/>
          </w:rPr>
        </w:r>
        <w:r w:rsidR="00B604DD">
          <w:rPr>
            <w:webHidden/>
          </w:rPr>
          <w:fldChar w:fldCharType="separate"/>
        </w:r>
        <w:r>
          <w:rPr>
            <w:webHidden/>
          </w:rPr>
          <w:t>4</w:t>
        </w:r>
        <w:r w:rsidR="00B604DD">
          <w:rPr>
            <w:webHidden/>
          </w:rPr>
          <w:fldChar w:fldCharType="end"/>
        </w:r>
      </w:hyperlink>
    </w:p>
    <w:p w14:paraId="53DB2621" w14:textId="46420498" w:rsidR="00B604DD" w:rsidRDefault="002B403F">
      <w:pPr>
        <w:pStyle w:val="Innehll2"/>
        <w:rPr>
          <w:rFonts w:asciiTheme="minorHAnsi" w:eastAsiaTheme="minorEastAsia" w:hAnsiTheme="minorHAnsi" w:cstheme="minorBidi"/>
          <w:sz w:val="22"/>
          <w:szCs w:val="22"/>
          <w:lang w:val="sv-FI" w:eastAsia="sv-FI"/>
        </w:rPr>
      </w:pPr>
      <w:hyperlink w:anchor="_Toc49938329" w:history="1">
        <w:r w:rsidR="00B604DD" w:rsidRPr="00AF1852">
          <w:rPr>
            <w:rStyle w:val="Hyperlnk"/>
          </w:rPr>
          <w:t>Incitamentsstruktur</w:t>
        </w:r>
        <w:r w:rsidR="00B604DD">
          <w:rPr>
            <w:webHidden/>
          </w:rPr>
          <w:tab/>
        </w:r>
        <w:r w:rsidR="00B604DD">
          <w:rPr>
            <w:webHidden/>
          </w:rPr>
          <w:fldChar w:fldCharType="begin"/>
        </w:r>
        <w:r w:rsidR="00B604DD">
          <w:rPr>
            <w:webHidden/>
          </w:rPr>
          <w:instrText xml:space="preserve"> PAGEREF _Toc49938329 \h </w:instrText>
        </w:r>
        <w:r w:rsidR="00B604DD">
          <w:rPr>
            <w:webHidden/>
          </w:rPr>
        </w:r>
        <w:r w:rsidR="00B604DD">
          <w:rPr>
            <w:webHidden/>
          </w:rPr>
          <w:fldChar w:fldCharType="separate"/>
        </w:r>
        <w:r>
          <w:rPr>
            <w:webHidden/>
          </w:rPr>
          <w:t>4</w:t>
        </w:r>
        <w:r w:rsidR="00B604DD">
          <w:rPr>
            <w:webHidden/>
          </w:rPr>
          <w:fldChar w:fldCharType="end"/>
        </w:r>
      </w:hyperlink>
    </w:p>
    <w:p w14:paraId="19529FE6" w14:textId="259E1BE1" w:rsidR="00B604DD" w:rsidRDefault="002B403F">
      <w:pPr>
        <w:pStyle w:val="Innehll1"/>
        <w:rPr>
          <w:rFonts w:asciiTheme="minorHAnsi" w:eastAsiaTheme="minorEastAsia" w:hAnsiTheme="minorHAnsi" w:cstheme="minorBidi"/>
          <w:sz w:val="22"/>
          <w:szCs w:val="22"/>
          <w:lang w:val="sv-FI" w:eastAsia="sv-FI"/>
        </w:rPr>
      </w:pPr>
      <w:hyperlink w:anchor="_Toc49938330" w:history="1">
        <w:r w:rsidR="00B604DD" w:rsidRPr="00AF1852">
          <w:rPr>
            <w:rStyle w:val="Hyperlnk"/>
          </w:rPr>
          <w:t>Ärendets behandling</w:t>
        </w:r>
        <w:r w:rsidR="00B604DD">
          <w:rPr>
            <w:webHidden/>
          </w:rPr>
          <w:tab/>
        </w:r>
        <w:r w:rsidR="00B604DD">
          <w:rPr>
            <w:webHidden/>
          </w:rPr>
          <w:fldChar w:fldCharType="begin"/>
        </w:r>
        <w:r w:rsidR="00B604DD">
          <w:rPr>
            <w:webHidden/>
          </w:rPr>
          <w:instrText xml:space="preserve"> PAGEREF _Toc49938330 \h </w:instrText>
        </w:r>
        <w:r w:rsidR="00B604DD">
          <w:rPr>
            <w:webHidden/>
          </w:rPr>
        </w:r>
        <w:r w:rsidR="00B604DD">
          <w:rPr>
            <w:webHidden/>
          </w:rPr>
          <w:fldChar w:fldCharType="separate"/>
        </w:r>
        <w:r>
          <w:rPr>
            <w:webHidden/>
          </w:rPr>
          <w:t>4</w:t>
        </w:r>
        <w:r w:rsidR="00B604DD">
          <w:rPr>
            <w:webHidden/>
          </w:rPr>
          <w:fldChar w:fldCharType="end"/>
        </w:r>
      </w:hyperlink>
    </w:p>
    <w:p w14:paraId="11CD0137" w14:textId="49DCFF83" w:rsidR="00B604DD" w:rsidRDefault="002B403F">
      <w:pPr>
        <w:pStyle w:val="Innehll1"/>
        <w:rPr>
          <w:rFonts w:asciiTheme="minorHAnsi" w:eastAsiaTheme="minorEastAsia" w:hAnsiTheme="minorHAnsi" w:cstheme="minorBidi"/>
          <w:sz w:val="22"/>
          <w:szCs w:val="22"/>
          <w:lang w:val="sv-FI" w:eastAsia="sv-FI"/>
        </w:rPr>
      </w:pPr>
      <w:hyperlink w:anchor="_Toc49938331" w:history="1">
        <w:r w:rsidR="00B604DD" w:rsidRPr="00AF1852">
          <w:rPr>
            <w:rStyle w:val="Hyperlnk"/>
          </w:rPr>
          <w:t>Utskottets förslag</w:t>
        </w:r>
        <w:r w:rsidR="00B604DD">
          <w:rPr>
            <w:webHidden/>
          </w:rPr>
          <w:tab/>
        </w:r>
        <w:r w:rsidR="00B604DD">
          <w:rPr>
            <w:webHidden/>
          </w:rPr>
          <w:fldChar w:fldCharType="begin"/>
        </w:r>
        <w:r w:rsidR="00B604DD">
          <w:rPr>
            <w:webHidden/>
          </w:rPr>
          <w:instrText xml:space="preserve"> PAGEREF _Toc49938331 \h </w:instrText>
        </w:r>
        <w:r w:rsidR="00B604DD">
          <w:rPr>
            <w:webHidden/>
          </w:rPr>
        </w:r>
        <w:r w:rsidR="00B604DD">
          <w:rPr>
            <w:webHidden/>
          </w:rPr>
          <w:fldChar w:fldCharType="separate"/>
        </w:r>
        <w:r>
          <w:rPr>
            <w:webHidden/>
          </w:rPr>
          <w:t>4</w:t>
        </w:r>
        <w:r w:rsidR="00B604DD">
          <w:rPr>
            <w:webHidden/>
          </w:rPr>
          <w:fldChar w:fldCharType="end"/>
        </w:r>
      </w:hyperlink>
    </w:p>
    <w:p w14:paraId="70F422FD" w14:textId="00B4597A" w:rsidR="002401D0" w:rsidRDefault="002401D0">
      <w:pPr>
        <w:pStyle w:val="ANormal"/>
        <w:rPr>
          <w:rFonts w:ascii="Verdana" w:hAnsi="Verdana"/>
          <w:noProof/>
          <w:sz w:val="16"/>
          <w:szCs w:val="36"/>
        </w:rPr>
      </w:pPr>
      <w:r>
        <w:rPr>
          <w:rFonts w:ascii="Verdana" w:hAnsi="Verdana"/>
          <w:noProof/>
          <w:sz w:val="16"/>
          <w:szCs w:val="36"/>
        </w:rPr>
        <w:fldChar w:fldCharType="end"/>
      </w:r>
    </w:p>
    <w:p w14:paraId="60EF4143" w14:textId="77777777" w:rsidR="002401D0" w:rsidRDefault="002401D0">
      <w:pPr>
        <w:pStyle w:val="RubrikA"/>
      </w:pPr>
      <w:bookmarkStart w:id="1" w:name="_Toc529800932"/>
      <w:bookmarkStart w:id="2" w:name="_Toc49938323"/>
      <w:r>
        <w:t>Sammanfattning</w:t>
      </w:r>
      <w:bookmarkEnd w:id="1"/>
      <w:bookmarkEnd w:id="2"/>
    </w:p>
    <w:p w14:paraId="55A7A332" w14:textId="77777777" w:rsidR="00691978" w:rsidRPr="00691978" w:rsidRDefault="00691978" w:rsidP="00691978">
      <w:pPr>
        <w:pStyle w:val="Rubrikmellanrum"/>
      </w:pPr>
    </w:p>
    <w:p w14:paraId="0104A391" w14:textId="4F5FF779" w:rsidR="00CD064E" w:rsidRDefault="00A60572" w:rsidP="000023AD">
      <w:pPr>
        <w:pStyle w:val="ANormal"/>
      </w:pPr>
      <w:r w:rsidRPr="00A60572">
        <w:t xml:space="preserve">Landskapsrevisionen har </w:t>
      </w:r>
      <w:r w:rsidR="000023AD">
        <w:t xml:space="preserve">den 27 februari </w:t>
      </w:r>
      <w:r w:rsidRPr="00A60572">
        <w:t xml:space="preserve">till lagtinget överlämnat sin </w:t>
      </w:r>
      <w:r w:rsidRPr="00110EED">
        <w:t xml:space="preserve">i 7 § 1 mom. landskapslagen </w:t>
      </w:r>
      <w:r w:rsidR="00485BD9" w:rsidRPr="00110EED">
        <w:t xml:space="preserve">(2013:25) </w:t>
      </w:r>
      <w:r w:rsidRPr="000023AD">
        <w:t>om Landskapsrevisionen</w:t>
      </w:r>
      <w:r w:rsidRPr="00110EED">
        <w:t xml:space="preserve"> avsedda berättelse </w:t>
      </w:r>
      <w:r w:rsidR="00A65E29" w:rsidRPr="00110EED">
        <w:t xml:space="preserve">avseende </w:t>
      </w:r>
      <w:r w:rsidRPr="00110EED">
        <w:t>effektivitetsrevisionen.</w:t>
      </w:r>
      <w:r w:rsidR="00756374" w:rsidRPr="00110EED">
        <w:t xml:space="preserve"> </w:t>
      </w:r>
    </w:p>
    <w:p w14:paraId="598E23D5" w14:textId="6221009C" w:rsidR="000324F1" w:rsidRPr="000324F1" w:rsidRDefault="005C15F1" w:rsidP="000023AD">
      <w:pPr>
        <w:pStyle w:val="ANormal"/>
      </w:pPr>
      <w:r>
        <w:tab/>
      </w:r>
      <w:r w:rsidR="000324F1" w:rsidRPr="000324F1">
        <w:t>Landskapsrevisionen väljer årligen ut ett antal områden för effektivitetsrevision. Genom att granska resursutnyttjande, måluppfyllelse och samhällsnytta ska effektivitetsrevisionen bedöma om budgetmedlen har använts i enlighet med principerna om sparsamhet, effektivitet och ändamålsenlighet.</w:t>
      </w:r>
    </w:p>
    <w:p w14:paraId="1E963111" w14:textId="628E6B98" w:rsidR="000324F1" w:rsidRPr="000324F1" w:rsidRDefault="005C15F1" w:rsidP="000023AD">
      <w:pPr>
        <w:pStyle w:val="ANormal"/>
      </w:pPr>
      <w:r>
        <w:rPr>
          <w:shd w:val="clear" w:color="auto" w:fill="FFFFFF"/>
        </w:rPr>
        <w:tab/>
      </w:r>
      <w:r w:rsidR="000324F1" w:rsidRPr="000324F1">
        <w:rPr>
          <w:shd w:val="clear" w:color="auto" w:fill="FFFFFF"/>
        </w:rPr>
        <w:t>År 2019 har granskningarna omfattat Ålands hälso- och sjukvård</w:t>
      </w:r>
      <w:r w:rsidR="0050694B">
        <w:rPr>
          <w:shd w:val="clear" w:color="auto" w:fill="FFFFFF"/>
        </w:rPr>
        <w:t xml:space="preserve"> (ÅHS)</w:t>
      </w:r>
      <w:r w:rsidR="000324F1" w:rsidRPr="000324F1">
        <w:rPr>
          <w:shd w:val="clear" w:color="auto" w:fill="FFFFFF"/>
        </w:rPr>
        <w:t xml:space="preserve">, IT-drift och -utveckling inom landskapets förvaltning samt myndigheterna </w:t>
      </w:r>
      <w:r w:rsidR="00737188">
        <w:rPr>
          <w:shd w:val="clear" w:color="auto" w:fill="FFFFFF"/>
        </w:rPr>
        <w:t>D</w:t>
      </w:r>
      <w:r w:rsidR="000324F1" w:rsidRPr="000324F1">
        <w:rPr>
          <w:shd w:val="clear" w:color="auto" w:fill="FFFFFF"/>
        </w:rPr>
        <w:t xml:space="preserve">atainspektionen, </w:t>
      </w:r>
      <w:r w:rsidR="00737188">
        <w:rPr>
          <w:shd w:val="clear" w:color="auto" w:fill="FFFFFF"/>
        </w:rPr>
        <w:t>L</w:t>
      </w:r>
      <w:r w:rsidR="000324F1" w:rsidRPr="000324F1">
        <w:rPr>
          <w:shd w:val="clear" w:color="auto" w:fill="FFFFFF"/>
        </w:rPr>
        <w:t xml:space="preserve">otteriinspektionen och </w:t>
      </w:r>
      <w:r w:rsidR="00737188">
        <w:rPr>
          <w:shd w:val="clear" w:color="auto" w:fill="FFFFFF"/>
        </w:rPr>
        <w:t>U</w:t>
      </w:r>
      <w:r w:rsidR="000324F1" w:rsidRPr="000324F1">
        <w:rPr>
          <w:shd w:val="clear" w:color="auto" w:fill="FFFFFF"/>
        </w:rPr>
        <w:t>pphandlingsinspektionen.</w:t>
      </w:r>
    </w:p>
    <w:p w14:paraId="1B2C98AC" w14:textId="58E39900" w:rsidR="00756374" w:rsidRDefault="00F57B49" w:rsidP="000023AD">
      <w:pPr>
        <w:pStyle w:val="ANormal"/>
      </w:pPr>
      <w:r>
        <w:tab/>
      </w:r>
      <w:r w:rsidR="00A60572" w:rsidRPr="00110EED">
        <w:t xml:space="preserve">Landskapsregeringen har </w:t>
      </w:r>
      <w:r w:rsidR="005C15F1">
        <w:t xml:space="preserve">den </w:t>
      </w:r>
      <w:r w:rsidR="000023AD">
        <w:t xml:space="preserve">29 maj 2020 </w:t>
      </w:r>
      <w:r w:rsidR="00A60572" w:rsidRPr="00A60572">
        <w:t xml:space="preserve">överlämnat ett svar </w:t>
      </w:r>
      <w:r w:rsidR="00710A73">
        <w:t xml:space="preserve">i </w:t>
      </w:r>
      <w:r w:rsidR="00A60572" w:rsidRPr="00A60572">
        <w:t xml:space="preserve">vilket man </w:t>
      </w:r>
      <w:r w:rsidR="00710A73">
        <w:t>kommenterar innehållet i</w:t>
      </w:r>
      <w:r w:rsidR="00756374">
        <w:t xml:space="preserve"> </w:t>
      </w:r>
      <w:r w:rsidR="00A60572" w:rsidRPr="00A60572">
        <w:t>berät</w:t>
      </w:r>
      <w:r w:rsidR="00756374">
        <w:t>telse</w:t>
      </w:r>
      <w:r w:rsidR="00710A73">
        <w:t>n</w:t>
      </w:r>
      <w:r w:rsidR="00A60572" w:rsidRPr="00A60572">
        <w:t xml:space="preserve">. </w:t>
      </w:r>
    </w:p>
    <w:p w14:paraId="18E9BA5B" w14:textId="77777777" w:rsidR="00A60572" w:rsidRDefault="00A60572" w:rsidP="00756374">
      <w:pPr>
        <w:ind w:firstLine="1304"/>
        <w:jc w:val="both"/>
        <w:rPr>
          <w:sz w:val="22"/>
          <w:szCs w:val="22"/>
        </w:rPr>
      </w:pPr>
    </w:p>
    <w:p w14:paraId="599EED8E" w14:textId="77777777" w:rsidR="002401D0" w:rsidRDefault="002401D0">
      <w:pPr>
        <w:pStyle w:val="RubrikB"/>
      </w:pPr>
      <w:bookmarkStart w:id="3" w:name="_Toc529800934"/>
      <w:bookmarkStart w:id="4" w:name="_Toc49938324"/>
      <w:r>
        <w:t>Utskottets förslag</w:t>
      </w:r>
      <w:bookmarkEnd w:id="3"/>
      <w:bookmarkEnd w:id="4"/>
    </w:p>
    <w:p w14:paraId="410C38C7" w14:textId="77777777" w:rsidR="002401D0" w:rsidRDefault="002401D0">
      <w:pPr>
        <w:pStyle w:val="Rubrikmellanrum"/>
      </w:pPr>
    </w:p>
    <w:p w14:paraId="0CEAFC1E" w14:textId="0B8E4AB0" w:rsidR="00B6105A" w:rsidRDefault="00203ACF" w:rsidP="00691978">
      <w:pPr>
        <w:jc w:val="both"/>
        <w:rPr>
          <w:sz w:val="22"/>
          <w:szCs w:val="22"/>
        </w:rPr>
      </w:pPr>
      <w:r w:rsidRPr="00203ACF">
        <w:rPr>
          <w:sz w:val="22"/>
          <w:szCs w:val="22"/>
        </w:rPr>
        <w:t xml:space="preserve">Utskottet </w:t>
      </w:r>
      <w:r w:rsidR="003352F4">
        <w:rPr>
          <w:sz w:val="22"/>
          <w:szCs w:val="22"/>
        </w:rPr>
        <w:t xml:space="preserve">avger i </w:t>
      </w:r>
      <w:r w:rsidRPr="00203ACF">
        <w:rPr>
          <w:sz w:val="22"/>
          <w:szCs w:val="22"/>
        </w:rPr>
        <w:t>detta bet</w:t>
      </w:r>
      <w:r w:rsidR="00A65E29">
        <w:rPr>
          <w:sz w:val="22"/>
          <w:szCs w:val="22"/>
        </w:rPr>
        <w:t xml:space="preserve">änkande sina synpunkter över </w:t>
      </w:r>
      <w:proofErr w:type="gramStart"/>
      <w:r w:rsidR="003352F4">
        <w:rPr>
          <w:sz w:val="22"/>
          <w:szCs w:val="22"/>
        </w:rPr>
        <w:t>landskapsrevisionens berättelsen</w:t>
      </w:r>
      <w:proofErr w:type="gramEnd"/>
      <w:r w:rsidR="003352F4">
        <w:rPr>
          <w:sz w:val="22"/>
          <w:szCs w:val="22"/>
        </w:rPr>
        <w:t xml:space="preserve"> och landskapsregeringens svar. </w:t>
      </w:r>
      <w:r w:rsidR="00D7671F">
        <w:rPr>
          <w:sz w:val="22"/>
          <w:szCs w:val="22"/>
        </w:rPr>
        <w:t xml:space="preserve">Utskottet föreslår att berättelsen och svaret antecknas för kännedom samt att utskottets </w:t>
      </w:r>
      <w:r w:rsidRPr="00203ACF">
        <w:rPr>
          <w:sz w:val="22"/>
          <w:szCs w:val="22"/>
        </w:rPr>
        <w:t>betänkande bringas till landskapsregeringens kännedom.</w:t>
      </w:r>
    </w:p>
    <w:p w14:paraId="2277DDBA" w14:textId="77243110" w:rsidR="00FF3268" w:rsidRDefault="00FF3268">
      <w:pPr>
        <w:pStyle w:val="ANormal"/>
      </w:pPr>
    </w:p>
    <w:p w14:paraId="2457A345" w14:textId="02425058" w:rsidR="002401D0" w:rsidRPr="003C3E9F" w:rsidRDefault="002401D0">
      <w:pPr>
        <w:pStyle w:val="RubrikA"/>
      </w:pPr>
      <w:bookmarkStart w:id="5" w:name="_Toc529800935"/>
      <w:bookmarkStart w:id="6" w:name="_Toc49938325"/>
      <w:r w:rsidRPr="003C3E9F">
        <w:t>Utskottets synpunkter</w:t>
      </w:r>
      <w:bookmarkEnd w:id="5"/>
      <w:bookmarkEnd w:id="6"/>
    </w:p>
    <w:p w14:paraId="4510F8EA" w14:textId="77777777" w:rsidR="00CB1FD8" w:rsidRPr="003C3E9F" w:rsidRDefault="00CB1FD8" w:rsidP="00CB1FD8">
      <w:pPr>
        <w:pStyle w:val="Rubrikmellanrum"/>
      </w:pPr>
    </w:p>
    <w:p w14:paraId="402578E4" w14:textId="744BE8F8" w:rsidR="003C3E9F" w:rsidRPr="00F155C9" w:rsidRDefault="00CB1FD8" w:rsidP="003C3E9F">
      <w:pPr>
        <w:pStyle w:val="ANormal"/>
        <w:rPr>
          <w:shd w:val="clear" w:color="auto" w:fill="FFFFFF"/>
        </w:rPr>
      </w:pPr>
      <w:r w:rsidRPr="003C3E9F">
        <w:rPr>
          <w:szCs w:val="22"/>
        </w:rPr>
        <w:t xml:space="preserve">Landskapsrevisionens berättelse över effektivitetsrevisionen </w:t>
      </w:r>
      <w:r w:rsidR="00B2261D" w:rsidRPr="003C3E9F">
        <w:rPr>
          <w:szCs w:val="22"/>
        </w:rPr>
        <w:t xml:space="preserve">är den sjunde i ordningen efter att landskapslagen </w:t>
      </w:r>
      <w:r w:rsidR="00B2261D" w:rsidRPr="00AA1B2B">
        <w:rPr>
          <w:szCs w:val="22"/>
        </w:rPr>
        <w:t>o</w:t>
      </w:r>
      <w:r w:rsidR="00B2261D" w:rsidRPr="003C3E9F">
        <w:rPr>
          <w:szCs w:val="22"/>
        </w:rPr>
        <w:t xml:space="preserve">m landskapsrevisionen trädde ikraft. </w:t>
      </w:r>
      <w:r w:rsidR="00F57B49" w:rsidRPr="003C3E9F">
        <w:t>Effektivitetsrevisionen ska inriktas på förhå</w:t>
      </w:r>
      <w:r w:rsidR="00F57B49" w:rsidRPr="00065859">
        <w:t xml:space="preserve">llanden med anknytning till landskapets budget, genomförandet och resultatet av landskapets verksamhet och åtaganden i övrigt men får också avse landskapets övriga förvaltningsåtgärder. </w:t>
      </w:r>
      <w:r w:rsidR="003C3E9F" w:rsidRPr="00065859">
        <w:t xml:space="preserve">Enligt </w:t>
      </w:r>
      <w:r w:rsidR="003C3E9F" w:rsidRPr="002F6526">
        <w:t>den</w:t>
      </w:r>
      <w:r w:rsidR="003C3E9F" w:rsidRPr="00065859">
        <w:t xml:space="preserve"> framställning</w:t>
      </w:r>
      <w:r w:rsidR="002F6526">
        <w:rPr>
          <w:rStyle w:val="Fotnotsreferens"/>
        </w:rPr>
        <w:footnoteReference w:id="1"/>
      </w:r>
      <w:r w:rsidR="003C3E9F" w:rsidRPr="00065859">
        <w:t xml:space="preserve"> som låg till grund för</w:t>
      </w:r>
      <w:r w:rsidR="000E36E1">
        <w:t xml:space="preserve"> den nya lagstiftningen </w:t>
      </w:r>
      <w:r w:rsidR="003C3E9F" w:rsidRPr="00065859">
        <w:lastRenderedPageBreak/>
        <w:t xml:space="preserve">var avsikten att renodla de olika granskningsformerna </w:t>
      </w:r>
      <w:r w:rsidR="003C3E9F" w:rsidRPr="00065859">
        <w:rPr>
          <w:shd w:val="clear" w:color="auto" w:fill="FFFFFF"/>
        </w:rPr>
        <w:t xml:space="preserve">samt att </w:t>
      </w:r>
      <w:r w:rsidR="000E36E1">
        <w:rPr>
          <w:shd w:val="clear" w:color="auto" w:fill="FFFFFF"/>
        </w:rPr>
        <w:t xml:space="preserve">höja </w:t>
      </w:r>
      <w:r w:rsidR="003C3E9F" w:rsidRPr="00065859">
        <w:rPr>
          <w:shd w:val="clear" w:color="auto" w:fill="FFFFFF"/>
        </w:rPr>
        <w:t xml:space="preserve">ambitionsnivån vad gäller effektivitetsrevisionen. Med effektivitetsrevision </w:t>
      </w:r>
      <w:r w:rsidR="00065859" w:rsidRPr="00065859">
        <w:rPr>
          <w:shd w:val="clear" w:color="auto" w:fill="FFFFFF"/>
        </w:rPr>
        <w:t xml:space="preserve">avsågs </w:t>
      </w:r>
      <w:r w:rsidR="003C3E9F" w:rsidRPr="00065859">
        <w:rPr>
          <w:shd w:val="clear" w:color="auto" w:fill="FFFFFF"/>
        </w:rPr>
        <w:t xml:space="preserve">en i efterhand gjord utvärdering av verksamheten i syfte att granska om och i vilken utsträckning de politiska besluten omsätts i praktiken och om denna verksamhet i så fall bedrivs effektivt. </w:t>
      </w:r>
      <w:r w:rsidR="00F155C9" w:rsidRPr="00F155C9">
        <w:rPr>
          <w:shd w:val="clear" w:color="auto" w:fill="FFFFFF"/>
        </w:rPr>
        <w:t>Utgångspunkten var att ä</w:t>
      </w:r>
      <w:r w:rsidR="003C3E9F" w:rsidRPr="00F155C9">
        <w:rPr>
          <w:shd w:val="clear" w:color="auto" w:fill="FFFFFF"/>
        </w:rPr>
        <w:t xml:space="preserve">mnesvalet för granskningen kan varieras på ett otal sätt. Granskningen kan inriktas på en myndighet eller en organisation, men också en verksamhet, en styrform eller en metod. Oavsett vad granskningen primärt tar sikte på är dess syfte att besvara om eller i vilken utsträckning myndigheten eller organisationen, verksamheten, styrformen eller metoden, är effektiv eller i övrigt ändamålsenlig. </w:t>
      </w:r>
      <w:r w:rsidR="002F6526">
        <w:rPr>
          <w:shd w:val="clear" w:color="auto" w:fill="FFFFFF"/>
        </w:rPr>
        <w:t xml:space="preserve">Enligt framställningen ska </w:t>
      </w:r>
      <w:r w:rsidR="002F6526" w:rsidRPr="002F6526">
        <w:rPr>
          <w:shd w:val="clear" w:color="auto" w:fill="FFFFFF"/>
        </w:rPr>
        <w:t>g</w:t>
      </w:r>
      <w:r w:rsidR="003C3E9F" w:rsidRPr="002F6526">
        <w:rPr>
          <w:shd w:val="clear" w:color="auto" w:fill="FFFFFF"/>
        </w:rPr>
        <w:t>ranskningen syfta till att identifiera strukturella brister i landskapets verksamhet och i åtaganden som är av finansiell betydelse och som har betydelse för ekonomins och förvaltningens funktionssätt.</w:t>
      </w:r>
    </w:p>
    <w:p w14:paraId="01A6CCC9" w14:textId="518EC190" w:rsidR="00284231" w:rsidRDefault="006558A1" w:rsidP="00CB1FD8">
      <w:pPr>
        <w:pStyle w:val="ANormal"/>
        <w:rPr>
          <w:shd w:val="clear" w:color="auto" w:fill="FFFFFF"/>
        </w:rPr>
      </w:pPr>
      <w:r>
        <w:rPr>
          <w:shd w:val="clear" w:color="auto" w:fill="FFFFFF"/>
        </w:rPr>
        <w:tab/>
      </w:r>
      <w:r w:rsidR="00284231">
        <w:rPr>
          <w:shd w:val="clear" w:color="auto" w:fill="FFFFFF"/>
        </w:rPr>
        <w:t xml:space="preserve">I föreliggande effektivitetsrevision har utskottet utöver rena myndighets- och organisationsgranskningar även granskat verksamheten IT. Utskottet finner det positivt att landskapsrevisionen har valt en verksamhet för specialgranskning och konstaterar att det utöver IT även finns andra verksamheter </w:t>
      </w:r>
      <w:r w:rsidR="00C00AB7">
        <w:rPr>
          <w:shd w:val="clear" w:color="auto" w:fill="FFFFFF"/>
        </w:rPr>
        <w:t>som</w:t>
      </w:r>
      <w:r w:rsidR="00284231">
        <w:rPr>
          <w:shd w:val="clear" w:color="auto" w:fill="FFFFFF"/>
        </w:rPr>
        <w:t xml:space="preserve"> kunde bli föremål för liknande granskningar. </w:t>
      </w:r>
    </w:p>
    <w:p w14:paraId="33E90633" w14:textId="77777777" w:rsidR="00414D08" w:rsidRDefault="006558A1" w:rsidP="00A72ED5">
      <w:pPr>
        <w:pStyle w:val="ANormal"/>
      </w:pPr>
      <w:r>
        <w:tab/>
      </w:r>
      <w:r w:rsidR="0087124A" w:rsidRPr="00A72ED5">
        <w:t>Utskottet har särskilt noterat att effektivitetsrevisionen enligt landskapsregeringens framställning även kan rikta in sig på en styrform. Landskapslagen (2012:69) om landskapets finansförvaltning trädde i kraft den 1 januari 2013. Av den framställning</w:t>
      </w:r>
      <w:r w:rsidR="002F6526">
        <w:rPr>
          <w:rStyle w:val="Fotnotsreferens"/>
        </w:rPr>
        <w:footnoteReference w:id="2"/>
      </w:r>
      <w:r w:rsidR="0087124A" w:rsidRPr="00A72ED5">
        <w:t xml:space="preserve"> som låg till grund för lagen framgår</w:t>
      </w:r>
      <w:r w:rsidR="000D7775" w:rsidRPr="00A72ED5">
        <w:t xml:space="preserve"> att </w:t>
      </w:r>
    </w:p>
    <w:p w14:paraId="40DE0CBE" w14:textId="77777777" w:rsidR="00414D08" w:rsidRDefault="00414D08" w:rsidP="00A72ED5">
      <w:pPr>
        <w:pStyle w:val="ANormal"/>
      </w:pPr>
    </w:p>
    <w:p w14:paraId="3F1787A2" w14:textId="77777777" w:rsidR="00414D08" w:rsidRPr="00414D08" w:rsidRDefault="000D7775" w:rsidP="00414D08">
      <w:pPr>
        <w:pStyle w:val="ANormal"/>
        <w:ind w:left="283"/>
        <w:rPr>
          <w:sz w:val="20"/>
        </w:rPr>
      </w:pPr>
      <w:r w:rsidRPr="00414D08">
        <w:rPr>
          <w:sz w:val="20"/>
        </w:rPr>
        <w:t>”Det som talar för en budgetering enligt prestationsprincipen är att det skulle förbättra resultatstyrningen.</w:t>
      </w:r>
      <w:bookmarkStart w:id="7" w:name="_Hlk44998100"/>
      <w:r w:rsidRPr="00414D08">
        <w:rPr>
          <w:sz w:val="20"/>
        </w:rPr>
        <w:t xml:space="preserve"> </w:t>
      </w:r>
      <w:bookmarkEnd w:id="7"/>
      <w:r w:rsidRPr="00414D08">
        <w:rPr>
          <w:sz w:val="20"/>
        </w:rPr>
        <w:t xml:space="preserve">Detta eftersom det är en förutsättning för att kunna jämföra kostnader med uppnådda resultat, det vill säga en utbyggd mål- och resultatstyrning.” </w:t>
      </w:r>
    </w:p>
    <w:p w14:paraId="1C8D8B35" w14:textId="77777777" w:rsidR="00414D08" w:rsidRDefault="00414D08" w:rsidP="00414D08">
      <w:pPr>
        <w:pStyle w:val="ANormal"/>
      </w:pPr>
    </w:p>
    <w:p w14:paraId="22FAE083" w14:textId="77777777" w:rsidR="00414D08" w:rsidRDefault="000D7775" w:rsidP="00414D08">
      <w:pPr>
        <w:pStyle w:val="ANormal"/>
      </w:pPr>
      <w:r w:rsidRPr="00A72ED5">
        <w:t xml:space="preserve">samt att </w:t>
      </w:r>
    </w:p>
    <w:p w14:paraId="2335D47B" w14:textId="77777777" w:rsidR="00414D08" w:rsidRDefault="00414D08" w:rsidP="00414D08">
      <w:pPr>
        <w:pStyle w:val="ANormal"/>
      </w:pPr>
      <w:r>
        <w:tab/>
      </w:r>
    </w:p>
    <w:p w14:paraId="79230B8A" w14:textId="3556B445" w:rsidR="000D7775" w:rsidRPr="00414D08" w:rsidRDefault="000D7775" w:rsidP="00414D08">
      <w:pPr>
        <w:pStyle w:val="ANormal"/>
        <w:ind w:left="283"/>
        <w:rPr>
          <w:sz w:val="20"/>
        </w:rPr>
      </w:pPr>
      <w:r w:rsidRPr="00414D08">
        <w:rPr>
          <w:sz w:val="20"/>
        </w:rPr>
        <w:t>”</w:t>
      </w:r>
      <w:r w:rsidR="00810A03" w:rsidRPr="00414D08">
        <w:rPr>
          <w:sz w:val="20"/>
        </w:rPr>
        <w:t>B</w:t>
      </w:r>
      <w:r w:rsidRPr="00414D08">
        <w:rPr>
          <w:sz w:val="20"/>
        </w:rPr>
        <w:t>udgetering enligt prestationsprincipen är den framtida budgeteringsmodellen för landskapet, varför en öppen formulering föreslås i lagen så att utrymme finns för utveckling i denna riktning. Därmed skapas också möjlighet för utvecklingen att ske stegvis.”</w:t>
      </w:r>
    </w:p>
    <w:p w14:paraId="5A4E9D25" w14:textId="77777777" w:rsidR="00414D08" w:rsidRPr="00A72ED5" w:rsidRDefault="00414D08" w:rsidP="00414D08">
      <w:pPr>
        <w:pStyle w:val="ANormal"/>
        <w:ind w:left="283"/>
      </w:pPr>
    </w:p>
    <w:p w14:paraId="5BACE83D" w14:textId="77777777" w:rsidR="00414D08" w:rsidRDefault="006558A1" w:rsidP="00374C29">
      <w:pPr>
        <w:pStyle w:val="ANormal"/>
      </w:pPr>
      <w:r>
        <w:tab/>
      </w:r>
      <w:r w:rsidR="00A160D9" w:rsidRPr="00374C29">
        <w:t xml:space="preserve">I resultatstyrningen ligger att man avstår från detaljstyrning och att anslagen utgör en ram som myndigheterna ska hålla sig inom. </w:t>
      </w:r>
      <w:r w:rsidR="000D7775" w:rsidRPr="00374C29">
        <w:t xml:space="preserve">Utskottet har med intresse noterat att </w:t>
      </w:r>
      <w:r w:rsidR="00F272F3" w:rsidRPr="00374C29">
        <w:t xml:space="preserve">resultatstyrning utgående från politiska målsättningar inarbetats som en </w:t>
      </w:r>
      <w:r w:rsidR="00A160D9" w:rsidRPr="00374C29">
        <w:t xml:space="preserve">central </w:t>
      </w:r>
      <w:r w:rsidR="00F272F3" w:rsidRPr="00374C29">
        <w:t xml:space="preserve">del av de statliga styrsystemen i Finland </w:t>
      </w:r>
      <w:r w:rsidR="00F272F3" w:rsidRPr="00414D08">
        <w:t>och Sverige.</w:t>
      </w:r>
      <w:r w:rsidR="00F272F3" w:rsidRPr="00374C29">
        <w:t xml:space="preserve"> </w:t>
      </w:r>
    </w:p>
    <w:p w14:paraId="25DBA09A" w14:textId="7493A872" w:rsidR="00A160D9" w:rsidRDefault="00414D08" w:rsidP="00374C29">
      <w:pPr>
        <w:pStyle w:val="ANormal"/>
      </w:pPr>
      <w:r>
        <w:tab/>
      </w:r>
      <w:r w:rsidR="00F272F3" w:rsidRPr="00374C29">
        <w:t>I Finland är de viktigaste instrumenten för resultatstyrning statsbudgeten och resultatavtalet mellan ministeriet och ämbetsverket.</w:t>
      </w:r>
      <w:r w:rsidR="00C01206">
        <w:t xml:space="preserve"> Ä</w:t>
      </w:r>
      <w:r w:rsidR="00C01206" w:rsidRPr="00374C29">
        <w:t>mbetsverken</w:t>
      </w:r>
      <w:r w:rsidR="00C01206">
        <w:t xml:space="preserve"> i Finland upprättar </w:t>
      </w:r>
      <w:r w:rsidR="00374C29" w:rsidRPr="00374C29">
        <w:t xml:space="preserve">egna bokslut med en finansiell redovisning i form av en resultat- och balansräkning, en finansieringsanalys samt en anslagsredovisning. Ämbetsverken rapporterar om måluppfyllelsen i en verksamhetsberättelse som ingår i ämbetsverkets bokslut. </w:t>
      </w:r>
      <w:r w:rsidR="00A160D9" w:rsidRPr="00374C29">
        <w:t>Dessutom rapporterar ministerierna om förvaltningsområdets resultat och effektivitet som en del av regeringens årsberättelse.</w:t>
      </w:r>
      <w:r w:rsidR="00374C29" w:rsidRPr="00374C29">
        <w:t xml:space="preserve"> </w:t>
      </w:r>
      <w:r w:rsidR="00A160D9" w:rsidRPr="00414D08">
        <w:t xml:space="preserve">Statens årsredovisning innehåller </w:t>
      </w:r>
      <w:r w:rsidR="001444B6" w:rsidRPr="00414D08">
        <w:t xml:space="preserve">en </w:t>
      </w:r>
      <w:r w:rsidR="00A160D9" w:rsidRPr="00414D08">
        <w:t>konsoliderad balansräkning och resultaträkning, en finansieringsanalys samt det slutliga utfallet på statsbudgeten.</w:t>
      </w:r>
      <w:r w:rsidR="001444B6">
        <w:t xml:space="preserve"> Regeringens årsberättelse i sin tur följer regeringsprogrammet och rapporterar om hur det handlingsprogram som regeringsprogrammet utgör har uppfyllts.</w:t>
      </w:r>
    </w:p>
    <w:p w14:paraId="1B9F3DCB" w14:textId="7D92B280" w:rsidR="0054068C" w:rsidRPr="006558A1" w:rsidRDefault="006558A1" w:rsidP="00803E7A">
      <w:pPr>
        <w:pStyle w:val="ANormal"/>
        <w:rPr>
          <w:shd w:val="clear" w:color="auto" w:fill="FFFFFF"/>
        </w:rPr>
      </w:pPr>
      <w:r>
        <w:rPr>
          <w:shd w:val="clear" w:color="auto" w:fill="FFFFFF"/>
        </w:rPr>
        <w:tab/>
      </w:r>
      <w:r w:rsidR="00374C29">
        <w:rPr>
          <w:shd w:val="clear" w:color="auto" w:fill="FFFFFF"/>
        </w:rPr>
        <w:t xml:space="preserve">Med detta vill utskottet belysa att det finns olika sätt att lägga upp landskapets redovisning och att det sätt man väljer att göra det på automatiskt utgör en central del av styrsystemet </w:t>
      </w:r>
      <w:r w:rsidR="00803E7A">
        <w:rPr>
          <w:shd w:val="clear" w:color="auto" w:fill="FFFFFF"/>
        </w:rPr>
        <w:t xml:space="preserve">och därmed </w:t>
      </w:r>
      <w:r w:rsidR="0050694B">
        <w:rPr>
          <w:shd w:val="clear" w:color="auto" w:fill="FFFFFF"/>
        </w:rPr>
        <w:t xml:space="preserve">påverkar </w:t>
      </w:r>
      <w:r w:rsidR="00803E7A">
        <w:rPr>
          <w:shd w:val="clear" w:color="auto" w:fill="FFFFFF"/>
        </w:rPr>
        <w:t xml:space="preserve">förutsättningarna </w:t>
      </w:r>
      <w:r w:rsidR="00803E7A">
        <w:rPr>
          <w:shd w:val="clear" w:color="auto" w:fill="FFFFFF"/>
        </w:rPr>
        <w:lastRenderedPageBreak/>
        <w:t xml:space="preserve">att nå politiska målsättningar. Styrningens psykologiska dimensioner är omfattande och den styrmodell som tillämpas behöver därför vara ägnad att stimulera </w:t>
      </w:r>
      <w:r w:rsidR="00803E7A" w:rsidRPr="00E1579C">
        <w:t>ett kostnadseffektivt och resultatorienterat resursutnyttjande.</w:t>
      </w:r>
      <w:r>
        <w:t xml:space="preserve"> Enligt utskottets förmenande gynnar resultatstyrning med t</w:t>
      </w:r>
      <w:r w:rsidRPr="00E1579C">
        <w:t>ydlig rambudgetering</w:t>
      </w:r>
      <w:r>
        <w:t xml:space="preserve"> och </w:t>
      </w:r>
      <w:r w:rsidRPr="00E1579C">
        <w:t xml:space="preserve">delegerat ansvar utgående från övergripande mål i kombination med regelbunden uppföljning </w:t>
      </w:r>
      <w:r w:rsidR="00414D08" w:rsidRPr="00414D08">
        <w:t>e</w:t>
      </w:r>
      <w:r w:rsidRPr="00414D08">
        <w:t>n ansvarsfull och effektiv användning av offentliga medel.</w:t>
      </w:r>
      <w:r>
        <w:t xml:space="preserve"> </w:t>
      </w:r>
      <w:r>
        <w:rPr>
          <w:shd w:val="clear" w:color="auto" w:fill="FFFFFF"/>
        </w:rPr>
        <w:t>U</w:t>
      </w:r>
      <w:r w:rsidR="008177D2">
        <w:t>tskottet</w:t>
      </w:r>
      <w:r>
        <w:t xml:space="preserve"> anser </w:t>
      </w:r>
      <w:r w:rsidR="0050694B">
        <w:t>det</w:t>
      </w:r>
      <w:r>
        <w:t xml:space="preserve"> angeläget att </w:t>
      </w:r>
      <w:r w:rsidR="008177D2">
        <w:t xml:space="preserve">ur effektivitetssynvinkel följa upp vilka steg landskapsregeringen sedan den nya finansförvaltningslagens ikraftträdande har tagit mot en högre grad av resultatstyrning. </w:t>
      </w:r>
    </w:p>
    <w:p w14:paraId="0304D8CD" w14:textId="6BFDF1BC" w:rsidR="008177D2" w:rsidRDefault="008177D2" w:rsidP="00803E7A">
      <w:pPr>
        <w:pStyle w:val="ANormal"/>
      </w:pPr>
    </w:p>
    <w:p w14:paraId="2E1FBF0A" w14:textId="6402F0D2" w:rsidR="00514E12" w:rsidRDefault="00514E12" w:rsidP="00514E12">
      <w:pPr>
        <w:pStyle w:val="RubrikB"/>
      </w:pPr>
      <w:bookmarkStart w:id="8" w:name="_Toc49938326"/>
      <w:r w:rsidRPr="000023AD">
        <w:t>Granskning av Ålands hälso- och sjukvård</w:t>
      </w:r>
      <w:bookmarkEnd w:id="8"/>
    </w:p>
    <w:p w14:paraId="5FDD9229" w14:textId="77777777" w:rsidR="00921AC4" w:rsidRPr="00921AC4" w:rsidRDefault="00921AC4" w:rsidP="00921AC4">
      <w:pPr>
        <w:pStyle w:val="Rubrikmellanrum"/>
      </w:pPr>
    </w:p>
    <w:p w14:paraId="3D25ED37" w14:textId="36000515" w:rsidR="00327712" w:rsidRDefault="00CE2D9E" w:rsidP="00495CCD">
      <w:pPr>
        <w:pStyle w:val="ANormal"/>
      </w:pPr>
      <w:r w:rsidRPr="008C3C22">
        <w:t xml:space="preserve">Granskningen av </w:t>
      </w:r>
      <w:r w:rsidR="00837C0B" w:rsidRPr="0050694B">
        <w:t>ÅHS</w:t>
      </w:r>
      <w:r w:rsidR="00963735" w:rsidRPr="008C3C22">
        <w:t xml:space="preserve"> </w:t>
      </w:r>
      <w:r w:rsidRPr="008C3C22">
        <w:t xml:space="preserve">verksamhet har skötts av revisionsbyrån </w:t>
      </w:r>
      <w:r w:rsidR="00495CCD" w:rsidRPr="008C3C22">
        <w:t xml:space="preserve">BDO </w:t>
      </w:r>
      <w:proofErr w:type="spellStart"/>
      <w:r w:rsidR="00495CCD" w:rsidRPr="008C3C22">
        <w:t>Audiator</w:t>
      </w:r>
      <w:proofErr w:type="spellEnd"/>
      <w:r w:rsidRPr="008C3C22">
        <w:t xml:space="preserve"> </w:t>
      </w:r>
      <w:r w:rsidR="00495CCD" w:rsidRPr="008C3C22">
        <w:t xml:space="preserve">Ab </w:t>
      </w:r>
      <w:r w:rsidR="00327712" w:rsidRPr="008C3C22">
        <w:t>på uppdrag av landskapsrevisionen. Årets granskning omfattar en studie av övertidsutbetalningar, sekreterarenheten, tekniska enheten och bokslutsprocessen.</w:t>
      </w:r>
    </w:p>
    <w:p w14:paraId="0097AE10" w14:textId="2C5AFDF0" w:rsidR="00C85373" w:rsidRDefault="00C85373" w:rsidP="00495CCD">
      <w:pPr>
        <w:pStyle w:val="ANormal"/>
      </w:pPr>
      <w:r>
        <w:tab/>
        <w:t>I granskningen av övertidsutbetalningar framgår att det finn</w:t>
      </w:r>
      <w:r w:rsidR="00FA7722">
        <w:t>s</w:t>
      </w:r>
      <w:r>
        <w:t xml:space="preserve"> en problematik med stora övertidsposter. Revisorerna lyfter fram samarbete mellan enheterna </w:t>
      </w:r>
      <w:r w:rsidR="00F870AC">
        <w:t xml:space="preserve">och eventuellt en vikariepool som </w:t>
      </w:r>
      <w:r w:rsidR="00B060BE">
        <w:t xml:space="preserve">möjliga åtgärder för att minska övertidsposterna. Förmännen bör medvetandegöras </w:t>
      </w:r>
      <w:r w:rsidR="00385027">
        <w:t xml:space="preserve">om de kostnader som kompledigheterna medför. Mer ändamålsenliga och därmed mer tidseffektiva processer på avdelningarna lyfts också som ett sätt att minska övertid. </w:t>
      </w:r>
    </w:p>
    <w:p w14:paraId="39CC9B15" w14:textId="2D7CE1F4" w:rsidR="00FA7722" w:rsidRDefault="00FA7722" w:rsidP="00495CCD">
      <w:pPr>
        <w:pStyle w:val="ANormal"/>
      </w:pPr>
      <w:r>
        <w:tab/>
        <w:t xml:space="preserve">I granskningen av tekniska enheten </w:t>
      </w:r>
      <w:r w:rsidR="00F711A2">
        <w:t xml:space="preserve">redogörs för internhyressättningen. Av granskningen framgår att den budgeterade hyran för 2020 innebär en ganska betydande höjning jämfört med tidigare år. Revisorerna poängterar vikten </w:t>
      </w:r>
      <w:r w:rsidR="0050694B">
        <w:t xml:space="preserve">av </w:t>
      </w:r>
      <w:r w:rsidR="00F711A2">
        <w:t xml:space="preserve">att ha en transparent prissättning och rekommenderar att det skapas incitament för </w:t>
      </w:r>
      <w:r w:rsidR="000F5651">
        <w:t xml:space="preserve">ÅHS </w:t>
      </w:r>
      <w:r w:rsidR="00F711A2">
        <w:t xml:space="preserve">att sänka sina fastighetsrelaterade driftskostnader för att få en lägre intern hyreskostnad. </w:t>
      </w:r>
    </w:p>
    <w:p w14:paraId="61305220" w14:textId="2AF50E4E" w:rsidR="009B4828" w:rsidRDefault="00F711A2" w:rsidP="00495CCD">
      <w:pPr>
        <w:pStyle w:val="ANormal"/>
      </w:pPr>
      <w:r>
        <w:tab/>
        <w:t>På basen av de höranden som gjorts konstaterar utskottet att genomförda granskningar mottagits på ett positivt sätt och att berörda parter arbetar på ett konstruktivt sätt för att</w:t>
      </w:r>
      <w:r w:rsidR="009B4828">
        <w:t xml:space="preserve"> utveckla verksamheten utgående från gjorda iakttagelser.</w:t>
      </w:r>
    </w:p>
    <w:p w14:paraId="5F431748" w14:textId="6ADCBBC3" w:rsidR="00FA7722" w:rsidRDefault="00FA7722" w:rsidP="00495CCD">
      <w:pPr>
        <w:pStyle w:val="ANormal"/>
      </w:pPr>
    </w:p>
    <w:p w14:paraId="5328BEE9" w14:textId="09E457A0" w:rsidR="000023AD" w:rsidRPr="00254036" w:rsidRDefault="00CA3956" w:rsidP="00CA3956">
      <w:pPr>
        <w:pStyle w:val="RubrikB"/>
      </w:pPr>
      <w:bookmarkStart w:id="9" w:name="_Toc49938327"/>
      <w:r w:rsidRPr="00254036">
        <w:t xml:space="preserve">Granskning av </w:t>
      </w:r>
      <w:r w:rsidR="000023AD" w:rsidRPr="00254036">
        <w:t>IT-drift och -utveckling inom landskapets förvaltning</w:t>
      </w:r>
      <w:bookmarkEnd w:id="9"/>
    </w:p>
    <w:p w14:paraId="18024994" w14:textId="77777777" w:rsidR="00933721" w:rsidRPr="00933721" w:rsidRDefault="00933721" w:rsidP="00933721">
      <w:pPr>
        <w:pStyle w:val="Rubrikmellanrum"/>
      </w:pPr>
    </w:p>
    <w:p w14:paraId="32310E76" w14:textId="07AADC48" w:rsidR="00675131" w:rsidRDefault="00FA7810" w:rsidP="00E5739C">
      <w:pPr>
        <w:pStyle w:val="ANormal"/>
      </w:pPr>
      <w:r w:rsidRPr="005B615C">
        <w:t xml:space="preserve">Revisorerna </w:t>
      </w:r>
      <w:r w:rsidR="005B615C" w:rsidRPr="005B615C">
        <w:t xml:space="preserve">har </w:t>
      </w:r>
      <w:r w:rsidR="006753F2">
        <w:t>genomfört en granskning med s</w:t>
      </w:r>
      <w:r w:rsidR="005B615C" w:rsidRPr="005B615C">
        <w:t xml:space="preserve">yfte att utreda </w:t>
      </w:r>
      <w:r w:rsidR="006753F2">
        <w:t xml:space="preserve">huruvida landskapets IT-drift fungerar effektivt samt hur några enskilda IT-projekt styrts och genomförts. </w:t>
      </w:r>
      <w:r w:rsidR="00675131">
        <w:t xml:space="preserve">Granskningen har inriktats på allmänna förvaltningen samt </w:t>
      </w:r>
      <w:r w:rsidR="00784492">
        <w:t xml:space="preserve">på </w:t>
      </w:r>
      <w:r w:rsidR="00675131">
        <w:t xml:space="preserve">alarmcentralens nya in- och </w:t>
      </w:r>
      <w:proofErr w:type="spellStart"/>
      <w:r w:rsidR="00675131">
        <w:t>utalarmeringssystem</w:t>
      </w:r>
      <w:proofErr w:type="spellEnd"/>
      <w:r w:rsidR="00675131">
        <w:t xml:space="preserve"> som inkluderats på grund av projektets storlek. </w:t>
      </w:r>
    </w:p>
    <w:p w14:paraId="737FEC1E" w14:textId="57215B22" w:rsidR="007A30C3" w:rsidRDefault="00471F6A" w:rsidP="00453A57">
      <w:pPr>
        <w:pStyle w:val="ANormal"/>
      </w:pPr>
      <w:r>
        <w:tab/>
      </w:r>
      <w:r w:rsidR="00254036">
        <w:t xml:space="preserve">Vad gäller granskningen av IT-drift är landskapsrevisionens granskning i det närmaste en granskning av kostnadsutvecklingen för IT-drift. </w:t>
      </w:r>
      <w:r w:rsidR="00453A57">
        <w:t>IT-driften i form av effektivitet och säkerhet i själva IT-miljön är inte granskad. Utgående från landskapsrevisionens uppdrag är det tänkbart att även en sådan granskning skulle genomföras. En sådan granskning skulle förutsätta specialkompetens och därmed även tillräckliga resurser för landskapsrevisionen att anlita sådan kompetens.</w:t>
      </w:r>
      <w:r w:rsidR="00C05980">
        <w:t xml:space="preserve"> </w:t>
      </w:r>
    </w:p>
    <w:p w14:paraId="1EFC67FA" w14:textId="0101BA4E" w:rsidR="007A30C3" w:rsidRDefault="007A30C3" w:rsidP="00453A57">
      <w:pPr>
        <w:pStyle w:val="ANormal"/>
      </w:pPr>
      <w:r>
        <w:tab/>
      </w:r>
      <w:r w:rsidR="00453A57">
        <w:t>Tanken på en granskning av IT-miljön väcker frågan om vem som ansvarar för att IT-miljön håller en adekvat prestanda</w:t>
      </w:r>
      <w:r w:rsidR="00471F6A">
        <w:t xml:space="preserve">. </w:t>
      </w:r>
      <w:r w:rsidR="000F5651">
        <w:t>Ä</w:t>
      </w:r>
      <w:r>
        <w:t xml:space="preserve">ven om tjänsterna köps </w:t>
      </w:r>
      <w:r w:rsidR="000F5651">
        <w:t xml:space="preserve">är ansvaret </w:t>
      </w:r>
      <w:r w:rsidR="00471F6A">
        <w:t xml:space="preserve">i sista hand landskapets vilket innebär att landskapet behöver ha tillräcklig beställarkompetens för att kunna fatta strategiska IT-beslut, ge rätt uppdrag och köpa rätt lösningar av </w:t>
      </w:r>
      <w:r w:rsidR="00C05980">
        <w:t>sin leverantör</w:t>
      </w:r>
      <w:r w:rsidR="00471F6A">
        <w:t>.</w:t>
      </w:r>
      <w:r w:rsidR="000F5651">
        <w:t xml:space="preserve"> </w:t>
      </w:r>
      <w:r w:rsidR="00C05980">
        <w:t xml:space="preserve">Inom den allmänna förvaltningen finns sammanlagt två renodlade IT-tjänster. Omfattande specialkompetens finns därutöver hos andra tjänsteinnehavare i olika förvaltningar. Vad gäller </w:t>
      </w:r>
      <w:r>
        <w:t xml:space="preserve">landskapsregeringens </w:t>
      </w:r>
      <w:r w:rsidR="00C05980">
        <w:t>behov av personella resurser för att åtgärda den så kallade IT-skulden och komma vidare med digitaliseringen är det</w:t>
      </w:r>
      <w:r>
        <w:t xml:space="preserve"> </w:t>
      </w:r>
      <w:r>
        <w:lastRenderedPageBreak/>
        <w:t>angeläget att det tillgodoses genom omprioriteringar och ändrad inriktning på personal framom utökad personal. Rollfördelningen mellan landskapsregeringen som kund och leverantören Åda Ab behöver vara tydlig för att säkerställa att man inte i onödan dubblerar kompetenser.</w:t>
      </w:r>
    </w:p>
    <w:p w14:paraId="2E4EBA27" w14:textId="77777777" w:rsidR="00C05980" w:rsidRDefault="00C05980" w:rsidP="00453A57">
      <w:pPr>
        <w:pStyle w:val="ANormal"/>
      </w:pPr>
    </w:p>
    <w:p w14:paraId="5D2FC3A6" w14:textId="293D58F1" w:rsidR="000023AD" w:rsidRDefault="000023AD" w:rsidP="000023AD">
      <w:pPr>
        <w:pStyle w:val="RubrikB"/>
      </w:pPr>
      <w:bookmarkStart w:id="10" w:name="_Toc49938328"/>
      <w:r w:rsidRPr="000023AD">
        <w:t xml:space="preserve">Granskning av </w:t>
      </w:r>
      <w:r w:rsidR="00737188">
        <w:t>D</w:t>
      </w:r>
      <w:r w:rsidRPr="000023AD">
        <w:t xml:space="preserve">atainspektionen, </w:t>
      </w:r>
      <w:r w:rsidR="00737188">
        <w:t>L</w:t>
      </w:r>
      <w:r w:rsidRPr="000023AD">
        <w:t xml:space="preserve">otteriinspektionen och </w:t>
      </w:r>
      <w:r w:rsidR="00737188">
        <w:t>U</w:t>
      </w:r>
      <w:r w:rsidRPr="000023AD">
        <w:t>pphandlingsinspektionen</w:t>
      </w:r>
      <w:bookmarkEnd w:id="10"/>
    </w:p>
    <w:p w14:paraId="6321729F" w14:textId="77777777" w:rsidR="0040211C" w:rsidRPr="0040211C" w:rsidRDefault="0040211C" w:rsidP="0040211C">
      <w:pPr>
        <w:pStyle w:val="Rubrikmellanrum"/>
      </w:pPr>
    </w:p>
    <w:p w14:paraId="13FDC749" w14:textId="414D4411" w:rsidR="00A83873" w:rsidRDefault="00A83873" w:rsidP="00C17427">
      <w:pPr>
        <w:pStyle w:val="ANormal"/>
      </w:pPr>
      <w:r w:rsidRPr="0040211C">
        <w:t xml:space="preserve">Landskapsrevisionen har genomfört en granskning av myndigheterna Datainspektionen, Lotteriinspektionen och Upphandlingsinspektionen. På basen av vad som framkommer av revisorernas rapport konstaterar utskottet att organisationsmodellen för myndigheterna inte är ändamålsenlig som den ser ut idag. Det finns ett uppenbart behov av att klargöra innebörden av att vara oberoende i sin verksamhet men administrativt underställd landskapsregeringen samt </w:t>
      </w:r>
      <w:r w:rsidR="0040211C" w:rsidRPr="0040211C">
        <w:t xml:space="preserve">att närma sig en organisationsmodell där de enskilda myndighetscheferna </w:t>
      </w:r>
      <w:r w:rsidRPr="0040211C">
        <w:t xml:space="preserve">inte fysiskt </w:t>
      </w:r>
      <w:r w:rsidR="0040211C" w:rsidRPr="0040211C">
        <w:t>och socialt bildar solitära satelliter i förhållande till varandra eller till övrig förvaltning.</w:t>
      </w:r>
    </w:p>
    <w:p w14:paraId="5A7B868C" w14:textId="77777777" w:rsidR="000E36E1" w:rsidRPr="0040211C" w:rsidRDefault="000E36E1" w:rsidP="00C17427">
      <w:pPr>
        <w:pStyle w:val="ANormal"/>
      </w:pPr>
    </w:p>
    <w:p w14:paraId="160C531B" w14:textId="4623AD6A" w:rsidR="00784492" w:rsidRDefault="00784492" w:rsidP="000E36E1">
      <w:pPr>
        <w:pStyle w:val="RubrikB"/>
      </w:pPr>
      <w:bookmarkStart w:id="11" w:name="_Toc49938329"/>
      <w:bookmarkStart w:id="12" w:name="_Toc529800936"/>
      <w:r>
        <w:t>Incitamentsstruktur</w:t>
      </w:r>
      <w:bookmarkEnd w:id="11"/>
      <w:r>
        <w:t xml:space="preserve"> </w:t>
      </w:r>
    </w:p>
    <w:p w14:paraId="68AB5EA2" w14:textId="74C58843" w:rsidR="00784492" w:rsidRDefault="00784492" w:rsidP="00784492">
      <w:pPr>
        <w:pStyle w:val="Rubrikmellanrum"/>
      </w:pPr>
    </w:p>
    <w:p w14:paraId="6C322A2E" w14:textId="03ACAABA" w:rsidR="00784492" w:rsidRDefault="00F54C39" w:rsidP="00784492">
      <w:pPr>
        <w:pStyle w:val="ANormal"/>
      </w:pPr>
      <w:r>
        <w:t>I samband med utskottets behandling av berättelsen och svaret har landskapsmyndigheternas samspel med såväl fastighetsverket som ÅDA Ab diskuterats. Gemensamt för b</w:t>
      </w:r>
      <w:r w:rsidR="000F5651">
        <w:t>ägge</w:t>
      </w:r>
      <w:r>
        <w:t xml:space="preserve"> är att de befinner sig i en monopo</w:t>
      </w:r>
      <w:r w:rsidR="000E36E1">
        <w:t>l</w:t>
      </w:r>
      <w:r>
        <w:t xml:space="preserve">liknande ställning i förhållande till sina kunder. Normala affärsekonomiska mekanismer kan därmed inte förväntas fungera. Utskottet konstaterar att detta föranleder ett behov av andra mekanismer som säkerställer att organisationerna har incitament att verka för effektivitet och kostnadsmedvetenhet. Detta i sin tur motiverar </w:t>
      </w:r>
      <w:r w:rsidR="000F5651">
        <w:t xml:space="preserve">ovannämnda </w:t>
      </w:r>
      <w:r>
        <w:t xml:space="preserve">diskussion </w:t>
      </w:r>
      <w:r w:rsidR="0083164D">
        <w:t>om</w:t>
      </w:r>
      <w:r>
        <w:t xml:space="preserve"> hur utvecklingen mot ökad resultatstyrning</w:t>
      </w:r>
      <w:r w:rsidR="00EA2893">
        <w:t xml:space="preserve"> fortlöper</w:t>
      </w:r>
      <w:r w:rsidR="0083164D">
        <w:t>.</w:t>
      </w:r>
    </w:p>
    <w:p w14:paraId="36538004" w14:textId="77777777" w:rsidR="00784492" w:rsidRPr="00784492" w:rsidRDefault="00784492" w:rsidP="00784492">
      <w:pPr>
        <w:pStyle w:val="ANormal"/>
      </w:pPr>
    </w:p>
    <w:p w14:paraId="15AEEA4D" w14:textId="71DD02E8" w:rsidR="002401D0" w:rsidRDefault="002401D0">
      <w:pPr>
        <w:pStyle w:val="RubrikA"/>
      </w:pPr>
      <w:bookmarkStart w:id="13" w:name="_Toc49938330"/>
      <w:r>
        <w:t>Ärendets behandling</w:t>
      </w:r>
      <w:bookmarkEnd w:id="12"/>
      <w:bookmarkEnd w:id="13"/>
    </w:p>
    <w:p w14:paraId="725F59BF" w14:textId="77777777" w:rsidR="002401D0" w:rsidRDefault="002401D0">
      <w:pPr>
        <w:pStyle w:val="Rubrikmellanrum"/>
      </w:pPr>
    </w:p>
    <w:p w14:paraId="4F02E30E" w14:textId="316E41A1" w:rsidR="007C1E2C" w:rsidRDefault="000A4F66" w:rsidP="00203ACF">
      <w:pPr>
        <w:pStyle w:val="ANormal"/>
      </w:pPr>
      <w:r>
        <w:t xml:space="preserve">Lagtinget har den </w:t>
      </w:r>
      <w:r w:rsidR="00110EED">
        <w:t>3 juni</w:t>
      </w:r>
      <w:r>
        <w:t xml:space="preserve"> 20</w:t>
      </w:r>
      <w:r w:rsidR="00110EED">
        <w:t>20</w:t>
      </w:r>
      <w:r w:rsidR="00203ACF" w:rsidRPr="00203ACF">
        <w:t xml:space="preserve"> inbegärt finans- och näringsutskottets yttrande över landskapsrevisionens berättelse</w:t>
      </w:r>
      <w:r w:rsidR="004A265D">
        <w:t xml:space="preserve"> över effektivitetsrevisionen</w:t>
      </w:r>
      <w:r w:rsidR="00203ACF" w:rsidRPr="00203ACF">
        <w:t xml:space="preserve"> </w:t>
      </w:r>
      <w:r w:rsidR="004A265D">
        <w:t>för år 201</w:t>
      </w:r>
      <w:r w:rsidR="00110EED">
        <w:t>9</w:t>
      </w:r>
      <w:r w:rsidR="004A265D">
        <w:t xml:space="preserve"> </w:t>
      </w:r>
      <w:r w:rsidR="00203ACF" w:rsidRPr="00203ACF">
        <w:t>och landskapsregeringens svar gällande eff</w:t>
      </w:r>
      <w:r w:rsidR="009A1A85">
        <w:t>ektivitetsrevisionen.</w:t>
      </w:r>
      <w:r w:rsidR="00203ACF" w:rsidRPr="00203ACF">
        <w:t xml:space="preserve"> </w:t>
      </w:r>
    </w:p>
    <w:p w14:paraId="6AA25314" w14:textId="2B7748B1" w:rsidR="00110EED" w:rsidRDefault="007C1E2C" w:rsidP="003B5F99">
      <w:pPr>
        <w:pStyle w:val="ANormal"/>
      </w:pPr>
      <w:r w:rsidRPr="00877ACE">
        <w:tab/>
      </w:r>
      <w:r w:rsidR="00203ACF" w:rsidRPr="00877ACE">
        <w:t>Utskottet har i ärendet hört</w:t>
      </w:r>
      <w:r w:rsidR="002C29C2" w:rsidRPr="00877ACE">
        <w:t xml:space="preserve"> </w:t>
      </w:r>
      <w:r w:rsidR="0040211C">
        <w:t>näringsministern Fredrik Karlström</w:t>
      </w:r>
      <w:r w:rsidR="00AA1B2B">
        <w:t xml:space="preserve"> från Ålands landskapsregering</w:t>
      </w:r>
      <w:r w:rsidR="0040211C">
        <w:t xml:space="preserve">, </w:t>
      </w:r>
      <w:r w:rsidR="002C29C2" w:rsidRPr="00877ACE">
        <w:t>landskapsrevisorn Dan Bergman,</w:t>
      </w:r>
      <w:r w:rsidR="00BA0C2D" w:rsidRPr="00877ACE">
        <w:t xml:space="preserve"> </w:t>
      </w:r>
      <w:r w:rsidR="00110EED">
        <w:t>revisorn Marika Björkman</w:t>
      </w:r>
      <w:r w:rsidR="00AA1B2B">
        <w:t xml:space="preserve"> från Landskapsrevisionen</w:t>
      </w:r>
      <w:r w:rsidR="00110EED">
        <w:t xml:space="preserve">, </w:t>
      </w:r>
      <w:r w:rsidR="00D956D2">
        <w:t xml:space="preserve">hälso- och sjukvårdsdirektören Jeanette Pajunen </w:t>
      </w:r>
      <w:r w:rsidR="003B5F99">
        <w:t xml:space="preserve">och ekonomichefen Ulrika Österlund från Ålands hälso- och sjukvård, verkställande direktören Stefan Rumander från </w:t>
      </w:r>
      <w:r w:rsidR="003B5F99">
        <w:rPr>
          <w:sz w:val="24"/>
          <w:szCs w:val="24"/>
        </w:rPr>
        <w:t>l</w:t>
      </w:r>
      <w:r w:rsidR="00110EED">
        <w:t>andskapets fastighetsverk</w:t>
      </w:r>
      <w:r w:rsidR="003B5F99">
        <w:t xml:space="preserve"> samt </w:t>
      </w:r>
      <w:proofErr w:type="gramStart"/>
      <w:r w:rsidR="0040211C">
        <w:t>f.d.</w:t>
      </w:r>
      <w:proofErr w:type="gramEnd"/>
      <w:r w:rsidR="0040211C">
        <w:t xml:space="preserve"> styrelseordföranden Anders Wiklund </w:t>
      </w:r>
      <w:r w:rsidR="00AA1B2B">
        <w:t>och</w:t>
      </w:r>
      <w:r w:rsidR="00784492">
        <w:t xml:space="preserve"> </w:t>
      </w:r>
      <w:r w:rsidR="003B5F99">
        <w:t xml:space="preserve">verkställande direktören </w:t>
      </w:r>
      <w:r w:rsidR="00110EED">
        <w:t xml:space="preserve">Katarina </w:t>
      </w:r>
      <w:proofErr w:type="spellStart"/>
      <w:r w:rsidR="00110EED">
        <w:t>Donning</w:t>
      </w:r>
      <w:proofErr w:type="spellEnd"/>
      <w:r w:rsidR="003B5F99">
        <w:t xml:space="preserve"> från ÅDA Ab</w:t>
      </w:r>
    </w:p>
    <w:p w14:paraId="31745434" w14:textId="2DABBB3F" w:rsidR="003B5F99" w:rsidRDefault="00A83873" w:rsidP="00203ACF">
      <w:pPr>
        <w:pStyle w:val="ANormal"/>
      </w:pPr>
      <w:r>
        <w:tab/>
      </w:r>
      <w:r w:rsidR="00203ACF" w:rsidRPr="00737188">
        <w:t xml:space="preserve">I ärendets avgörande behandling deltog </w:t>
      </w:r>
      <w:r w:rsidR="00700244" w:rsidRPr="00737188">
        <w:t>ordförande</w:t>
      </w:r>
      <w:r w:rsidR="007A3822" w:rsidRPr="00737188">
        <w:t>n</w:t>
      </w:r>
      <w:r w:rsidR="00700244" w:rsidRPr="00737188">
        <w:t xml:space="preserve"> </w:t>
      </w:r>
      <w:r w:rsidR="003B5F99" w:rsidRPr="00737188">
        <w:t>Jörgen Pettersson, vice ordföranden John Holmberg</w:t>
      </w:r>
      <w:r w:rsidR="00892A24">
        <w:t xml:space="preserve">, </w:t>
      </w:r>
      <w:r w:rsidR="003B5F99" w:rsidRPr="00737188">
        <w:t>ledamöterna Nina Fellman, Lars Häggblom</w:t>
      </w:r>
      <w:r w:rsidR="00AA1B2B" w:rsidRPr="00737188">
        <w:t xml:space="preserve"> och </w:t>
      </w:r>
      <w:r w:rsidR="003B5F99" w:rsidRPr="00737188">
        <w:t xml:space="preserve">Jörgen Strand </w:t>
      </w:r>
      <w:r w:rsidR="00AA1B2B" w:rsidRPr="00737188">
        <w:t xml:space="preserve">samt ersättaren </w:t>
      </w:r>
      <w:r w:rsidR="00737188" w:rsidRPr="00737188">
        <w:t>Roger Höglund</w:t>
      </w:r>
      <w:r w:rsidR="003B5F99" w:rsidRPr="00737188">
        <w:t>.</w:t>
      </w:r>
    </w:p>
    <w:p w14:paraId="4CCE32D5" w14:textId="77777777" w:rsidR="00283F62" w:rsidRPr="00203ACF" w:rsidRDefault="00283F62" w:rsidP="00203ACF">
      <w:pPr>
        <w:pStyle w:val="ANormal"/>
      </w:pPr>
    </w:p>
    <w:p w14:paraId="1D80F810" w14:textId="77777777" w:rsidR="002401D0" w:rsidRDefault="002401D0">
      <w:pPr>
        <w:pStyle w:val="RubrikA"/>
      </w:pPr>
      <w:bookmarkStart w:id="14" w:name="_Toc529800937"/>
      <w:bookmarkStart w:id="15" w:name="_Toc49938331"/>
      <w:r>
        <w:t>Utskottets förslag</w:t>
      </w:r>
      <w:bookmarkEnd w:id="14"/>
      <w:bookmarkEnd w:id="15"/>
    </w:p>
    <w:p w14:paraId="77B939C1" w14:textId="77777777" w:rsidR="002401D0" w:rsidRDefault="002401D0">
      <w:pPr>
        <w:pStyle w:val="Rubrikmellanrum"/>
      </w:pPr>
    </w:p>
    <w:p w14:paraId="17E986F2" w14:textId="77777777" w:rsidR="002401D0" w:rsidRDefault="002401D0">
      <w:pPr>
        <w:pStyle w:val="ANormal"/>
      </w:pPr>
      <w:r>
        <w:t>Med hänvisning till det anförda föreslår utskottet</w:t>
      </w:r>
    </w:p>
    <w:p w14:paraId="74EA9FB1" w14:textId="77777777" w:rsidR="002401D0" w:rsidRDefault="002401D0">
      <w:pPr>
        <w:pStyle w:val="ANormal"/>
      </w:pPr>
    </w:p>
    <w:p w14:paraId="67FD48D4" w14:textId="7C67312E" w:rsidR="008B60FD" w:rsidRDefault="00691978" w:rsidP="00691978">
      <w:pPr>
        <w:pStyle w:val="Klam"/>
      </w:pPr>
      <w:r w:rsidRPr="00700244">
        <w:rPr>
          <w:szCs w:val="22"/>
        </w:rPr>
        <w:t>att lagtinge</w:t>
      </w:r>
      <w:r w:rsidR="00ED761B" w:rsidRPr="00700244">
        <w:t xml:space="preserve">t antecknar sig </w:t>
      </w:r>
      <w:r w:rsidR="000A4F66" w:rsidRPr="00700244">
        <w:t xml:space="preserve">landskapsrevisionens </w:t>
      </w:r>
      <w:r w:rsidR="004A265D">
        <w:t>berätt</w:t>
      </w:r>
      <w:r w:rsidR="000A4F66" w:rsidRPr="00700244">
        <w:t>else</w:t>
      </w:r>
      <w:r w:rsidR="004A265D">
        <w:t xml:space="preserve"> över effektivitetsrevisionen </w:t>
      </w:r>
      <w:r w:rsidR="004A265D" w:rsidRPr="00700244">
        <w:t>för år 201</w:t>
      </w:r>
      <w:r w:rsidR="00110EED">
        <w:t>9</w:t>
      </w:r>
      <w:r w:rsidR="004A265D" w:rsidRPr="00700244">
        <w:t xml:space="preserve"> </w:t>
      </w:r>
      <w:r w:rsidR="000A4F66" w:rsidRPr="00700244">
        <w:t xml:space="preserve">och landskapsregeringens svar gällande effektivitetsrevisionen för kännedom samt </w:t>
      </w:r>
    </w:p>
    <w:p w14:paraId="7ADFCCD8" w14:textId="77777777" w:rsidR="008B60FD" w:rsidRDefault="008B60FD" w:rsidP="00691978">
      <w:pPr>
        <w:pStyle w:val="Klam"/>
      </w:pPr>
    </w:p>
    <w:p w14:paraId="76C286E2" w14:textId="77777777" w:rsidR="00691978" w:rsidRPr="00700244" w:rsidRDefault="000A4F66" w:rsidP="00691978">
      <w:pPr>
        <w:pStyle w:val="Klam"/>
      </w:pPr>
      <w:r w:rsidRPr="00700244">
        <w:t>att utskottets betänkande bringas till landskapsregeringens kännedom.</w:t>
      </w:r>
    </w:p>
    <w:p w14:paraId="1FBD753A" w14:textId="77777777" w:rsidR="002401D0" w:rsidRPr="00700244" w:rsidRDefault="002401D0">
      <w:pPr>
        <w:pStyle w:val="Klam"/>
      </w:pPr>
    </w:p>
    <w:p w14:paraId="424705EA" w14:textId="77777777" w:rsidR="002401D0" w:rsidRDefault="002B403F">
      <w:pPr>
        <w:pStyle w:val="ANormal"/>
        <w:jc w:val="center"/>
      </w:pPr>
      <w:hyperlink w:anchor="_top" w:tooltip="Klicka för att gå till toppen av dokumentet" w:history="1">
        <w:r w:rsidR="002401D0">
          <w:rPr>
            <w:rStyle w:val="Hyperlnk"/>
          </w:rPr>
          <w:t>__________________</w:t>
        </w:r>
      </w:hyperlink>
    </w:p>
    <w:p w14:paraId="39BAC5AA" w14:textId="77777777" w:rsidR="002401D0" w:rsidRDefault="002401D0">
      <w:pPr>
        <w:pStyle w:val="ANormal"/>
      </w:pPr>
    </w:p>
    <w:p w14:paraId="4D3DD490"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97C7968" w14:textId="77777777">
        <w:trPr>
          <w:cantSplit/>
        </w:trPr>
        <w:tc>
          <w:tcPr>
            <w:tcW w:w="7931" w:type="dxa"/>
            <w:gridSpan w:val="2"/>
          </w:tcPr>
          <w:p w14:paraId="58106EEE" w14:textId="4FD00339" w:rsidR="002401D0" w:rsidRDefault="002401D0" w:rsidP="00157738">
            <w:pPr>
              <w:pStyle w:val="ANormal"/>
              <w:keepNext/>
            </w:pPr>
            <w:r>
              <w:t xml:space="preserve">Mariehamn den </w:t>
            </w:r>
            <w:r w:rsidR="00AA1B2B">
              <w:t>2</w:t>
            </w:r>
            <w:r w:rsidR="00904FCD">
              <w:t xml:space="preserve"> </w:t>
            </w:r>
            <w:r w:rsidR="00493CF2">
              <w:t xml:space="preserve">september </w:t>
            </w:r>
            <w:r w:rsidR="00904FCD">
              <w:t>20</w:t>
            </w:r>
            <w:r w:rsidR="00110EED">
              <w:t>20</w:t>
            </w:r>
          </w:p>
        </w:tc>
      </w:tr>
      <w:tr w:rsidR="002401D0" w14:paraId="1FEEE147" w14:textId="77777777">
        <w:tc>
          <w:tcPr>
            <w:tcW w:w="4454" w:type="dxa"/>
            <w:vAlign w:val="bottom"/>
          </w:tcPr>
          <w:p w14:paraId="074A2F33" w14:textId="77777777" w:rsidR="002401D0" w:rsidRDefault="002401D0">
            <w:pPr>
              <w:pStyle w:val="ANormal"/>
              <w:keepNext/>
            </w:pPr>
          </w:p>
          <w:p w14:paraId="440175A5" w14:textId="77777777" w:rsidR="002825C6" w:rsidRDefault="002825C6">
            <w:pPr>
              <w:pStyle w:val="ANormal"/>
              <w:keepNext/>
            </w:pPr>
          </w:p>
          <w:p w14:paraId="070B04AD" w14:textId="77777777" w:rsidR="002401D0" w:rsidRDefault="002401D0">
            <w:pPr>
              <w:pStyle w:val="ANormal"/>
              <w:keepNext/>
            </w:pPr>
          </w:p>
          <w:p w14:paraId="4CBF0A22" w14:textId="7D59A965" w:rsidR="002401D0" w:rsidRDefault="005A7ECA" w:rsidP="00157738">
            <w:pPr>
              <w:pStyle w:val="ANormal"/>
              <w:keepNext/>
            </w:pPr>
            <w:r>
              <w:t>O</w:t>
            </w:r>
            <w:r w:rsidR="002401D0">
              <w:t>rdförande</w:t>
            </w:r>
          </w:p>
        </w:tc>
        <w:tc>
          <w:tcPr>
            <w:tcW w:w="3477" w:type="dxa"/>
            <w:vAlign w:val="bottom"/>
          </w:tcPr>
          <w:p w14:paraId="57F49769" w14:textId="77777777" w:rsidR="002401D0" w:rsidRDefault="002401D0">
            <w:pPr>
              <w:pStyle w:val="ANormal"/>
              <w:keepNext/>
            </w:pPr>
          </w:p>
          <w:p w14:paraId="5D6187E9" w14:textId="77777777" w:rsidR="002401D0" w:rsidRDefault="002401D0">
            <w:pPr>
              <w:pStyle w:val="ANormal"/>
              <w:keepNext/>
            </w:pPr>
          </w:p>
          <w:p w14:paraId="01A7DDA6" w14:textId="61450946" w:rsidR="002401D0" w:rsidRDefault="005A7ECA" w:rsidP="00157738">
            <w:pPr>
              <w:pStyle w:val="ANormal"/>
              <w:keepNext/>
            </w:pPr>
            <w:r>
              <w:t>J</w:t>
            </w:r>
            <w:r w:rsidR="006558A1">
              <w:t xml:space="preserve">örgen Pettersson </w:t>
            </w:r>
          </w:p>
        </w:tc>
      </w:tr>
      <w:tr w:rsidR="002401D0" w14:paraId="5A017F3C" w14:textId="77777777">
        <w:tc>
          <w:tcPr>
            <w:tcW w:w="4454" w:type="dxa"/>
            <w:vAlign w:val="bottom"/>
          </w:tcPr>
          <w:p w14:paraId="2A452E92" w14:textId="77777777" w:rsidR="002401D0" w:rsidRDefault="002401D0">
            <w:pPr>
              <w:pStyle w:val="ANormal"/>
              <w:keepNext/>
            </w:pPr>
          </w:p>
          <w:p w14:paraId="3B186AD9" w14:textId="77777777" w:rsidR="002401D0" w:rsidRDefault="002401D0">
            <w:pPr>
              <w:pStyle w:val="ANormal"/>
              <w:keepNext/>
            </w:pPr>
          </w:p>
          <w:p w14:paraId="32C7D3D2" w14:textId="77777777" w:rsidR="002401D0" w:rsidRDefault="002401D0">
            <w:pPr>
              <w:pStyle w:val="ANormal"/>
              <w:keepNext/>
            </w:pPr>
            <w:r>
              <w:t>Sekreterare</w:t>
            </w:r>
          </w:p>
        </w:tc>
        <w:tc>
          <w:tcPr>
            <w:tcW w:w="3477" w:type="dxa"/>
            <w:vAlign w:val="bottom"/>
          </w:tcPr>
          <w:p w14:paraId="3715FE4D" w14:textId="77777777" w:rsidR="002401D0" w:rsidRDefault="002401D0">
            <w:pPr>
              <w:pStyle w:val="ANormal"/>
              <w:keepNext/>
            </w:pPr>
          </w:p>
          <w:p w14:paraId="61C98FBC" w14:textId="77777777" w:rsidR="002401D0" w:rsidRDefault="002401D0">
            <w:pPr>
              <w:pStyle w:val="ANormal"/>
              <w:keepNext/>
            </w:pPr>
          </w:p>
          <w:p w14:paraId="0C9C0F3E" w14:textId="7B6B103E" w:rsidR="002401D0" w:rsidRDefault="005A7ECA" w:rsidP="009A1A85">
            <w:pPr>
              <w:pStyle w:val="ANormal"/>
              <w:keepNext/>
            </w:pPr>
            <w:r>
              <w:t xml:space="preserve">Emma Dahlén </w:t>
            </w:r>
          </w:p>
        </w:tc>
      </w:tr>
    </w:tbl>
    <w:p w14:paraId="51D2FD4C" w14:textId="77777777" w:rsidR="009F4733" w:rsidRPr="009F4733" w:rsidRDefault="009F4733" w:rsidP="00784492">
      <w:pPr>
        <w:pStyle w:val="ANormal"/>
      </w:pPr>
    </w:p>
    <w:sectPr w:rsidR="009F4733" w:rsidRPr="009F4733">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9B301" w14:textId="77777777" w:rsidR="00DF45F0" w:rsidRDefault="00DF45F0">
      <w:r>
        <w:separator/>
      </w:r>
    </w:p>
  </w:endnote>
  <w:endnote w:type="continuationSeparator" w:id="0">
    <w:p w14:paraId="17F2CF74" w14:textId="77777777" w:rsidR="00DF45F0" w:rsidRDefault="00DF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E33F" w14:textId="77777777" w:rsidR="00DF45F0" w:rsidRDefault="00DF45F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3BB1" w14:textId="77777777" w:rsidR="00737188" w:rsidRDefault="00737188" w:rsidP="00737188">
    <w:pPr>
      <w:pStyle w:val="Sidfot"/>
      <w:rPr>
        <w:highlight w:val="yellow"/>
      </w:rPr>
    </w:pPr>
  </w:p>
  <w:p w14:paraId="33CC1414" w14:textId="321F68E8" w:rsidR="00737188" w:rsidRDefault="00737188" w:rsidP="00737188">
    <w:pPr>
      <w:pStyle w:val="Sidfot"/>
      <w:rPr>
        <w:lang w:val="fi-FI"/>
      </w:rPr>
    </w:pPr>
    <w:r w:rsidRPr="00B604DD">
      <w:fldChar w:fldCharType="begin"/>
    </w:r>
    <w:r w:rsidRPr="00B604DD">
      <w:rPr>
        <w:lang w:val="fi-FI"/>
      </w:rPr>
      <w:instrText xml:space="preserve"> FILENAME  \* MERGEFORMAT </w:instrText>
    </w:r>
    <w:r w:rsidRPr="00B604DD">
      <w:fldChar w:fldCharType="separate"/>
    </w:r>
    <w:r w:rsidR="002B403F">
      <w:rPr>
        <w:noProof/>
        <w:lang w:val="fi-FI"/>
      </w:rPr>
      <w:t>FNU1920192020.docx</w:t>
    </w:r>
    <w:r w:rsidRPr="00B604DD">
      <w:fldChar w:fldCharType="end"/>
    </w:r>
  </w:p>
  <w:p w14:paraId="47F7DF01" w14:textId="372B244C" w:rsidR="00DF45F0" w:rsidRPr="00CB7D45" w:rsidRDefault="00DF45F0">
    <w:pPr>
      <w:pStyle w:val="Sidfot"/>
      <w:rPr>
        <w:lang w:val="sv-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CCC6" w14:textId="77777777" w:rsidR="00B604DD" w:rsidRDefault="00B604D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203A" w14:textId="77777777" w:rsidR="00DF45F0" w:rsidRDefault="00DF4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AE98" w14:textId="77777777" w:rsidR="00DF45F0" w:rsidRDefault="00DF45F0">
      <w:r>
        <w:separator/>
      </w:r>
    </w:p>
  </w:footnote>
  <w:footnote w:type="continuationSeparator" w:id="0">
    <w:p w14:paraId="1E3D6304" w14:textId="77777777" w:rsidR="00DF45F0" w:rsidRDefault="00DF45F0">
      <w:r>
        <w:continuationSeparator/>
      </w:r>
    </w:p>
  </w:footnote>
  <w:footnote w:id="1">
    <w:p w14:paraId="567A7975" w14:textId="28D514A4" w:rsidR="002F6526" w:rsidRPr="002F6526" w:rsidRDefault="002F6526" w:rsidP="002F6526">
      <w:pPr>
        <w:pStyle w:val="Fotnotstext"/>
        <w:rPr>
          <w:lang w:val="sv-FI"/>
        </w:rPr>
      </w:pPr>
      <w:r>
        <w:rPr>
          <w:rStyle w:val="Fotnotsreferens"/>
        </w:rPr>
        <w:footnoteRef/>
      </w:r>
      <w:r>
        <w:t xml:space="preserve"> LF 23/2011-2012 En oberoende landskapsrevision</w:t>
      </w:r>
    </w:p>
  </w:footnote>
  <w:footnote w:id="2">
    <w:p w14:paraId="0786F576" w14:textId="3220D81C" w:rsidR="002F6526" w:rsidRPr="002F6526" w:rsidRDefault="002F6526">
      <w:pPr>
        <w:pStyle w:val="Fotnotstext"/>
        <w:rPr>
          <w:lang w:val="sv-FI"/>
        </w:rPr>
      </w:pPr>
      <w:r>
        <w:rPr>
          <w:rStyle w:val="Fotnotsreferens"/>
        </w:rPr>
        <w:footnoteRef/>
      </w:r>
      <w:r>
        <w:t xml:space="preserve"> </w:t>
      </w:r>
      <w:r w:rsidRPr="00A72ED5">
        <w:t>F</w:t>
      </w:r>
      <w:r>
        <w:t>R</w:t>
      </w:r>
      <w:r w:rsidRPr="00A72ED5">
        <w:t xml:space="preserve"> 21/2009-2010</w:t>
      </w:r>
      <w:r>
        <w:t xml:space="preserve"> Ny finansförvaltningslag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A0DE" w14:textId="77777777" w:rsidR="00B604DD" w:rsidRDefault="00B604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502E" w14:textId="77777777" w:rsidR="00B604DD" w:rsidRDefault="00B604D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9E6C" w14:textId="77777777" w:rsidR="00B604DD" w:rsidRDefault="00B604D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7025" w14:textId="77777777" w:rsidR="00DF45F0" w:rsidRDefault="00DF45F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57738">
      <w:rPr>
        <w:rStyle w:val="Sidnummer"/>
        <w:noProof/>
      </w:rPr>
      <w:t>2</w:t>
    </w:r>
    <w:r>
      <w:rPr>
        <w:rStyle w:val="Sidnummer"/>
      </w:rPr>
      <w:fldChar w:fldCharType="end"/>
    </w:r>
  </w:p>
  <w:p w14:paraId="7F420ADD" w14:textId="77777777" w:rsidR="00DF45F0" w:rsidRDefault="00DF45F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EBAD" w14:textId="77777777" w:rsidR="00DF45F0" w:rsidRDefault="00DF45F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57738">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A3CE1"/>
    <w:multiLevelType w:val="hybridMultilevel"/>
    <w:tmpl w:val="79B20D80"/>
    <w:lvl w:ilvl="0" w:tplc="91EEBC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5444C11"/>
    <w:multiLevelType w:val="hybridMultilevel"/>
    <w:tmpl w:val="6BD8A40C"/>
    <w:lvl w:ilvl="0" w:tplc="8EA6FE8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C32EF"/>
    <w:multiLevelType w:val="hybridMultilevel"/>
    <w:tmpl w:val="B9604548"/>
    <w:lvl w:ilvl="0" w:tplc="971CB56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7FDA126D"/>
    <w:multiLevelType w:val="multilevel"/>
    <w:tmpl w:val="045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5"/>
  </w:num>
  <w:num w:numId="11">
    <w:abstractNumId w:val="14"/>
  </w:num>
  <w:num w:numId="12">
    <w:abstractNumId w:val="18"/>
  </w:num>
  <w:num w:numId="13">
    <w:abstractNumId w:val="13"/>
  </w:num>
  <w:num w:numId="14">
    <w:abstractNumId w:val="17"/>
  </w:num>
  <w:num w:numId="15">
    <w:abstractNumId w:val="9"/>
  </w:num>
  <w:num w:numId="16">
    <w:abstractNumId w:val="23"/>
  </w:num>
  <w:num w:numId="17">
    <w:abstractNumId w:val="8"/>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2"/>
  </w:num>
  <w:num w:numId="47">
    <w:abstractNumId w:val="26"/>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F"/>
    <w:rsid w:val="000023AD"/>
    <w:rsid w:val="00003FC3"/>
    <w:rsid w:val="000073F3"/>
    <w:rsid w:val="00011420"/>
    <w:rsid w:val="0001312C"/>
    <w:rsid w:val="00015E9C"/>
    <w:rsid w:val="000324F1"/>
    <w:rsid w:val="00040DA8"/>
    <w:rsid w:val="0004437D"/>
    <w:rsid w:val="000643EF"/>
    <w:rsid w:val="00065859"/>
    <w:rsid w:val="000658FB"/>
    <w:rsid w:val="0008098C"/>
    <w:rsid w:val="00086836"/>
    <w:rsid w:val="000A0E4E"/>
    <w:rsid w:val="000A4F66"/>
    <w:rsid w:val="000A5709"/>
    <w:rsid w:val="000A59A4"/>
    <w:rsid w:val="000B2DC9"/>
    <w:rsid w:val="000D1AF8"/>
    <w:rsid w:val="000D7775"/>
    <w:rsid w:val="000E1E1D"/>
    <w:rsid w:val="000E2A66"/>
    <w:rsid w:val="000E36E1"/>
    <w:rsid w:val="000E490B"/>
    <w:rsid w:val="000E5128"/>
    <w:rsid w:val="000F5651"/>
    <w:rsid w:val="0010604F"/>
    <w:rsid w:val="00110EED"/>
    <w:rsid w:val="00137710"/>
    <w:rsid w:val="001407AE"/>
    <w:rsid w:val="00143FB8"/>
    <w:rsid w:val="001444B6"/>
    <w:rsid w:val="001478D8"/>
    <w:rsid w:val="0015337C"/>
    <w:rsid w:val="00157738"/>
    <w:rsid w:val="001629E0"/>
    <w:rsid w:val="00164D3E"/>
    <w:rsid w:val="001664CF"/>
    <w:rsid w:val="00171EB5"/>
    <w:rsid w:val="0017227E"/>
    <w:rsid w:val="001729FF"/>
    <w:rsid w:val="00194C92"/>
    <w:rsid w:val="001A2882"/>
    <w:rsid w:val="001A510F"/>
    <w:rsid w:val="001A7D77"/>
    <w:rsid w:val="001B7E3A"/>
    <w:rsid w:val="001C01B1"/>
    <w:rsid w:val="001C1DFD"/>
    <w:rsid w:val="001D3950"/>
    <w:rsid w:val="001D5EF9"/>
    <w:rsid w:val="001D6702"/>
    <w:rsid w:val="001E06D3"/>
    <w:rsid w:val="001E0F83"/>
    <w:rsid w:val="001E3723"/>
    <w:rsid w:val="001F4B81"/>
    <w:rsid w:val="00203ACF"/>
    <w:rsid w:val="0020608C"/>
    <w:rsid w:val="002363BA"/>
    <w:rsid w:val="002401D0"/>
    <w:rsid w:val="00246275"/>
    <w:rsid w:val="00254036"/>
    <w:rsid w:val="00267171"/>
    <w:rsid w:val="00267C65"/>
    <w:rsid w:val="002825C6"/>
    <w:rsid w:val="00283CEF"/>
    <w:rsid w:val="00283F62"/>
    <w:rsid w:val="00284231"/>
    <w:rsid w:val="00284F32"/>
    <w:rsid w:val="002A51E1"/>
    <w:rsid w:val="002B403F"/>
    <w:rsid w:val="002C29C2"/>
    <w:rsid w:val="002C698B"/>
    <w:rsid w:val="002D22F7"/>
    <w:rsid w:val="002D26EE"/>
    <w:rsid w:val="002E27FA"/>
    <w:rsid w:val="002E3D10"/>
    <w:rsid w:val="002F12B0"/>
    <w:rsid w:val="002F6526"/>
    <w:rsid w:val="003137D2"/>
    <w:rsid w:val="00327712"/>
    <w:rsid w:val="003352F4"/>
    <w:rsid w:val="0035335F"/>
    <w:rsid w:val="00355BD4"/>
    <w:rsid w:val="0036359C"/>
    <w:rsid w:val="00364621"/>
    <w:rsid w:val="00374C29"/>
    <w:rsid w:val="00385027"/>
    <w:rsid w:val="00390F4E"/>
    <w:rsid w:val="003943AA"/>
    <w:rsid w:val="003A4F8B"/>
    <w:rsid w:val="003A6151"/>
    <w:rsid w:val="003B4832"/>
    <w:rsid w:val="003B5F99"/>
    <w:rsid w:val="003C2A77"/>
    <w:rsid w:val="003C3E9F"/>
    <w:rsid w:val="003C714F"/>
    <w:rsid w:val="003D5D17"/>
    <w:rsid w:val="003F3363"/>
    <w:rsid w:val="0040211C"/>
    <w:rsid w:val="00404499"/>
    <w:rsid w:val="004052DB"/>
    <w:rsid w:val="00414D08"/>
    <w:rsid w:val="00432DC5"/>
    <w:rsid w:val="00436BA6"/>
    <w:rsid w:val="00443E0F"/>
    <w:rsid w:val="00443F74"/>
    <w:rsid w:val="00453A57"/>
    <w:rsid w:val="0045509A"/>
    <w:rsid w:val="004563B0"/>
    <w:rsid w:val="00470A0E"/>
    <w:rsid w:val="00471F6A"/>
    <w:rsid w:val="00485BD9"/>
    <w:rsid w:val="00493CF2"/>
    <w:rsid w:val="0049412F"/>
    <w:rsid w:val="00495647"/>
    <w:rsid w:val="00495CCD"/>
    <w:rsid w:val="004A265D"/>
    <w:rsid w:val="004B4ABA"/>
    <w:rsid w:val="004B7FB2"/>
    <w:rsid w:val="004D1A54"/>
    <w:rsid w:val="004F110F"/>
    <w:rsid w:val="004F66F2"/>
    <w:rsid w:val="005016A7"/>
    <w:rsid w:val="00504F1D"/>
    <w:rsid w:val="0050694B"/>
    <w:rsid w:val="005127FE"/>
    <w:rsid w:val="00514E12"/>
    <w:rsid w:val="00521AAB"/>
    <w:rsid w:val="00531F4E"/>
    <w:rsid w:val="0053316B"/>
    <w:rsid w:val="0053344B"/>
    <w:rsid w:val="0054012A"/>
    <w:rsid w:val="0054068C"/>
    <w:rsid w:val="00554FDB"/>
    <w:rsid w:val="00557A72"/>
    <w:rsid w:val="005607AF"/>
    <w:rsid w:val="00572D1F"/>
    <w:rsid w:val="00577E85"/>
    <w:rsid w:val="00596840"/>
    <w:rsid w:val="00597C71"/>
    <w:rsid w:val="005A4544"/>
    <w:rsid w:val="005A7ECA"/>
    <w:rsid w:val="005B2F23"/>
    <w:rsid w:val="005B615C"/>
    <w:rsid w:val="005C05BC"/>
    <w:rsid w:val="005C15F1"/>
    <w:rsid w:val="005C57E9"/>
    <w:rsid w:val="005C6064"/>
    <w:rsid w:val="005E1DCD"/>
    <w:rsid w:val="005E54E7"/>
    <w:rsid w:val="005F00D9"/>
    <w:rsid w:val="005F0FCE"/>
    <w:rsid w:val="005F6E8C"/>
    <w:rsid w:val="00611A9D"/>
    <w:rsid w:val="00611AF3"/>
    <w:rsid w:val="00612122"/>
    <w:rsid w:val="00615721"/>
    <w:rsid w:val="00623D85"/>
    <w:rsid w:val="006558A1"/>
    <w:rsid w:val="00657725"/>
    <w:rsid w:val="00675131"/>
    <w:rsid w:val="006753F2"/>
    <w:rsid w:val="0068298E"/>
    <w:rsid w:val="00682CD2"/>
    <w:rsid w:val="00691978"/>
    <w:rsid w:val="00694EFA"/>
    <w:rsid w:val="00700244"/>
    <w:rsid w:val="0070533F"/>
    <w:rsid w:val="00710A73"/>
    <w:rsid w:val="007141C5"/>
    <w:rsid w:val="00714A0B"/>
    <w:rsid w:val="007170E5"/>
    <w:rsid w:val="00717833"/>
    <w:rsid w:val="00723B93"/>
    <w:rsid w:val="0072513A"/>
    <w:rsid w:val="00737188"/>
    <w:rsid w:val="007510F6"/>
    <w:rsid w:val="00756374"/>
    <w:rsid w:val="007837EB"/>
    <w:rsid w:val="00784492"/>
    <w:rsid w:val="00787844"/>
    <w:rsid w:val="007A2A45"/>
    <w:rsid w:val="007A30C3"/>
    <w:rsid w:val="007A3822"/>
    <w:rsid w:val="007A572C"/>
    <w:rsid w:val="007C1E2C"/>
    <w:rsid w:val="007D6FD5"/>
    <w:rsid w:val="007F0263"/>
    <w:rsid w:val="007F4E00"/>
    <w:rsid w:val="00803E7A"/>
    <w:rsid w:val="00810A03"/>
    <w:rsid w:val="00811D50"/>
    <w:rsid w:val="008177D2"/>
    <w:rsid w:val="008255A1"/>
    <w:rsid w:val="0083164D"/>
    <w:rsid w:val="0083207E"/>
    <w:rsid w:val="00837C0B"/>
    <w:rsid w:val="00842C1D"/>
    <w:rsid w:val="0085256F"/>
    <w:rsid w:val="00853371"/>
    <w:rsid w:val="00865853"/>
    <w:rsid w:val="0087124A"/>
    <w:rsid w:val="00877ACE"/>
    <w:rsid w:val="00880183"/>
    <w:rsid w:val="00882C47"/>
    <w:rsid w:val="00892A24"/>
    <w:rsid w:val="008A15FD"/>
    <w:rsid w:val="008A5F89"/>
    <w:rsid w:val="008A6C19"/>
    <w:rsid w:val="008B60FD"/>
    <w:rsid w:val="008C3C22"/>
    <w:rsid w:val="008D3A4F"/>
    <w:rsid w:val="008F77E8"/>
    <w:rsid w:val="0090061B"/>
    <w:rsid w:val="00904FCD"/>
    <w:rsid w:val="0090686A"/>
    <w:rsid w:val="0091012F"/>
    <w:rsid w:val="00921AC4"/>
    <w:rsid w:val="00924AE6"/>
    <w:rsid w:val="00933721"/>
    <w:rsid w:val="009376C0"/>
    <w:rsid w:val="00940986"/>
    <w:rsid w:val="00943059"/>
    <w:rsid w:val="009445AB"/>
    <w:rsid w:val="00950C10"/>
    <w:rsid w:val="00957C36"/>
    <w:rsid w:val="00963735"/>
    <w:rsid w:val="009656FF"/>
    <w:rsid w:val="009755FF"/>
    <w:rsid w:val="009A1A85"/>
    <w:rsid w:val="009A5B4D"/>
    <w:rsid w:val="009A785C"/>
    <w:rsid w:val="009B4828"/>
    <w:rsid w:val="009C19E8"/>
    <w:rsid w:val="009C3346"/>
    <w:rsid w:val="009C48AE"/>
    <w:rsid w:val="009D73B2"/>
    <w:rsid w:val="009F4733"/>
    <w:rsid w:val="009F6E6B"/>
    <w:rsid w:val="009F7CE2"/>
    <w:rsid w:val="00A1315A"/>
    <w:rsid w:val="00A160D9"/>
    <w:rsid w:val="00A204E0"/>
    <w:rsid w:val="00A20EFF"/>
    <w:rsid w:val="00A2345A"/>
    <w:rsid w:val="00A24F2E"/>
    <w:rsid w:val="00A50FEC"/>
    <w:rsid w:val="00A6033F"/>
    <w:rsid w:val="00A60572"/>
    <w:rsid w:val="00A60871"/>
    <w:rsid w:val="00A63C39"/>
    <w:rsid w:val="00A65E29"/>
    <w:rsid w:val="00A66001"/>
    <w:rsid w:val="00A72ED5"/>
    <w:rsid w:val="00A761F4"/>
    <w:rsid w:val="00A83873"/>
    <w:rsid w:val="00A85AC2"/>
    <w:rsid w:val="00A97DB0"/>
    <w:rsid w:val="00AA1B2B"/>
    <w:rsid w:val="00AB7A45"/>
    <w:rsid w:val="00AF1EC9"/>
    <w:rsid w:val="00B060BE"/>
    <w:rsid w:val="00B2261D"/>
    <w:rsid w:val="00B32E91"/>
    <w:rsid w:val="00B431E4"/>
    <w:rsid w:val="00B53614"/>
    <w:rsid w:val="00B604DD"/>
    <w:rsid w:val="00B6105A"/>
    <w:rsid w:val="00B6414A"/>
    <w:rsid w:val="00B86FA9"/>
    <w:rsid w:val="00BA0C2D"/>
    <w:rsid w:val="00BA502C"/>
    <w:rsid w:val="00BB4D36"/>
    <w:rsid w:val="00BC481A"/>
    <w:rsid w:val="00BD19DF"/>
    <w:rsid w:val="00BD5156"/>
    <w:rsid w:val="00C00AB7"/>
    <w:rsid w:val="00C01206"/>
    <w:rsid w:val="00C0292D"/>
    <w:rsid w:val="00C05980"/>
    <w:rsid w:val="00C10B84"/>
    <w:rsid w:val="00C14E51"/>
    <w:rsid w:val="00C17427"/>
    <w:rsid w:val="00C21B20"/>
    <w:rsid w:val="00C21F0D"/>
    <w:rsid w:val="00C356E1"/>
    <w:rsid w:val="00C50D66"/>
    <w:rsid w:val="00C71E55"/>
    <w:rsid w:val="00C85373"/>
    <w:rsid w:val="00C86755"/>
    <w:rsid w:val="00C907AC"/>
    <w:rsid w:val="00CA1DFC"/>
    <w:rsid w:val="00CA3956"/>
    <w:rsid w:val="00CA5446"/>
    <w:rsid w:val="00CB087E"/>
    <w:rsid w:val="00CB1FD8"/>
    <w:rsid w:val="00CB723D"/>
    <w:rsid w:val="00CB7D45"/>
    <w:rsid w:val="00CD064E"/>
    <w:rsid w:val="00CD40EF"/>
    <w:rsid w:val="00CE1AC4"/>
    <w:rsid w:val="00CE2D9E"/>
    <w:rsid w:val="00CF21FA"/>
    <w:rsid w:val="00CF700E"/>
    <w:rsid w:val="00D03B86"/>
    <w:rsid w:val="00D06E29"/>
    <w:rsid w:val="00D12F26"/>
    <w:rsid w:val="00D20B7D"/>
    <w:rsid w:val="00D222E5"/>
    <w:rsid w:val="00D514D4"/>
    <w:rsid w:val="00D7671F"/>
    <w:rsid w:val="00D77786"/>
    <w:rsid w:val="00D956D2"/>
    <w:rsid w:val="00DA5704"/>
    <w:rsid w:val="00DC2C6F"/>
    <w:rsid w:val="00DC45B2"/>
    <w:rsid w:val="00DE3FB4"/>
    <w:rsid w:val="00DF3086"/>
    <w:rsid w:val="00DF45F0"/>
    <w:rsid w:val="00E12D4C"/>
    <w:rsid w:val="00E17F5B"/>
    <w:rsid w:val="00E3301D"/>
    <w:rsid w:val="00E43B17"/>
    <w:rsid w:val="00E5739C"/>
    <w:rsid w:val="00E61964"/>
    <w:rsid w:val="00EA2893"/>
    <w:rsid w:val="00EA43DA"/>
    <w:rsid w:val="00EC1260"/>
    <w:rsid w:val="00EC2EBA"/>
    <w:rsid w:val="00EC4403"/>
    <w:rsid w:val="00EC7628"/>
    <w:rsid w:val="00EC766E"/>
    <w:rsid w:val="00ED1BAA"/>
    <w:rsid w:val="00ED761B"/>
    <w:rsid w:val="00EE388F"/>
    <w:rsid w:val="00EF538E"/>
    <w:rsid w:val="00EF5FF6"/>
    <w:rsid w:val="00F07630"/>
    <w:rsid w:val="00F155C9"/>
    <w:rsid w:val="00F272F3"/>
    <w:rsid w:val="00F45BED"/>
    <w:rsid w:val="00F54C39"/>
    <w:rsid w:val="00F57B49"/>
    <w:rsid w:val="00F613A3"/>
    <w:rsid w:val="00F64866"/>
    <w:rsid w:val="00F711A2"/>
    <w:rsid w:val="00F75716"/>
    <w:rsid w:val="00F775E8"/>
    <w:rsid w:val="00F81892"/>
    <w:rsid w:val="00F81CB1"/>
    <w:rsid w:val="00F870AC"/>
    <w:rsid w:val="00F87A9E"/>
    <w:rsid w:val="00F97ACB"/>
    <w:rsid w:val="00F97FAB"/>
    <w:rsid w:val="00FA0400"/>
    <w:rsid w:val="00FA05CD"/>
    <w:rsid w:val="00FA7722"/>
    <w:rsid w:val="00FA7810"/>
    <w:rsid w:val="00FB50C7"/>
    <w:rsid w:val="00FB5CC7"/>
    <w:rsid w:val="00FB65B9"/>
    <w:rsid w:val="00FE0926"/>
    <w:rsid w:val="00FE6229"/>
    <w:rsid w:val="00FF1B4D"/>
    <w:rsid w:val="00FF3268"/>
    <w:rsid w:val="00FF392A"/>
    <w:rsid w:val="00FF45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9637C"/>
  <w15:docId w15:val="{C858C3FC-207E-4F2E-B86E-86F33000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97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klamrevisorernas">
    <w:name w:val="klamrevisorernas"/>
    <w:basedOn w:val="Normal"/>
    <w:rsid w:val="00EC766E"/>
    <w:pPr>
      <w:ind w:left="567"/>
      <w:jc w:val="both"/>
    </w:pPr>
    <w:rPr>
      <w:b/>
      <w:bCs/>
      <w:sz w:val="22"/>
      <w:szCs w:val="22"/>
    </w:rPr>
  </w:style>
  <w:style w:type="character" w:customStyle="1" w:styleId="apple-converted-space">
    <w:name w:val="apple-converted-space"/>
    <w:rsid w:val="001F4B81"/>
  </w:style>
  <w:style w:type="paragraph" w:styleId="Ballongtext">
    <w:name w:val="Balloon Text"/>
    <w:basedOn w:val="Normal"/>
    <w:link w:val="BallongtextChar"/>
    <w:rsid w:val="00A65E29"/>
    <w:rPr>
      <w:rFonts w:ascii="Tahoma" w:hAnsi="Tahoma" w:cs="Tahoma"/>
      <w:sz w:val="16"/>
      <w:szCs w:val="16"/>
    </w:rPr>
  </w:style>
  <w:style w:type="character" w:customStyle="1" w:styleId="BallongtextChar">
    <w:name w:val="Ballongtext Char"/>
    <w:link w:val="Ballongtext"/>
    <w:rsid w:val="00A65E29"/>
    <w:rPr>
      <w:rFonts w:ascii="Tahoma" w:hAnsi="Tahoma" w:cs="Tahoma"/>
      <w:sz w:val="16"/>
      <w:szCs w:val="16"/>
      <w:lang w:val="sv-SE" w:eastAsia="sv-SE"/>
    </w:rPr>
  </w:style>
  <w:style w:type="character" w:customStyle="1" w:styleId="ANormalChar">
    <w:name w:val="ANormal Char"/>
    <w:link w:val="ANormal"/>
    <w:rsid w:val="00B86FA9"/>
    <w:rPr>
      <w:sz w:val="22"/>
      <w:lang w:val="sv-SE" w:eastAsia="sv-SE"/>
    </w:rPr>
  </w:style>
  <w:style w:type="paragraph" w:styleId="Normalwebb">
    <w:name w:val="Normal (Web)"/>
    <w:basedOn w:val="Normal"/>
    <w:uiPriority w:val="99"/>
    <w:unhideWhenUsed/>
    <w:rsid w:val="00CB723D"/>
    <w:pPr>
      <w:spacing w:before="100" w:beforeAutospacing="1" w:after="100" w:afterAutospacing="1"/>
    </w:pPr>
    <w:rPr>
      <w:lang w:val="sv-FI" w:eastAsia="sv-FI"/>
    </w:rPr>
  </w:style>
  <w:style w:type="character" w:customStyle="1" w:styleId="Datum1">
    <w:name w:val="Datum1"/>
    <w:basedOn w:val="Standardstycketeckensnitt"/>
    <w:rsid w:val="00597C71"/>
  </w:style>
  <w:style w:type="character" w:styleId="Stark">
    <w:name w:val="Strong"/>
    <w:basedOn w:val="Standardstycketeckensnitt"/>
    <w:uiPriority w:val="22"/>
    <w:qFormat/>
    <w:rsid w:val="00597C71"/>
    <w:rPr>
      <w:b/>
      <w:bCs/>
    </w:rPr>
  </w:style>
  <w:style w:type="paragraph" w:customStyle="1" w:styleId="anormal0">
    <w:name w:val="anormal"/>
    <w:basedOn w:val="Normal"/>
    <w:rsid w:val="000D7775"/>
    <w:pPr>
      <w:spacing w:before="100" w:beforeAutospacing="1" w:after="100" w:afterAutospacing="1"/>
    </w:pPr>
    <w:rPr>
      <w:lang w:val="sv-FI" w:eastAsia="sv-FI"/>
    </w:rPr>
  </w:style>
  <w:style w:type="paragraph" w:styleId="Fotnotstext">
    <w:name w:val="footnote text"/>
    <w:basedOn w:val="Normal"/>
    <w:link w:val="FotnotstextChar"/>
    <w:semiHidden/>
    <w:unhideWhenUsed/>
    <w:rsid w:val="002F6526"/>
    <w:rPr>
      <w:sz w:val="20"/>
      <w:szCs w:val="20"/>
    </w:rPr>
  </w:style>
  <w:style w:type="character" w:customStyle="1" w:styleId="FotnotstextChar">
    <w:name w:val="Fotnotstext Char"/>
    <w:basedOn w:val="Standardstycketeckensnitt"/>
    <w:link w:val="Fotnotstext"/>
    <w:semiHidden/>
    <w:rsid w:val="002F6526"/>
    <w:rPr>
      <w:lang w:val="sv-SE" w:eastAsia="sv-SE"/>
    </w:rPr>
  </w:style>
  <w:style w:type="character" w:styleId="Fotnotsreferens">
    <w:name w:val="footnote reference"/>
    <w:basedOn w:val="Standardstycketeckensnitt"/>
    <w:semiHidden/>
    <w:unhideWhenUsed/>
    <w:rsid w:val="002F6526"/>
    <w:rPr>
      <w:vertAlign w:val="superscript"/>
    </w:rPr>
  </w:style>
  <w:style w:type="character" w:styleId="Olstomnmnande">
    <w:name w:val="Unresolved Mention"/>
    <w:basedOn w:val="Standardstycketeckensnitt"/>
    <w:uiPriority w:val="99"/>
    <w:semiHidden/>
    <w:unhideWhenUsed/>
    <w:rsid w:val="00C7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843">
      <w:bodyDiv w:val="1"/>
      <w:marLeft w:val="0"/>
      <w:marRight w:val="0"/>
      <w:marTop w:val="0"/>
      <w:marBottom w:val="0"/>
      <w:divBdr>
        <w:top w:val="none" w:sz="0" w:space="0" w:color="auto"/>
        <w:left w:val="none" w:sz="0" w:space="0" w:color="auto"/>
        <w:bottom w:val="none" w:sz="0" w:space="0" w:color="auto"/>
        <w:right w:val="none" w:sz="0" w:space="0" w:color="auto"/>
      </w:divBdr>
    </w:div>
    <w:div w:id="307243628">
      <w:bodyDiv w:val="1"/>
      <w:marLeft w:val="0"/>
      <w:marRight w:val="0"/>
      <w:marTop w:val="0"/>
      <w:marBottom w:val="0"/>
      <w:divBdr>
        <w:top w:val="none" w:sz="0" w:space="0" w:color="auto"/>
        <w:left w:val="none" w:sz="0" w:space="0" w:color="auto"/>
        <w:bottom w:val="none" w:sz="0" w:space="0" w:color="auto"/>
        <w:right w:val="none" w:sz="0" w:space="0" w:color="auto"/>
      </w:divBdr>
    </w:div>
    <w:div w:id="308946784">
      <w:bodyDiv w:val="1"/>
      <w:marLeft w:val="0"/>
      <w:marRight w:val="0"/>
      <w:marTop w:val="0"/>
      <w:marBottom w:val="0"/>
      <w:divBdr>
        <w:top w:val="none" w:sz="0" w:space="0" w:color="auto"/>
        <w:left w:val="none" w:sz="0" w:space="0" w:color="auto"/>
        <w:bottom w:val="none" w:sz="0" w:space="0" w:color="auto"/>
        <w:right w:val="none" w:sz="0" w:space="0" w:color="auto"/>
      </w:divBdr>
    </w:div>
    <w:div w:id="328944248">
      <w:bodyDiv w:val="1"/>
      <w:marLeft w:val="0"/>
      <w:marRight w:val="0"/>
      <w:marTop w:val="0"/>
      <w:marBottom w:val="0"/>
      <w:divBdr>
        <w:top w:val="none" w:sz="0" w:space="0" w:color="auto"/>
        <w:left w:val="none" w:sz="0" w:space="0" w:color="auto"/>
        <w:bottom w:val="none" w:sz="0" w:space="0" w:color="auto"/>
        <w:right w:val="none" w:sz="0" w:space="0" w:color="auto"/>
      </w:divBdr>
    </w:div>
    <w:div w:id="525993384">
      <w:bodyDiv w:val="1"/>
      <w:marLeft w:val="0"/>
      <w:marRight w:val="0"/>
      <w:marTop w:val="0"/>
      <w:marBottom w:val="0"/>
      <w:divBdr>
        <w:top w:val="none" w:sz="0" w:space="0" w:color="auto"/>
        <w:left w:val="none" w:sz="0" w:space="0" w:color="auto"/>
        <w:bottom w:val="none" w:sz="0" w:space="0" w:color="auto"/>
        <w:right w:val="none" w:sz="0" w:space="0" w:color="auto"/>
      </w:divBdr>
    </w:div>
    <w:div w:id="563758351">
      <w:bodyDiv w:val="1"/>
      <w:marLeft w:val="0"/>
      <w:marRight w:val="0"/>
      <w:marTop w:val="0"/>
      <w:marBottom w:val="0"/>
      <w:divBdr>
        <w:top w:val="none" w:sz="0" w:space="0" w:color="auto"/>
        <w:left w:val="none" w:sz="0" w:space="0" w:color="auto"/>
        <w:bottom w:val="none" w:sz="0" w:space="0" w:color="auto"/>
        <w:right w:val="none" w:sz="0" w:space="0" w:color="auto"/>
      </w:divBdr>
    </w:div>
    <w:div w:id="581522234">
      <w:bodyDiv w:val="1"/>
      <w:marLeft w:val="0"/>
      <w:marRight w:val="0"/>
      <w:marTop w:val="0"/>
      <w:marBottom w:val="0"/>
      <w:divBdr>
        <w:top w:val="none" w:sz="0" w:space="0" w:color="auto"/>
        <w:left w:val="none" w:sz="0" w:space="0" w:color="auto"/>
        <w:bottom w:val="none" w:sz="0" w:space="0" w:color="auto"/>
        <w:right w:val="none" w:sz="0" w:space="0" w:color="auto"/>
      </w:divBdr>
    </w:div>
    <w:div w:id="729499897">
      <w:bodyDiv w:val="1"/>
      <w:marLeft w:val="0"/>
      <w:marRight w:val="0"/>
      <w:marTop w:val="0"/>
      <w:marBottom w:val="0"/>
      <w:divBdr>
        <w:top w:val="none" w:sz="0" w:space="0" w:color="auto"/>
        <w:left w:val="none" w:sz="0" w:space="0" w:color="auto"/>
        <w:bottom w:val="none" w:sz="0" w:space="0" w:color="auto"/>
        <w:right w:val="none" w:sz="0" w:space="0" w:color="auto"/>
      </w:divBdr>
    </w:div>
    <w:div w:id="746726287">
      <w:bodyDiv w:val="1"/>
      <w:marLeft w:val="0"/>
      <w:marRight w:val="0"/>
      <w:marTop w:val="0"/>
      <w:marBottom w:val="0"/>
      <w:divBdr>
        <w:top w:val="none" w:sz="0" w:space="0" w:color="auto"/>
        <w:left w:val="none" w:sz="0" w:space="0" w:color="auto"/>
        <w:bottom w:val="none" w:sz="0" w:space="0" w:color="auto"/>
        <w:right w:val="none" w:sz="0" w:space="0" w:color="auto"/>
      </w:divBdr>
    </w:div>
    <w:div w:id="797727814">
      <w:bodyDiv w:val="1"/>
      <w:marLeft w:val="0"/>
      <w:marRight w:val="0"/>
      <w:marTop w:val="0"/>
      <w:marBottom w:val="0"/>
      <w:divBdr>
        <w:top w:val="none" w:sz="0" w:space="0" w:color="auto"/>
        <w:left w:val="none" w:sz="0" w:space="0" w:color="auto"/>
        <w:bottom w:val="none" w:sz="0" w:space="0" w:color="auto"/>
        <w:right w:val="none" w:sz="0" w:space="0" w:color="auto"/>
      </w:divBdr>
    </w:div>
    <w:div w:id="1083985801">
      <w:bodyDiv w:val="1"/>
      <w:marLeft w:val="0"/>
      <w:marRight w:val="0"/>
      <w:marTop w:val="0"/>
      <w:marBottom w:val="0"/>
      <w:divBdr>
        <w:top w:val="none" w:sz="0" w:space="0" w:color="auto"/>
        <w:left w:val="none" w:sz="0" w:space="0" w:color="auto"/>
        <w:bottom w:val="none" w:sz="0" w:space="0" w:color="auto"/>
        <w:right w:val="none" w:sz="0" w:space="0" w:color="auto"/>
      </w:divBdr>
    </w:div>
    <w:div w:id="1160586457">
      <w:bodyDiv w:val="1"/>
      <w:marLeft w:val="0"/>
      <w:marRight w:val="0"/>
      <w:marTop w:val="0"/>
      <w:marBottom w:val="0"/>
      <w:divBdr>
        <w:top w:val="none" w:sz="0" w:space="0" w:color="auto"/>
        <w:left w:val="none" w:sz="0" w:space="0" w:color="auto"/>
        <w:bottom w:val="none" w:sz="0" w:space="0" w:color="auto"/>
        <w:right w:val="none" w:sz="0" w:space="0" w:color="auto"/>
      </w:divBdr>
    </w:div>
    <w:div w:id="1300182902">
      <w:bodyDiv w:val="1"/>
      <w:marLeft w:val="0"/>
      <w:marRight w:val="0"/>
      <w:marTop w:val="0"/>
      <w:marBottom w:val="0"/>
      <w:divBdr>
        <w:top w:val="none" w:sz="0" w:space="0" w:color="auto"/>
        <w:left w:val="none" w:sz="0" w:space="0" w:color="auto"/>
        <w:bottom w:val="none" w:sz="0" w:space="0" w:color="auto"/>
        <w:right w:val="none" w:sz="0" w:space="0" w:color="auto"/>
      </w:divBdr>
    </w:div>
    <w:div w:id="1625308807">
      <w:bodyDiv w:val="1"/>
      <w:marLeft w:val="0"/>
      <w:marRight w:val="0"/>
      <w:marTop w:val="0"/>
      <w:marBottom w:val="0"/>
      <w:divBdr>
        <w:top w:val="none" w:sz="0" w:space="0" w:color="auto"/>
        <w:left w:val="none" w:sz="0" w:space="0" w:color="auto"/>
        <w:bottom w:val="none" w:sz="0" w:space="0" w:color="auto"/>
        <w:right w:val="none" w:sz="0" w:space="0" w:color="auto"/>
      </w:divBdr>
      <w:divsChild>
        <w:div w:id="1247883848">
          <w:marLeft w:val="0"/>
          <w:marRight w:val="0"/>
          <w:marTop w:val="0"/>
          <w:marBottom w:val="0"/>
          <w:divBdr>
            <w:top w:val="none" w:sz="0" w:space="0" w:color="auto"/>
            <w:left w:val="none" w:sz="0" w:space="0" w:color="auto"/>
            <w:bottom w:val="none" w:sz="0" w:space="0" w:color="auto"/>
            <w:right w:val="none" w:sz="0" w:space="0" w:color="auto"/>
          </w:divBdr>
        </w:div>
        <w:div w:id="372002403">
          <w:marLeft w:val="0"/>
          <w:marRight w:val="0"/>
          <w:marTop w:val="0"/>
          <w:marBottom w:val="0"/>
          <w:divBdr>
            <w:top w:val="none" w:sz="0" w:space="0" w:color="auto"/>
            <w:left w:val="none" w:sz="0" w:space="0" w:color="auto"/>
            <w:bottom w:val="none" w:sz="0" w:space="0" w:color="auto"/>
            <w:right w:val="none" w:sz="0" w:space="0" w:color="auto"/>
          </w:divBdr>
        </w:div>
        <w:div w:id="1572807557">
          <w:marLeft w:val="0"/>
          <w:marRight w:val="0"/>
          <w:marTop w:val="0"/>
          <w:marBottom w:val="0"/>
          <w:divBdr>
            <w:top w:val="none" w:sz="0" w:space="0" w:color="auto"/>
            <w:left w:val="none" w:sz="0" w:space="0" w:color="auto"/>
            <w:bottom w:val="none" w:sz="0" w:space="0" w:color="auto"/>
            <w:right w:val="none" w:sz="0" w:space="0" w:color="auto"/>
          </w:divBdr>
        </w:div>
        <w:div w:id="1145971778">
          <w:marLeft w:val="0"/>
          <w:marRight w:val="0"/>
          <w:marTop w:val="0"/>
          <w:marBottom w:val="0"/>
          <w:divBdr>
            <w:top w:val="none" w:sz="0" w:space="0" w:color="auto"/>
            <w:left w:val="none" w:sz="0" w:space="0" w:color="auto"/>
            <w:bottom w:val="none" w:sz="0" w:space="0" w:color="auto"/>
            <w:right w:val="none" w:sz="0" w:space="0" w:color="auto"/>
          </w:divBdr>
        </w:div>
        <w:div w:id="2080982881">
          <w:marLeft w:val="0"/>
          <w:marRight w:val="0"/>
          <w:marTop w:val="0"/>
          <w:marBottom w:val="0"/>
          <w:divBdr>
            <w:top w:val="none" w:sz="0" w:space="0" w:color="auto"/>
            <w:left w:val="none" w:sz="0" w:space="0" w:color="auto"/>
            <w:bottom w:val="none" w:sz="0" w:space="0" w:color="auto"/>
            <w:right w:val="none" w:sz="0" w:space="0" w:color="auto"/>
          </w:divBdr>
        </w:div>
      </w:divsChild>
    </w:div>
    <w:div w:id="2017490023">
      <w:bodyDiv w:val="1"/>
      <w:marLeft w:val="0"/>
      <w:marRight w:val="0"/>
      <w:marTop w:val="0"/>
      <w:marBottom w:val="0"/>
      <w:divBdr>
        <w:top w:val="none" w:sz="0" w:space="0" w:color="auto"/>
        <w:left w:val="none" w:sz="0" w:space="0" w:color="auto"/>
        <w:bottom w:val="none" w:sz="0" w:space="0" w:color="auto"/>
        <w:right w:val="none" w:sz="0" w:space="0" w:color="auto"/>
      </w:divBdr>
    </w:div>
    <w:div w:id="21092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agtinget.ax/dokument/landskapsregeringens-svar-rb-12019-2020-47338" TargetMode="External"/><Relationship Id="rId2" Type="http://schemas.openxmlformats.org/officeDocument/2006/relationships/numbering" Target="numbering.xml"/><Relationship Id="rId16" Type="http://schemas.openxmlformats.org/officeDocument/2006/relationships/hyperlink" Target="https://www.lagtinget.ax/dokument/landskapsrevisorernas-berattelse-12019-2020-4663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0E3A-E15D-4294-812F-5DE205F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1534</Words>
  <Characters>11702</Characters>
  <Application>Microsoft Office Word</Application>
  <DocSecurity>0</DocSecurity>
  <Lines>97</Lines>
  <Paragraphs>26</Paragraphs>
  <ScaleCrop>false</ScaleCrop>
  <HeadingPairs>
    <vt:vector size="2" baseType="variant">
      <vt:variant>
        <vt:lpstr>Rubrik</vt:lpstr>
      </vt:variant>
      <vt:variant>
        <vt:i4>1</vt:i4>
      </vt:variant>
    </vt:vector>
  </HeadingPairs>
  <TitlesOfParts>
    <vt:vector size="1" baseType="lpstr">
      <vt:lpstr>betänkande nr 22/2016-2017</vt:lpstr>
    </vt:vector>
  </TitlesOfParts>
  <Company>Ålands lagting</Company>
  <LinksUpToDate>false</LinksUpToDate>
  <CharactersWithSpaces>13210</CharactersWithSpaces>
  <SharedDoc>false</SharedDoc>
  <HLinks>
    <vt:vector size="66" baseType="variant">
      <vt:variant>
        <vt:i4>262192</vt:i4>
      </vt:variant>
      <vt:variant>
        <vt:i4>63</vt:i4>
      </vt:variant>
      <vt:variant>
        <vt:i4>0</vt:i4>
      </vt:variant>
      <vt:variant>
        <vt:i4>5</vt:i4>
      </vt:variant>
      <vt:variant>
        <vt:lpwstr/>
      </vt:variant>
      <vt:variant>
        <vt:lpwstr>_top</vt:lpwstr>
      </vt:variant>
      <vt:variant>
        <vt:i4>1638456</vt:i4>
      </vt:variant>
      <vt:variant>
        <vt:i4>56</vt:i4>
      </vt:variant>
      <vt:variant>
        <vt:i4>0</vt:i4>
      </vt:variant>
      <vt:variant>
        <vt:i4>5</vt:i4>
      </vt:variant>
      <vt:variant>
        <vt:lpwstr/>
      </vt:variant>
      <vt:variant>
        <vt:lpwstr>_Toc461180598</vt:lpwstr>
      </vt:variant>
      <vt:variant>
        <vt:i4>1638456</vt:i4>
      </vt:variant>
      <vt:variant>
        <vt:i4>50</vt:i4>
      </vt:variant>
      <vt:variant>
        <vt:i4>0</vt:i4>
      </vt:variant>
      <vt:variant>
        <vt:i4>5</vt:i4>
      </vt:variant>
      <vt:variant>
        <vt:lpwstr/>
      </vt:variant>
      <vt:variant>
        <vt:lpwstr>_Toc461180597</vt:lpwstr>
      </vt:variant>
      <vt:variant>
        <vt:i4>1638456</vt:i4>
      </vt:variant>
      <vt:variant>
        <vt:i4>44</vt:i4>
      </vt:variant>
      <vt:variant>
        <vt:i4>0</vt:i4>
      </vt:variant>
      <vt:variant>
        <vt:i4>5</vt:i4>
      </vt:variant>
      <vt:variant>
        <vt:lpwstr/>
      </vt:variant>
      <vt:variant>
        <vt:lpwstr>_Toc461180596</vt:lpwstr>
      </vt:variant>
      <vt:variant>
        <vt:i4>1638456</vt:i4>
      </vt:variant>
      <vt:variant>
        <vt:i4>38</vt:i4>
      </vt:variant>
      <vt:variant>
        <vt:i4>0</vt:i4>
      </vt:variant>
      <vt:variant>
        <vt:i4>5</vt:i4>
      </vt:variant>
      <vt:variant>
        <vt:lpwstr/>
      </vt:variant>
      <vt:variant>
        <vt:lpwstr>_Toc461180595</vt:lpwstr>
      </vt:variant>
      <vt:variant>
        <vt:i4>1638456</vt:i4>
      </vt:variant>
      <vt:variant>
        <vt:i4>32</vt:i4>
      </vt:variant>
      <vt:variant>
        <vt:i4>0</vt:i4>
      </vt:variant>
      <vt:variant>
        <vt:i4>5</vt:i4>
      </vt:variant>
      <vt:variant>
        <vt:lpwstr/>
      </vt:variant>
      <vt:variant>
        <vt:lpwstr>_Toc461180594</vt:lpwstr>
      </vt:variant>
      <vt:variant>
        <vt:i4>1638456</vt:i4>
      </vt:variant>
      <vt:variant>
        <vt:i4>26</vt:i4>
      </vt:variant>
      <vt:variant>
        <vt:i4>0</vt:i4>
      </vt:variant>
      <vt:variant>
        <vt:i4>5</vt:i4>
      </vt:variant>
      <vt:variant>
        <vt:lpwstr/>
      </vt:variant>
      <vt:variant>
        <vt:lpwstr>_Toc461180593</vt:lpwstr>
      </vt:variant>
      <vt:variant>
        <vt:i4>1638456</vt:i4>
      </vt:variant>
      <vt:variant>
        <vt:i4>20</vt:i4>
      </vt:variant>
      <vt:variant>
        <vt:i4>0</vt:i4>
      </vt:variant>
      <vt:variant>
        <vt:i4>5</vt:i4>
      </vt:variant>
      <vt:variant>
        <vt:lpwstr/>
      </vt:variant>
      <vt:variant>
        <vt:lpwstr>_Toc461180592</vt:lpwstr>
      </vt:variant>
      <vt:variant>
        <vt:i4>1638456</vt:i4>
      </vt:variant>
      <vt:variant>
        <vt:i4>14</vt:i4>
      </vt:variant>
      <vt:variant>
        <vt:i4>0</vt:i4>
      </vt:variant>
      <vt:variant>
        <vt:i4>5</vt:i4>
      </vt:variant>
      <vt:variant>
        <vt:lpwstr/>
      </vt:variant>
      <vt:variant>
        <vt:lpwstr>_Toc461180591</vt:lpwstr>
      </vt:variant>
      <vt:variant>
        <vt:i4>1638456</vt:i4>
      </vt:variant>
      <vt:variant>
        <vt:i4>8</vt:i4>
      </vt:variant>
      <vt:variant>
        <vt:i4>0</vt:i4>
      </vt:variant>
      <vt:variant>
        <vt:i4>5</vt:i4>
      </vt:variant>
      <vt:variant>
        <vt:lpwstr/>
      </vt:variant>
      <vt:variant>
        <vt:lpwstr>_Toc461180590</vt:lpwstr>
      </vt:variant>
      <vt:variant>
        <vt:i4>1572920</vt:i4>
      </vt:variant>
      <vt:variant>
        <vt:i4>2</vt:i4>
      </vt:variant>
      <vt:variant>
        <vt:i4>0</vt:i4>
      </vt:variant>
      <vt:variant>
        <vt:i4>5</vt:i4>
      </vt:variant>
      <vt:variant>
        <vt:lpwstr/>
      </vt:variant>
      <vt:variant>
        <vt:lpwstr>_Toc461180589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betänkande nr 22/2016-2017</dc:title>
  <dc:creator>LT</dc:creator>
  <cp:lastModifiedBy>Jessica Laaksonen</cp:lastModifiedBy>
  <cp:revision>2</cp:revision>
  <cp:lastPrinted>2020-09-03T09:16:00Z</cp:lastPrinted>
  <dcterms:created xsi:type="dcterms:W3CDTF">2020-09-03T09:19:00Z</dcterms:created>
  <dcterms:modified xsi:type="dcterms:W3CDTF">2020-09-03T09:19:00Z</dcterms:modified>
</cp:coreProperties>
</file>