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6FF540A6" w14:textId="77777777">
        <w:trPr>
          <w:cantSplit/>
          <w:trHeight w:val="20"/>
        </w:trPr>
        <w:tc>
          <w:tcPr>
            <w:tcW w:w="861" w:type="dxa"/>
            <w:vMerge w:val="restart"/>
          </w:tcPr>
          <w:p w14:paraId="4857F99F" w14:textId="4D90F9AA" w:rsidR="00E023D9" w:rsidRDefault="00486EB7">
            <w:pPr>
              <w:pStyle w:val="xLedtext"/>
              <w:rPr>
                <w:noProof/>
              </w:rPr>
            </w:pPr>
            <w:r>
              <w:rPr>
                <w:noProof/>
              </w:rPr>
              <w:drawing>
                <wp:anchor distT="0" distB="0" distL="114300" distR="114300" simplePos="0" relativeHeight="251657728" behindDoc="0" locked="0" layoutInCell="1" allowOverlap="1" wp14:anchorId="1324A0E2" wp14:editId="09BA5D11">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72102200" w14:textId="23A393EC" w:rsidR="00E023D9" w:rsidRDefault="00486EB7">
            <w:pPr>
              <w:pStyle w:val="xMellanrum"/>
            </w:pPr>
            <w:r w:rsidRPr="0038504B">
              <w:rPr>
                <w:noProof/>
              </w:rPr>
              <w:drawing>
                <wp:inline distT="0" distB="0" distL="0" distR="0" wp14:anchorId="754AA89E" wp14:editId="3AC145E7">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200E089F" w14:textId="77777777">
        <w:trPr>
          <w:cantSplit/>
          <w:trHeight w:val="299"/>
        </w:trPr>
        <w:tc>
          <w:tcPr>
            <w:tcW w:w="861" w:type="dxa"/>
            <w:vMerge/>
          </w:tcPr>
          <w:p w14:paraId="2EBE1AD0" w14:textId="77777777" w:rsidR="00E023D9" w:rsidRDefault="00E023D9">
            <w:pPr>
              <w:pStyle w:val="xLedtext"/>
            </w:pPr>
          </w:p>
        </w:tc>
        <w:tc>
          <w:tcPr>
            <w:tcW w:w="4448" w:type="dxa"/>
            <w:vAlign w:val="bottom"/>
          </w:tcPr>
          <w:p w14:paraId="4E1776CD" w14:textId="77777777" w:rsidR="00E023D9" w:rsidRDefault="00E023D9">
            <w:pPr>
              <w:pStyle w:val="xAvsandare1"/>
            </w:pPr>
          </w:p>
        </w:tc>
        <w:tc>
          <w:tcPr>
            <w:tcW w:w="4288" w:type="dxa"/>
            <w:gridSpan w:val="2"/>
            <w:vAlign w:val="bottom"/>
          </w:tcPr>
          <w:p w14:paraId="75357D1F" w14:textId="77777777" w:rsidR="00E023D9" w:rsidRDefault="00E023D9">
            <w:pPr>
              <w:pStyle w:val="xDokTypNr"/>
            </w:pPr>
            <w:r>
              <w:t>PARALLELLTEXTER</w:t>
            </w:r>
          </w:p>
        </w:tc>
      </w:tr>
      <w:tr w:rsidR="00E023D9" w14:paraId="605931D6" w14:textId="77777777">
        <w:trPr>
          <w:cantSplit/>
          <w:trHeight w:val="238"/>
        </w:trPr>
        <w:tc>
          <w:tcPr>
            <w:tcW w:w="861" w:type="dxa"/>
            <w:vMerge/>
          </w:tcPr>
          <w:p w14:paraId="556D8710" w14:textId="77777777" w:rsidR="00E023D9" w:rsidRDefault="00E023D9">
            <w:pPr>
              <w:pStyle w:val="xLedtext"/>
            </w:pPr>
          </w:p>
        </w:tc>
        <w:tc>
          <w:tcPr>
            <w:tcW w:w="4448" w:type="dxa"/>
            <w:vAlign w:val="bottom"/>
          </w:tcPr>
          <w:p w14:paraId="65E35FB4" w14:textId="77777777" w:rsidR="00E023D9" w:rsidRDefault="00E023D9">
            <w:pPr>
              <w:pStyle w:val="xLedtext"/>
            </w:pPr>
          </w:p>
        </w:tc>
        <w:tc>
          <w:tcPr>
            <w:tcW w:w="1725" w:type="dxa"/>
            <w:vAlign w:val="bottom"/>
          </w:tcPr>
          <w:p w14:paraId="5EDB75FF" w14:textId="77777777" w:rsidR="00E023D9" w:rsidRDefault="00E023D9">
            <w:pPr>
              <w:pStyle w:val="xLedtext"/>
            </w:pPr>
            <w:r>
              <w:t>Datum</w:t>
            </w:r>
          </w:p>
        </w:tc>
        <w:tc>
          <w:tcPr>
            <w:tcW w:w="2563" w:type="dxa"/>
            <w:vAlign w:val="bottom"/>
          </w:tcPr>
          <w:p w14:paraId="244AB046" w14:textId="77777777" w:rsidR="00E023D9" w:rsidRDefault="00E023D9">
            <w:pPr>
              <w:pStyle w:val="xLedtext"/>
            </w:pPr>
          </w:p>
        </w:tc>
      </w:tr>
      <w:tr w:rsidR="00E023D9" w14:paraId="3400DCA4" w14:textId="77777777">
        <w:trPr>
          <w:cantSplit/>
          <w:trHeight w:val="238"/>
        </w:trPr>
        <w:tc>
          <w:tcPr>
            <w:tcW w:w="861" w:type="dxa"/>
            <w:vMerge/>
          </w:tcPr>
          <w:p w14:paraId="58D9D8B9" w14:textId="77777777" w:rsidR="00E023D9" w:rsidRDefault="00E023D9">
            <w:pPr>
              <w:pStyle w:val="xAvsandare2"/>
            </w:pPr>
          </w:p>
        </w:tc>
        <w:tc>
          <w:tcPr>
            <w:tcW w:w="4448" w:type="dxa"/>
            <w:vAlign w:val="center"/>
          </w:tcPr>
          <w:p w14:paraId="385C2652" w14:textId="77777777" w:rsidR="00E023D9" w:rsidRDefault="00E023D9">
            <w:pPr>
              <w:pStyle w:val="xAvsandare2"/>
            </w:pPr>
          </w:p>
        </w:tc>
        <w:tc>
          <w:tcPr>
            <w:tcW w:w="1725" w:type="dxa"/>
            <w:vAlign w:val="center"/>
          </w:tcPr>
          <w:p w14:paraId="4236EDF5" w14:textId="78FBA0A7" w:rsidR="00E023D9" w:rsidRDefault="00E023D9">
            <w:pPr>
              <w:pStyle w:val="xDatum1"/>
            </w:pPr>
            <w:r>
              <w:t>20</w:t>
            </w:r>
            <w:r w:rsidR="00DC2B9C">
              <w:t>20</w:t>
            </w:r>
            <w:r>
              <w:t>-</w:t>
            </w:r>
            <w:r w:rsidR="00DC2B9C">
              <w:t>09</w:t>
            </w:r>
            <w:r>
              <w:t>-</w:t>
            </w:r>
            <w:r w:rsidR="00B65080">
              <w:t>1</w:t>
            </w:r>
            <w:r w:rsidR="000E2957">
              <w:t>4</w:t>
            </w:r>
          </w:p>
        </w:tc>
        <w:tc>
          <w:tcPr>
            <w:tcW w:w="2563" w:type="dxa"/>
            <w:vAlign w:val="center"/>
          </w:tcPr>
          <w:p w14:paraId="5053A57F" w14:textId="77777777" w:rsidR="00E023D9" w:rsidRDefault="00E023D9">
            <w:pPr>
              <w:pStyle w:val="xBeteckning1"/>
            </w:pPr>
          </w:p>
        </w:tc>
      </w:tr>
      <w:tr w:rsidR="00E023D9" w14:paraId="78829561" w14:textId="77777777">
        <w:trPr>
          <w:cantSplit/>
          <w:trHeight w:val="238"/>
        </w:trPr>
        <w:tc>
          <w:tcPr>
            <w:tcW w:w="861" w:type="dxa"/>
            <w:vMerge/>
          </w:tcPr>
          <w:p w14:paraId="201D61D0" w14:textId="77777777" w:rsidR="00E023D9" w:rsidRDefault="00E023D9">
            <w:pPr>
              <w:pStyle w:val="xLedtext"/>
            </w:pPr>
          </w:p>
        </w:tc>
        <w:tc>
          <w:tcPr>
            <w:tcW w:w="4448" w:type="dxa"/>
            <w:vAlign w:val="bottom"/>
          </w:tcPr>
          <w:p w14:paraId="223E2110" w14:textId="77777777" w:rsidR="00E023D9" w:rsidRDefault="00E023D9">
            <w:pPr>
              <w:pStyle w:val="xLedtext"/>
            </w:pPr>
          </w:p>
        </w:tc>
        <w:tc>
          <w:tcPr>
            <w:tcW w:w="1725" w:type="dxa"/>
            <w:vAlign w:val="bottom"/>
          </w:tcPr>
          <w:p w14:paraId="448714A4" w14:textId="77777777" w:rsidR="00E023D9" w:rsidRDefault="00E023D9">
            <w:pPr>
              <w:pStyle w:val="xLedtext"/>
            </w:pPr>
          </w:p>
        </w:tc>
        <w:tc>
          <w:tcPr>
            <w:tcW w:w="2563" w:type="dxa"/>
            <w:vAlign w:val="bottom"/>
          </w:tcPr>
          <w:p w14:paraId="0D2FA967" w14:textId="77777777" w:rsidR="00E023D9" w:rsidRDefault="00E023D9">
            <w:pPr>
              <w:pStyle w:val="xLedtext"/>
            </w:pPr>
          </w:p>
        </w:tc>
      </w:tr>
      <w:tr w:rsidR="00E023D9" w14:paraId="3B259B93" w14:textId="77777777">
        <w:trPr>
          <w:cantSplit/>
          <w:trHeight w:val="238"/>
        </w:trPr>
        <w:tc>
          <w:tcPr>
            <w:tcW w:w="861" w:type="dxa"/>
            <w:vMerge/>
            <w:tcBorders>
              <w:bottom w:val="single" w:sz="4" w:space="0" w:color="auto"/>
            </w:tcBorders>
          </w:tcPr>
          <w:p w14:paraId="44A99696" w14:textId="77777777" w:rsidR="00E023D9" w:rsidRDefault="00E023D9">
            <w:pPr>
              <w:pStyle w:val="xAvsandare3"/>
            </w:pPr>
          </w:p>
        </w:tc>
        <w:tc>
          <w:tcPr>
            <w:tcW w:w="4448" w:type="dxa"/>
            <w:tcBorders>
              <w:bottom w:val="single" w:sz="4" w:space="0" w:color="auto"/>
            </w:tcBorders>
            <w:vAlign w:val="center"/>
          </w:tcPr>
          <w:p w14:paraId="3902C525" w14:textId="77777777" w:rsidR="00E023D9" w:rsidRDefault="00E023D9">
            <w:pPr>
              <w:pStyle w:val="xAvsandare3"/>
            </w:pPr>
          </w:p>
        </w:tc>
        <w:tc>
          <w:tcPr>
            <w:tcW w:w="1725" w:type="dxa"/>
            <w:tcBorders>
              <w:bottom w:val="single" w:sz="4" w:space="0" w:color="auto"/>
            </w:tcBorders>
            <w:vAlign w:val="center"/>
          </w:tcPr>
          <w:p w14:paraId="3A51EF50" w14:textId="77777777" w:rsidR="00E023D9" w:rsidRDefault="00E023D9">
            <w:pPr>
              <w:pStyle w:val="xDatum2"/>
            </w:pPr>
          </w:p>
        </w:tc>
        <w:tc>
          <w:tcPr>
            <w:tcW w:w="2563" w:type="dxa"/>
            <w:tcBorders>
              <w:bottom w:val="single" w:sz="4" w:space="0" w:color="auto"/>
            </w:tcBorders>
            <w:vAlign w:val="center"/>
          </w:tcPr>
          <w:p w14:paraId="7456A5DA" w14:textId="77777777" w:rsidR="00E023D9" w:rsidRDefault="00E023D9">
            <w:pPr>
              <w:pStyle w:val="xBeteckning2"/>
            </w:pPr>
          </w:p>
        </w:tc>
      </w:tr>
      <w:tr w:rsidR="00E023D9" w14:paraId="12CCC6FE" w14:textId="77777777">
        <w:trPr>
          <w:cantSplit/>
          <w:trHeight w:val="238"/>
        </w:trPr>
        <w:tc>
          <w:tcPr>
            <w:tcW w:w="861" w:type="dxa"/>
            <w:tcBorders>
              <w:top w:val="single" w:sz="4" w:space="0" w:color="auto"/>
            </w:tcBorders>
            <w:vAlign w:val="bottom"/>
          </w:tcPr>
          <w:p w14:paraId="2CCE2827" w14:textId="77777777" w:rsidR="00E023D9" w:rsidRDefault="00E023D9">
            <w:pPr>
              <w:pStyle w:val="xLedtext"/>
            </w:pPr>
          </w:p>
        </w:tc>
        <w:tc>
          <w:tcPr>
            <w:tcW w:w="4448" w:type="dxa"/>
            <w:tcBorders>
              <w:top w:val="single" w:sz="4" w:space="0" w:color="auto"/>
            </w:tcBorders>
            <w:vAlign w:val="bottom"/>
          </w:tcPr>
          <w:p w14:paraId="7BE71A29" w14:textId="77777777" w:rsidR="00E023D9" w:rsidRDefault="00E023D9">
            <w:pPr>
              <w:pStyle w:val="xLedtext"/>
            </w:pPr>
          </w:p>
        </w:tc>
        <w:tc>
          <w:tcPr>
            <w:tcW w:w="4288" w:type="dxa"/>
            <w:gridSpan w:val="2"/>
            <w:tcBorders>
              <w:top w:val="single" w:sz="4" w:space="0" w:color="auto"/>
            </w:tcBorders>
            <w:vAlign w:val="bottom"/>
          </w:tcPr>
          <w:p w14:paraId="6BE3875C" w14:textId="77777777" w:rsidR="00E023D9" w:rsidRDefault="00E023D9">
            <w:pPr>
              <w:pStyle w:val="xLedtext"/>
            </w:pPr>
          </w:p>
        </w:tc>
      </w:tr>
    </w:tbl>
    <w:p w14:paraId="54FAA768" w14:textId="77777777" w:rsidR="00E023D9" w:rsidRDefault="00E023D9">
      <w:pPr>
        <w:rPr>
          <w:b/>
          <w:bCs/>
        </w:rPr>
        <w:sectPr w:rsidR="00E023D9">
          <w:footerReference w:type="even" r:id="rId10"/>
          <w:footerReference w:type="default" r:id="rId11"/>
          <w:pgSz w:w="11906" w:h="16838" w:code="9"/>
          <w:pgMar w:top="567" w:right="1134" w:bottom="1418" w:left="1191" w:header="624" w:footer="851" w:gutter="0"/>
          <w:cols w:space="708"/>
          <w:docGrid w:linePitch="360"/>
        </w:sectPr>
      </w:pPr>
    </w:p>
    <w:p w14:paraId="2EF53645" w14:textId="5915D71E" w:rsidR="00E023D9" w:rsidRDefault="00E023D9">
      <w:pPr>
        <w:pStyle w:val="ArendeOverRubrik"/>
      </w:pPr>
      <w:r>
        <w:t xml:space="preserve">Parallelltexter till landskapsregeringens </w:t>
      </w:r>
      <w:r w:rsidR="00B65080">
        <w:t>la</w:t>
      </w:r>
      <w:r w:rsidR="0098299B">
        <w:t>g</w:t>
      </w:r>
      <w:r w:rsidR="00B65080">
        <w:t>förslag</w:t>
      </w:r>
    </w:p>
    <w:p w14:paraId="2413AF70" w14:textId="53CF8104" w:rsidR="009C2E19" w:rsidRPr="00C364A3" w:rsidRDefault="009C2E19" w:rsidP="009C2E19">
      <w:pPr>
        <w:pStyle w:val="ArendeRubrik"/>
      </w:pPr>
      <w:r>
        <w:t>Ändring av landskapslagen om s</w:t>
      </w:r>
      <w:r w:rsidRPr="00C364A3">
        <w:t>töd för hållbart skogsbruk</w:t>
      </w:r>
    </w:p>
    <w:p w14:paraId="102FC7B7" w14:textId="223E3168" w:rsidR="00E023D9" w:rsidRDefault="00E023D9">
      <w:pPr>
        <w:pStyle w:val="ArendeRubrik"/>
      </w:pPr>
    </w:p>
    <w:p w14:paraId="140D785F" w14:textId="31B81366" w:rsidR="00E023D9" w:rsidRPr="00B65080" w:rsidRDefault="00E023D9">
      <w:pPr>
        <w:pStyle w:val="ArendeUnderRubrik"/>
        <w:rPr>
          <w:color w:val="000000" w:themeColor="text1"/>
        </w:rPr>
      </w:pPr>
      <w:r>
        <w:t xml:space="preserve">Landskapsregeringens </w:t>
      </w:r>
      <w:r w:rsidR="00B65080">
        <w:t>la</w:t>
      </w:r>
      <w:r w:rsidR="0098299B">
        <w:t>g</w:t>
      </w:r>
      <w:r w:rsidR="00B65080">
        <w:t>förslag</w:t>
      </w:r>
      <w:r>
        <w:t xml:space="preserve"> nr </w:t>
      </w:r>
      <w:r w:rsidR="002567A0">
        <w:t>37</w:t>
      </w:r>
      <w:r w:rsidRPr="00B65080">
        <w:rPr>
          <w:color w:val="000000" w:themeColor="text1"/>
        </w:rPr>
        <w:t>/</w:t>
      </w:r>
      <w:proofErr w:type="gramStart"/>
      <w:r w:rsidRPr="00B65080">
        <w:rPr>
          <w:color w:val="000000" w:themeColor="text1"/>
        </w:rPr>
        <w:t>20</w:t>
      </w:r>
      <w:r w:rsidR="009677A7" w:rsidRPr="00B65080">
        <w:rPr>
          <w:color w:val="000000" w:themeColor="text1"/>
        </w:rPr>
        <w:t>19</w:t>
      </w:r>
      <w:r w:rsidRPr="00B65080">
        <w:rPr>
          <w:color w:val="000000" w:themeColor="text1"/>
        </w:rPr>
        <w:t>-20</w:t>
      </w:r>
      <w:r w:rsidR="009677A7" w:rsidRPr="00B65080">
        <w:rPr>
          <w:color w:val="000000" w:themeColor="text1"/>
        </w:rPr>
        <w:t>20</w:t>
      </w:r>
      <w:proofErr w:type="gramEnd"/>
    </w:p>
    <w:p w14:paraId="63CF9386" w14:textId="77777777" w:rsidR="00E023D9" w:rsidRDefault="00E023D9">
      <w:pPr>
        <w:pStyle w:val="ANormal"/>
      </w:pPr>
    </w:p>
    <w:p w14:paraId="2D5B72AB" w14:textId="77777777" w:rsidR="00E023D9" w:rsidRDefault="00E023D9">
      <w:pPr>
        <w:pStyle w:val="Innehll1"/>
      </w:pPr>
      <w:r>
        <w:t>INNEHÅLL</w:t>
      </w:r>
    </w:p>
    <w:p w14:paraId="0DBC3789" w14:textId="2DB713EB" w:rsidR="002824B8" w:rsidRDefault="00E023D9">
      <w:pPr>
        <w:pStyle w:val="Innehll1"/>
        <w:rPr>
          <w:rFonts w:asciiTheme="minorHAnsi" w:eastAsiaTheme="minorEastAsia" w:hAnsiTheme="minorHAnsi" w:cstheme="minorBidi"/>
          <w:sz w:val="22"/>
          <w:szCs w:val="22"/>
          <w:lang w:val="sv-FI" w:eastAsia="sv-FI"/>
        </w:rPr>
      </w:pPr>
      <w:r>
        <w:fldChar w:fldCharType="begin"/>
      </w:r>
      <w:r>
        <w:instrText xml:space="preserve"> TOC \o "1-1" \h \z \t "LagHuvRubr;1" </w:instrText>
      </w:r>
      <w:r>
        <w:fldChar w:fldCharType="separate"/>
      </w:r>
      <w:hyperlink w:anchor="_Toc50375755" w:history="1">
        <w:r w:rsidR="002824B8" w:rsidRPr="003B1E58">
          <w:rPr>
            <w:rStyle w:val="Hyperlnk"/>
            <w:lang w:val="sv-FI"/>
          </w:rPr>
          <w:t>L A N D S K A P S L A G om ändring av landskapslagen om stöd för hållbart skogsbruk</w:t>
        </w:r>
        <w:r w:rsidR="002824B8">
          <w:rPr>
            <w:webHidden/>
          </w:rPr>
          <w:tab/>
        </w:r>
        <w:r w:rsidR="002824B8">
          <w:rPr>
            <w:webHidden/>
          </w:rPr>
          <w:fldChar w:fldCharType="begin"/>
        </w:r>
        <w:r w:rsidR="002824B8">
          <w:rPr>
            <w:webHidden/>
          </w:rPr>
          <w:instrText xml:space="preserve"> PAGEREF _Toc50375755 \h </w:instrText>
        </w:r>
        <w:r w:rsidR="002824B8">
          <w:rPr>
            <w:webHidden/>
          </w:rPr>
        </w:r>
        <w:r w:rsidR="002824B8">
          <w:rPr>
            <w:webHidden/>
          </w:rPr>
          <w:fldChar w:fldCharType="separate"/>
        </w:r>
        <w:r w:rsidR="00F27949">
          <w:rPr>
            <w:webHidden/>
          </w:rPr>
          <w:t>1</w:t>
        </w:r>
        <w:r w:rsidR="002824B8">
          <w:rPr>
            <w:webHidden/>
          </w:rPr>
          <w:fldChar w:fldCharType="end"/>
        </w:r>
      </w:hyperlink>
    </w:p>
    <w:p w14:paraId="4F5AAE13" w14:textId="08AB2996"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64D4E5D1" w14:textId="77777777" w:rsidR="00E023D9" w:rsidRDefault="00E023D9">
      <w:pPr>
        <w:pStyle w:val="ANormal"/>
        <w:rPr>
          <w:noProof/>
        </w:rPr>
      </w:pPr>
    </w:p>
    <w:p w14:paraId="3FDB6E51" w14:textId="6248A7A1" w:rsidR="00E023D9" w:rsidRPr="00A66F7C" w:rsidRDefault="00E023D9">
      <w:pPr>
        <w:pStyle w:val="LagHuvRubr"/>
        <w:rPr>
          <w:lang w:val="sv-FI"/>
        </w:rPr>
      </w:pPr>
      <w:bookmarkStart w:id="0" w:name="_Toc500921111"/>
      <w:bookmarkStart w:id="1" w:name="_Toc528640435"/>
      <w:bookmarkStart w:id="2" w:name="_Toc50375755"/>
      <w:r w:rsidRPr="00A66F7C">
        <w:rPr>
          <w:lang w:val="sv-FI"/>
        </w:rPr>
        <w:t>L A N D S K A P S L A G</w:t>
      </w:r>
      <w:r w:rsidRPr="00A66F7C">
        <w:rPr>
          <w:lang w:val="sv-FI"/>
        </w:rPr>
        <w:br/>
        <w:t>om</w:t>
      </w:r>
      <w:bookmarkEnd w:id="0"/>
      <w:bookmarkEnd w:id="1"/>
      <w:r w:rsidR="009C2E19" w:rsidRPr="00A66F7C">
        <w:rPr>
          <w:lang w:val="sv-FI"/>
        </w:rPr>
        <w:t xml:space="preserve"> ändring av landskapslagen om stöd för hållbart skogsbruk</w:t>
      </w:r>
      <w:bookmarkEnd w:id="2"/>
    </w:p>
    <w:p w14:paraId="6023FF67" w14:textId="06BD3145" w:rsidR="00E023D9" w:rsidRPr="00A66F7C" w:rsidRDefault="00E023D9">
      <w:pPr>
        <w:pStyle w:val="ANormal"/>
        <w:rPr>
          <w:lang w:val="sv-FI"/>
        </w:rPr>
      </w:pPr>
    </w:p>
    <w:p w14:paraId="77AE51CB" w14:textId="77777777" w:rsidR="003B7652" w:rsidRDefault="003B7652" w:rsidP="003B7652">
      <w:pPr>
        <w:pStyle w:val="ANormal"/>
      </w:pPr>
      <w:r>
        <w:tab/>
      </w:r>
      <w:r w:rsidRPr="003A3443">
        <w:t>I enlighet med lagtingets beslut</w:t>
      </w:r>
    </w:p>
    <w:p w14:paraId="7584D4F9" w14:textId="3AEAB19C" w:rsidR="003B7652" w:rsidRPr="00BF6785" w:rsidRDefault="003B7652" w:rsidP="003B7652">
      <w:pPr>
        <w:pStyle w:val="ANormal"/>
        <w:rPr>
          <w:b/>
          <w:bCs/>
        </w:rPr>
      </w:pPr>
      <w:r>
        <w:tab/>
      </w:r>
      <w:r>
        <w:rPr>
          <w:b/>
          <w:bCs/>
        </w:rPr>
        <w:t xml:space="preserve">upphävs </w:t>
      </w:r>
      <w:r w:rsidRPr="00A17B4E">
        <w:t>24</w:t>
      </w:r>
      <w:r w:rsidR="002567A0">
        <w:t> §</w:t>
      </w:r>
      <w:r w:rsidRPr="00A17B4E">
        <w:t xml:space="preserve"> 2</w:t>
      </w:r>
      <w:r w:rsidR="002567A0">
        <w:t> mom.</w:t>
      </w:r>
      <w:r>
        <w:rPr>
          <w:b/>
          <w:bCs/>
        </w:rPr>
        <w:t xml:space="preserve"> </w:t>
      </w:r>
      <w:r>
        <w:t>landskapslagen (2015:32) om stöd för hållbart skogsbruk</w:t>
      </w:r>
    </w:p>
    <w:p w14:paraId="2317E269" w14:textId="7FB5F6C3" w:rsidR="009C2E19" w:rsidRPr="00A66F7C" w:rsidRDefault="003B7652" w:rsidP="003B7652">
      <w:pPr>
        <w:pStyle w:val="ANormal"/>
        <w:rPr>
          <w:lang w:val="sv-FI"/>
        </w:rPr>
      </w:pPr>
      <w:r>
        <w:tab/>
      </w:r>
      <w:r w:rsidRPr="002325E2">
        <w:rPr>
          <w:b/>
          <w:bCs/>
        </w:rPr>
        <w:t>ändras</w:t>
      </w:r>
      <w:r>
        <w:t xml:space="preserve"> lagens 1</w:t>
      </w:r>
      <w:r w:rsidR="002567A0">
        <w:t> §</w:t>
      </w:r>
      <w:r>
        <w:t xml:space="preserve"> 2</w:t>
      </w:r>
      <w:r w:rsidR="002567A0">
        <w:t> mom.</w:t>
      </w:r>
      <w:r w:rsidRPr="005C6384">
        <w:rPr>
          <w:color w:val="000000" w:themeColor="text1"/>
        </w:rPr>
        <w:t xml:space="preserve"> och 23</w:t>
      </w:r>
      <w:r w:rsidR="002567A0">
        <w:t> §</w:t>
      </w:r>
      <w:r>
        <w:t xml:space="preserve"> 1</w:t>
      </w:r>
      <w:r w:rsidR="002567A0">
        <w:t> mom.</w:t>
      </w:r>
      <w:r>
        <w:t xml:space="preserve"> som följer:</w:t>
      </w:r>
    </w:p>
    <w:p w14:paraId="6009F46C" w14:textId="77777777" w:rsidR="00E023D9" w:rsidRPr="00A66F7C" w:rsidRDefault="00E023D9">
      <w:pPr>
        <w:pStyle w:val="ANormal"/>
        <w:rPr>
          <w:lang w:val="sv-FI"/>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323E318B" w14:textId="77777777" w:rsidTr="00BF313F">
        <w:tc>
          <w:tcPr>
            <w:tcW w:w="2427" w:type="pct"/>
          </w:tcPr>
          <w:p w14:paraId="78F2C38C" w14:textId="77777777" w:rsidR="00E023D9" w:rsidRDefault="00E023D9">
            <w:pPr>
              <w:pStyle w:val="xCelltext"/>
              <w:jc w:val="center"/>
            </w:pPr>
            <w:r>
              <w:t>Gällande lydelse</w:t>
            </w:r>
          </w:p>
        </w:tc>
        <w:tc>
          <w:tcPr>
            <w:tcW w:w="146" w:type="pct"/>
          </w:tcPr>
          <w:p w14:paraId="1444DCC8" w14:textId="77777777" w:rsidR="00E023D9" w:rsidRDefault="00E023D9">
            <w:pPr>
              <w:pStyle w:val="xCelltext"/>
              <w:jc w:val="center"/>
            </w:pPr>
          </w:p>
        </w:tc>
        <w:tc>
          <w:tcPr>
            <w:tcW w:w="2427" w:type="pct"/>
          </w:tcPr>
          <w:p w14:paraId="30D68F24" w14:textId="77777777" w:rsidR="00E023D9" w:rsidRDefault="00E023D9">
            <w:pPr>
              <w:pStyle w:val="xCelltext"/>
              <w:jc w:val="center"/>
            </w:pPr>
            <w:r>
              <w:t>Föreslagen lydelse</w:t>
            </w:r>
          </w:p>
        </w:tc>
      </w:tr>
      <w:tr w:rsidR="00E023D9" w14:paraId="682422E2" w14:textId="77777777" w:rsidTr="00BF313F">
        <w:tc>
          <w:tcPr>
            <w:tcW w:w="2427" w:type="pct"/>
          </w:tcPr>
          <w:p w14:paraId="16FF76B1" w14:textId="77777777" w:rsidR="00E023D9" w:rsidRDefault="00E023D9">
            <w:pPr>
              <w:pStyle w:val="ANormal"/>
            </w:pPr>
          </w:p>
          <w:p w14:paraId="033F875A" w14:textId="6101993A" w:rsidR="00E023D9" w:rsidRDefault="00520CE8">
            <w:pPr>
              <w:pStyle w:val="LagParagraf"/>
            </w:pPr>
            <w:r>
              <w:t>1</w:t>
            </w:r>
            <w:r w:rsidR="002567A0">
              <w:t> §</w:t>
            </w:r>
          </w:p>
          <w:p w14:paraId="44482113" w14:textId="77777777" w:rsidR="00520CE8" w:rsidRDefault="00520CE8" w:rsidP="00520CE8">
            <w:pPr>
              <w:pStyle w:val="LagPararubrik"/>
            </w:pPr>
            <w:r>
              <w:t>Syfte</w:t>
            </w:r>
          </w:p>
          <w:p w14:paraId="7950C0A9" w14:textId="77777777" w:rsidR="00520CE8" w:rsidRDefault="00520CE8" w:rsidP="00520CE8">
            <w:r>
              <w:t xml:space="preserve">- - - - - - - - - - - - - - - - - - - - - - - - - - - </w:t>
            </w:r>
          </w:p>
          <w:p w14:paraId="61792BEE" w14:textId="38112F34" w:rsidR="003D0121" w:rsidRPr="00CA326C" w:rsidRDefault="00520CE8" w:rsidP="00CA326C">
            <w:pPr>
              <w:tabs>
                <w:tab w:val="left" w:pos="255"/>
              </w:tabs>
              <w:ind w:firstLine="284"/>
              <w:jc w:val="both"/>
              <w:rPr>
                <w:sz w:val="22"/>
                <w:szCs w:val="22"/>
              </w:rPr>
            </w:pPr>
            <w:r w:rsidRPr="00520CE8">
              <w:rPr>
                <w:sz w:val="22"/>
                <w:szCs w:val="22"/>
              </w:rPr>
              <w:t xml:space="preserve">Stöd </w:t>
            </w:r>
            <w:r>
              <w:rPr>
                <w:sz w:val="22"/>
                <w:szCs w:val="22"/>
              </w:rPr>
              <w:t xml:space="preserve">kan beviljas i enlighet med bestämmelserna om </w:t>
            </w:r>
            <w:r w:rsidRPr="00A441DC">
              <w:rPr>
                <w:i/>
                <w:iCs/>
                <w:sz w:val="22"/>
                <w:szCs w:val="22"/>
              </w:rPr>
              <w:t>stöd av mindre betydelse</w:t>
            </w:r>
            <w:r>
              <w:rPr>
                <w:sz w:val="22"/>
                <w:szCs w:val="22"/>
              </w:rPr>
              <w:t xml:space="preserve"> (de </w:t>
            </w:r>
            <w:proofErr w:type="spellStart"/>
            <w:r>
              <w:rPr>
                <w:sz w:val="22"/>
                <w:szCs w:val="22"/>
              </w:rPr>
              <w:t>minimis</w:t>
            </w:r>
            <w:proofErr w:type="spellEnd"/>
            <w:r>
              <w:rPr>
                <w:sz w:val="22"/>
                <w:szCs w:val="22"/>
              </w:rPr>
              <w:t>) som avses i den Europeiska</w:t>
            </w:r>
            <w:r w:rsidR="00A441DC">
              <w:rPr>
                <w:sz w:val="22"/>
                <w:szCs w:val="22"/>
              </w:rPr>
              <w:t xml:space="preserve"> kommissionens förordning (EU) nr 1407/2013 om tillämpningen av artiklarna 107 och 108 i fördraget om Europeiska unionens funktionssätt på stöd av mindre betydelse.</w:t>
            </w:r>
          </w:p>
        </w:tc>
        <w:tc>
          <w:tcPr>
            <w:tcW w:w="146" w:type="pct"/>
          </w:tcPr>
          <w:p w14:paraId="00973C2E" w14:textId="77777777" w:rsidR="00E023D9" w:rsidRDefault="00E023D9">
            <w:pPr>
              <w:pStyle w:val="ANormal"/>
            </w:pPr>
          </w:p>
        </w:tc>
        <w:tc>
          <w:tcPr>
            <w:tcW w:w="2427" w:type="pct"/>
          </w:tcPr>
          <w:p w14:paraId="44EC67B5" w14:textId="77777777" w:rsidR="00E023D9" w:rsidRDefault="00E023D9">
            <w:pPr>
              <w:pStyle w:val="ANormal"/>
            </w:pPr>
          </w:p>
          <w:p w14:paraId="3625F547" w14:textId="252DA561" w:rsidR="00E023D9" w:rsidRDefault="00A441DC">
            <w:pPr>
              <w:pStyle w:val="LagParagraf"/>
            </w:pPr>
            <w:r>
              <w:t>1</w:t>
            </w:r>
            <w:r w:rsidR="002567A0">
              <w:t> §</w:t>
            </w:r>
          </w:p>
          <w:p w14:paraId="2B2A23EF" w14:textId="77777777" w:rsidR="00A441DC" w:rsidRDefault="00A441DC" w:rsidP="00A441DC">
            <w:pPr>
              <w:pStyle w:val="LagPararubrik"/>
              <w:rPr>
                <w:i w:val="0"/>
                <w:iCs w:val="0"/>
              </w:rPr>
            </w:pPr>
            <w:r>
              <w:t>Syfte</w:t>
            </w:r>
          </w:p>
          <w:p w14:paraId="15FFBA0A" w14:textId="77777777" w:rsidR="00A441DC" w:rsidRDefault="00A441DC" w:rsidP="00A441DC">
            <w:pPr>
              <w:pStyle w:val="ANormal"/>
            </w:pPr>
            <w:r>
              <w:t>- - - - - - - - - - - - - - - - - - - - - - - - - - - - - -</w:t>
            </w:r>
          </w:p>
          <w:p w14:paraId="1EB63135" w14:textId="220E295D" w:rsidR="002824B8" w:rsidRPr="00CA326C" w:rsidRDefault="002824B8" w:rsidP="00AE16BD">
            <w:pPr>
              <w:pStyle w:val="ANormal"/>
              <w:rPr>
                <w:b/>
                <w:bCs/>
                <w:color w:val="000000" w:themeColor="text1"/>
              </w:rPr>
            </w:pPr>
            <w:r w:rsidRPr="002824B8">
              <w:rPr>
                <w:b/>
                <w:bCs/>
                <w:color w:val="000000" w:themeColor="text1"/>
              </w:rPr>
              <w:tab/>
              <w:t xml:space="preserve">Vid beviljande av stöd ska iakttas vad som bestäms i den Europeiska unionens vid varje tidpunkt gällande bestämmelser om stöd av mindre betydelse (de </w:t>
            </w:r>
            <w:proofErr w:type="spellStart"/>
            <w:r w:rsidRPr="002824B8">
              <w:rPr>
                <w:b/>
                <w:bCs/>
                <w:color w:val="000000" w:themeColor="text1"/>
              </w:rPr>
              <w:t>minimis</w:t>
            </w:r>
            <w:proofErr w:type="spellEnd"/>
            <w:r w:rsidRPr="002824B8">
              <w:rPr>
                <w:b/>
                <w:bCs/>
                <w:color w:val="000000" w:themeColor="text1"/>
              </w:rPr>
              <w:t>).</w:t>
            </w:r>
          </w:p>
          <w:p w14:paraId="3C537108" w14:textId="0C77321E" w:rsidR="003D0121" w:rsidRPr="003D0121" w:rsidRDefault="003D0121" w:rsidP="00AE16BD">
            <w:pPr>
              <w:pStyle w:val="ANormal"/>
            </w:pPr>
          </w:p>
        </w:tc>
      </w:tr>
      <w:tr w:rsidR="00E023D9" w14:paraId="68634EBD" w14:textId="77777777" w:rsidTr="00BF313F">
        <w:tc>
          <w:tcPr>
            <w:tcW w:w="2427" w:type="pct"/>
          </w:tcPr>
          <w:p w14:paraId="101AA4FE" w14:textId="77777777" w:rsidR="003D0121" w:rsidRDefault="003D0121">
            <w:pPr>
              <w:pStyle w:val="ANormal"/>
            </w:pPr>
          </w:p>
          <w:p w14:paraId="56EDD9B3" w14:textId="0184EA27" w:rsidR="00E023D9" w:rsidRDefault="003D0121">
            <w:pPr>
              <w:pStyle w:val="LagParagraf"/>
            </w:pPr>
            <w:r>
              <w:t>23</w:t>
            </w:r>
            <w:r w:rsidR="002567A0">
              <w:t> §</w:t>
            </w:r>
          </w:p>
          <w:p w14:paraId="37975D4D" w14:textId="1907FBD5" w:rsidR="003D0121" w:rsidRPr="00CA326C" w:rsidRDefault="003D0121" w:rsidP="00CA326C">
            <w:pPr>
              <w:pStyle w:val="LagPararubrik"/>
              <w:rPr>
                <w:i w:val="0"/>
                <w:iCs w:val="0"/>
              </w:rPr>
            </w:pPr>
            <w:r>
              <w:t>Ikraftträdande</w:t>
            </w:r>
          </w:p>
          <w:p w14:paraId="7FEED024" w14:textId="77777777" w:rsidR="001550BF" w:rsidRPr="00432423" w:rsidRDefault="001550BF" w:rsidP="001550BF">
            <w:pPr>
              <w:pStyle w:val="ANormal"/>
              <w:ind w:firstLine="284"/>
              <w:rPr>
                <w:b/>
                <w:bCs/>
              </w:rPr>
            </w:pPr>
            <w:r>
              <w:t xml:space="preserve">Denna lag träder i kraft den 1 juli 2015 </w:t>
            </w:r>
            <w:r w:rsidRPr="00432423">
              <w:rPr>
                <w:b/>
                <w:bCs/>
              </w:rPr>
              <w:t>och gäller till och med den 31 december 2020</w:t>
            </w:r>
            <w:r>
              <w:t xml:space="preserve">. </w:t>
            </w:r>
            <w:r w:rsidRPr="00432423">
              <w:rPr>
                <w:b/>
                <w:bCs/>
              </w:rPr>
              <w:t>Åtgärder som lagen förutsätter får vidtas innan den har trätt i kraft.</w:t>
            </w:r>
          </w:p>
          <w:p w14:paraId="3F3E3D80" w14:textId="2E7A556B" w:rsidR="001550BF" w:rsidRPr="003D0121" w:rsidRDefault="001550BF" w:rsidP="001550BF">
            <w:pPr>
              <w:pStyle w:val="ANormal"/>
            </w:pPr>
            <w:r>
              <w:t>- - - - - - - - - - - - - - - - - - - - - - - - - - - - - -</w:t>
            </w:r>
          </w:p>
        </w:tc>
        <w:tc>
          <w:tcPr>
            <w:tcW w:w="146" w:type="pct"/>
          </w:tcPr>
          <w:p w14:paraId="51CA2D11" w14:textId="77777777" w:rsidR="00E023D9" w:rsidRDefault="00E023D9">
            <w:pPr>
              <w:pStyle w:val="ANormal"/>
            </w:pPr>
          </w:p>
        </w:tc>
        <w:tc>
          <w:tcPr>
            <w:tcW w:w="2427" w:type="pct"/>
          </w:tcPr>
          <w:p w14:paraId="542FCFA6" w14:textId="77777777" w:rsidR="00E023D9" w:rsidRDefault="00E023D9">
            <w:pPr>
              <w:pStyle w:val="ANormal"/>
            </w:pPr>
          </w:p>
          <w:p w14:paraId="516C98D4" w14:textId="175D1EBE" w:rsidR="00E023D9" w:rsidRDefault="001550BF">
            <w:pPr>
              <w:pStyle w:val="LagParagraf"/>
            </w:pPr>
            <w:r>
              <w:t>23</w:t>
            </w:r>
            <w:r w:rsidR="002567A0">
              <w:t> §</w:t>
            </w:r>
          </w:p>
          <w:p w14:paraId="446B0612" w14:textId="15AE786F" w:rsidR="001550BF" w:rsidRDefault="001550BF" w:rsidP="00CA326C">
            <w:pPr>
              <w:pStyle w:val="LagPararubrik"/>
              <w:rPr>
                <w:i w:val="0"/>
                <w:iCs w:val="0"/>
              </w:rPr>
            </w:pPr>
            <w:r>
              <w:t>Ikraftträdande</w:t>
            </w:r>
          </w:p>
          <w:p w14:paraId="0C67A843" w14:textId="6DFDBCA6" w:rsidR="000B5D41" w:rsidRDefault="001550BF" w:rsidP="000B5D41">
            <w:pPr>
              <w:pStyle w:val="ANormal"/>
              <w:ind w:firstLine="376"/>
              <w:rPr>
                <w:b/>
                <w:bCs/>
                <w:i/>
                <w:iCs/>
                <w:color w:val="000000" w:themeColor="text1"/>
              </w:rPr>
            </w:pPr>
            <w:r w:rsidRPr="002824B8">
              <w:t xml:space="preserve">Denna lag träder i </w:t>
            </w:r>
            <w:r w:rsidRPr="00E34CD4">
              <w:t xml:space="preserve">kraft den </w:t>
            </w:r>
            <w:r w:rsidR="000B5D41" w:rsidRPr="00E34CD4">
              <w:rPr>
                <w:color w:val="000000" w:themeColor="text1"/>
              </w:rPr>
              <w:t>1 juli 2015</w:t>
            </w:r>
            <w:r w:rsidR="000B5D41" w:rsidRPr="002824B8">
              <w:rPr>
                <w:b/>
                <w:bCs/>
                <w:color w:val="000000" w:themeColor="text1"/>
              </w:rPr>
              <w:t xml:space="preserve"> </w:t>
            </w:r>
            <w:r w:rsidR="000B5D41" w:rsidRPr="00E34CD4">
              <w:rPr>
                <w:i/>
                <w:iCs/>
                <w:color w:val="000000" w:themeColor="text1"/>
              </w:rPr>
              <w:t>(uteslutning)</w:t>
            </w:r>
            <w:r w:rsidR="000B5D41" w:rsidRPr="00E34CD4">
              <w:rPr>
                <w:color w:val="000000" w:themeColor="text1"/>
              </w:rPr>
              <w:t xml:space="preserve">. </w:t>
            </w:r>
            <w:r w:rsidR="000B5D41" w:rsidRPr="00E34CD4">
              <w:rPr>
                <w:i/>
                <w:iCs/>
                <w:color w:val="000000" w:themeColor="text1"/>
              </w:rPr>
              <w:t>(Uteslutning).</w:t>
            </w:r>
          </w:p>
          <w:p w14:paraId="3A3B0E63" w14:textId="40C594CB" w:rsidR="002824B8" w:rsidRDefault="002824B8" w:rsidP="002824B8">
            <w:pPr>
              <w:pStyle w:val="ANormal"/>
              <w:rPr>
                <w:b/>
                <w:bCs/>
                <w:color w:val="000000" w:themeColor="text1"/>
              </w:rPr>
            </w:pPr>
          </w:p>
          <w:p w14:paraId="76EA077C" w14:textId="77777777" w:rsidR="002824B8" w:rsidRPr="002824B8" w:rsidRDefault="002824B8" w:rsidP="002824B8">
            <w:pPr>
              <w:pStyle w:val="ANormal"/>
              <w:rPr>
                <w:b/>
                <w:bCs/>
                <w:color w:val="000000" w:themeColor="text1"/>
              </w:rPr>
            </w:pPr>
          </w:p>
          <w:p w14:paraId="493DF16A" w14:textId="5A4E8A8C" w:rsidR="001550BF" w:rsidRPr="001550BF" w:rsidRDefault="001550BF" w:rsidP="001550BF">
            <w:pPr>
              <w:pStyle w:val="ANormal"/>
            </w:pPr>
            <w:r>
              <w:t>- - - - - - - - - - - - - - - - - - - - - - - - - - - - - -</w:t>
            </w:r>
          </w:p>
        </w:tc>
      </w:tr>
      <w:tr w:rsidR="00356F8B" w14:paraId="202AA007" w14:textId="77777777" w:rsidTr="00BF313F">
        <w:tc>
          <w:tcPr>
            <w:tcW w:w="2427" w:type="pct"/>
          </w:tcPr>
          <w:p w14:paraId="43D2EC8A" w14:textId="77777777" w:rsidR="00E34CD4" w:rsidRDefault="00E34CD4" w:rsidP="00E34CD4">
            <w:pPr>
              <w:pStyle w:val="LagParagraf"/>
              <w:jc w:val="both"/>
              <w:rPr>
                <w:color w:val="000000" w:themeColor="text1"/>
              </w:rPr>
            </w:pPr>
          </w:p>
          <w:p w14:paraId="59914E6C" w14:textId="0ECB6B15" w:rsidR="00356F8B" w:rsidRPr="00356F8B" w:rsidRDefault="00356F8B" w:rsidP="00356F8B">
            <w:pPr>
              <w:pStyle w:val="LagParagraf"/>
              <w:rPr>
                <w:color w:val="000000" w:themeColor="text1"/>
              </w:rPr>
            </w:pPr>
            <w:r w:rsidRPr="00356F8B">
              <w:rPr>
                <w:color w:val="000000" w:themeColor="text1"/>
              </w:rPr>
              <w:t>24</w:t>
            </w:r>
            <w:r w:rsidR="002567A0">
              <w:rPr>
                <w:color w:val="000000" w:themeColor="text1"/>
              </w:rPr>
              <w:t> §</w:t>
            </w:r>
          </w:p>
          <w:p w14:paraId="367A745B" w14:textId="542456CB" w:rsidR="00356F8B" w:rsidRDefault="00356F8B" w:rsidP="00356F8B">
            <w:pPr>
              <w:pStyle w:val="LagPararubrik"/>
              <w:rPr>
                <w:color w:val="000000" w:themeColor="text1"/>
              </w:rPr>
            </w:pPr>
            <w:r w:rsidRPr="00356F8B">
              <w:rPr>
                <w:color w:val="000000" w:themeColor="text1"/>
              </w:rPr>
              <w:t>Övergångsbestämmelser</w:t>
            </w:r>
          </w:p>
          <w:p w14:paraId="11228B28" w14:textId="0F1A66D5" w:rsidR="00356F8B" w:rsidRPr="00356F8B" w:rsidRDefault="00356F8B" w:rsidP="00356F8B">
            <w:pPr>
              <w:pStyle w:val="ANormal"/>
            </w:pPr>
            <w:r>
              <w:t xml:space="preserve">- - - - - - - - - - - - - - - - - - - - - - - - - - - - - - </w:t>
            </w:r>
          </w:p>
          <w:p w14:paraId="6DEEC2BF" w14:textId="073A8403" w:rsidR="00356F8B" w:rsidRPr="00356F8B" w:rsidRDefault="00356F8B" w:rsidP="00356F8B">
            <w:pPr>
              <w:pStyle w:val="ANormal"/>
              <w:ind w:firstLine="284"/>
              <w:rPr>
                <w:b/>
                <w:bCs/>
                <w:color w:val="000000" w:themeColor="text1"/>
              </w:rPr>
            </w:pPr>
            <w:r w:rsidRPr="00356F8B">
              <w:rPr>
                <w:b/>
                <w:bCs/>
                <w:color w:val="000000" w:themeColor="text1"/>
              </w:rPr>
              <w:t>De villkor för stöd som har beviljats enligt denna lag är tillämpliga också efter att lagens giltighetstid har gått ut. Stöd som beviljats enligt denna lag kan betalas ut senast den 31 december 2022.</w:t>
            </w:r>
          </w:p>
        </w:tc>
        <w:tc>
          <w:tcPr>
            <w:tcW w:w="146" w:type="pct"/>
          </w:tcPr>
          <w:p w14:paraId="7BB205F4" w14:textId="77777777" w:rsidR="00356F8B" w:rsidRDefault="00356F8B" w:rsidP="00356F8B">
            <w:pPr>
              <w:pStyle w:val="ANormal"/>
            </w:pPr>
          </w:p>
        </w:tc>
        <w:tc>
          <w:tcPr>
            <w:tcW w:w="2427" w:type="pct"/>
          </w:tcPr>
          <w:p w14:paraId="65CF33A1" w14:textId="77777777" w:rsidR="00E34CD4" w:rsidRDefault="00E34CD4" w:rsidP="00E34CD4">
            <w:pPr>
              <w:pStyle w:val="LagParagraf"/>
              <w:jc w:val="both"/>
              <w:rPr>
                <w:color w:val="000000" w:themeColor="text1"/>
              </w:rPr>
            </w:pPr>
          </w:p>
          <w:p w14:paraId="6A29E88E" w14:textId="694066AE" w:rsidR="00356F8B" w:rsidRPr="00356F8B" w:rsidRDefault="00356F8B" w:rsidP="00356F8B">
            <w:pPr>
              <w:pStyle w:val="LagParagraf"/>
              <w:rPr>
                <w:color w:val="000000" w:themeColor="text1"/>
              </w:rPr>
            </w:pPr>
            <w:r w:rsidRPr="00356F8B">
              <w:rPr>
                <w:color w:val="000000" w:themeColor="text1"/>
              </w:rPr>
              <w:t>24</w:t>
            </w:r>
            <w:r w:rsidR="002567A0">
              <w:rPr>
                <w:color w:val="000000" w:themeColor="text1"/>
              </w:rPr>
              <w:t> §</w:t>
            </w:r>
          </w:p>
          <w:p w14:paraId="64CB7F01" w14:textId="07EE1E8D" w:rsidR="00356F8B" w:rsidRDefault="00356F8B" w:rsidP="00356F8B">
            <w:pPr>
              <w:pStyle w:val="LagPararubrik"/>
              <w:rPr>
                <w:color w:val="000000" w:themeColor="text1"/>
              </w:rPr>
            </w:pPr>
            <w:r w:rsidRPr="00356F8B">
              <w:rPr>
                <w:color w:val="000000" w:themeColor="text1"/>
              </w:rPr>
              <w:t>Övergångsbestämmelser</w:t>
            </w:r>
          </w:p>
          <w:p w14:paraId="1802A469" w14:textId="67E169BE" w:rsidR="00356F8B" w:rsidRDefault="00356F8B">
            <w:pPr>
              <w:pStyle w:val="ANormal"/>
            </w:pPr>
            <w:r>
              <w:t xml:space="preserve">- - - - - - - - - - - - - - - - - - - - - - - - - - - - - - </w:t>
            </w:r>
          </w:p>
          <w:p w14:paraId="779B697C" w14:textId="249BD347" w:rsidR="00356F8B" w:rsidRPr="00356F8B" w:rsidRDefault="00356F8B" w:rsidP="00356F8B">
            <w:pPr>
              <w:pStyle w:val="ANormal"/>
              <w:ind w:firstLine="376"/>
              <w:rPr>
                <w:i/>
                <w:iCs/>
                <w:color w:val="000000" w:themeColor="text1"/>
              </w:rPr>
            </w:pPr>
            <w:r>
              <w:rPr>
                <w:i/>
                <w:iCs/>
                <w:color w:val="000000" w:themeColor="text1"/>
              </w:rPr>
              <w:t>(Momentet upphävs)</w:t>
            </w:r>
          </w:p>
        </w:tc>
      </w:tr>
      <w:tr w:rsidR="00520CE8" w14:paraId="204D08A1" w14:textId="77777777" w:rsidTr="00BF313F">
        <w:tc>
          <w:tcPr>
            <w:tcW w:w="2427" w:type="pct"/>
          </w:tcPr>
          <w:p w14:paraId="2407B9A4" w14:textId="77777777" w:rsidR="00520CE8" w:rsidRDefault="00520CE8">
            <w:pPr>
              <w:pStyle w:val="ANormal"/>
            </w:pPr>
          </w:p>
        </w:tc>
        <w:tc>
          <w:tcPr>
            <w:tcW w:w="146" w:type="pct"/>
          </w:tcPr>
          <w:p w14:paraId="576992D5" w14:textId="77777777" w:rsidR="00520CE8" w:rsidRDefault="00520CE8">
            <w:pPr>
              <w:pStyle w:val="ANormal"/>
            </w:pPr>
          </w:p>
        </w:tc>
        <w:tc>
          <w:tcPr>
            <w:tcW w:w="2427" w:type="pct"/>
          </w:tcPr>
          <w:p w14:paraId="160F859A" w14:textId="4B38F880" w:rsidR="000F0C9A" w:rsidRPr="00E34CD4" w:rsidRDefault="00F27949" w:rsidP="00E34CD4">
            <w:pPr>
              <w:pStyle w:val="ANormal"/>
              <w:jc w:val="center"/>
            </w:pPr>
            <w:hyperlink w:anchor="_top" w:tooltip="Klicka för att gå till toppen av dokumentet" w:history="1">
              <w:hyperlink w:anchor="_top" w:tooltip="Klicka för att gå till toppen av dokumentet" w:history="1">
                <w:r w:rsidR="00E34CD4">
                  <w:rPr>
                    <w:rStyle w:val="Hyperlnk"/>
                  </w:rPr>
                  <w:t>__________________</w:t>
                </w:r>
              </w:hyperlink>
              <w:r w:rsidR="000F0C9A" w:rsidRPr="002824B8">
                <w:rPr>
                  <w:rStyle w:val="Hyperlnk"/>
                  <w:color w:val="000000" w:themeColor="text1"/>
                </w:rPr>
                <w:t>_</w:t>
              </w:r>
            </w:hyperlink>
          </w:p>
          <w:p w14:paraId="5E926C3C" w14:textId="6C8514F9" w:rsidR="000F0C9A" w:rsidRPr="002824B8" w:rsidRDefault="000F0C9A" w:rsidP="000F0C9A">
            <w:pPr>
              <w:tabs>
                <w:tab w:val="left" w:pos="255"/>
              </w:tabs>
              <w:ind w:firstLine="284"/>
              <w:jc w:val="both"/>
              <w:rPr>
                <w:color w:val="000000" w:themeColor="text1"/>
                <w:sz w:val="22"/>
                <w:szCs w:val="22"/>
              </w:rPr>
            </w:pPr>
          </w:p>
          <w:p w14:paraId="48827EDB" w14:textId="145587F7" w:rsidR="000F0C9A" w:rsidRDefault="000F0C9A" w:rsidP="000F0C9A">
            <w:pPr>
              <w:tabs>
                <w:tab w:val="left" w:pos="255"/>
              </w:tabs>
              <w:ind w:firstLine="284"/>
              <w:jc w:val="both"/>
              <w:rPr>
                <w:color w:val="000000" w:themeColor="text1"/>
                <w:sz w:val="22"/>
                <w:szCs w:val="22"/>
              </w:rPr>
            </w:pPr>
            <w:r w:rsidRPr="002824B8">
              <w:rPr>
                <w:color w:val="000000" w:themeColor="text1"/>
                <w:sz w:val="22"/>
                <w:szCs w:val="22"/>
              </w:rPr>
              <w:t>Denna lag träder i kraft den</w:t>
            </w:r>
          </w:p>
          <w:p w14:paraId="304DC488" w14:textId="77777777" w:rsidR="00CA326C" w:rsidRPr="002824B8" w:rsidRDefault="00CA326C" w:rsidP="000F0C9A">
            <w:pPr>
              <w:tabs>
                <w:tab w:val="left" w:pos="255"/>
              </w:tabs>
              <w:ind w:firstLine="284"/>
              <w:jc w:val="both"/>
              <w:rPr>
                <w:color w:val="000000" w:themeColor="text1"/>
                <w:sz w:val="22"/>
                <w:szCs w:val="22"/>
              </w:rPr>
            </w:pPr>
          </w:p>
          <w:p w14:paraId="0832CF72" w14:textId="5FD63E5E" w:rsidR="000F0C9A" w:rsidRDefault="00F27949" w:rsidP="00A3363A">
            <w:pPr>
              <w:pStyle w:val="ANormal"/>
              <w:jc w:val="center"/>
            </w:pPr>
            <w:hyperlink w:anchor="_top" w:tooltip="Klicka för att gå till toppen av dokumentet" w:history="1">
              <w:r w:rsidR="00106C1A">
                <w:rPr>
                  <w:rStyle w:val="Hyperlnk"/>
                </w:rPr>
                <w:t>__________________</w:t>
              </w:r>
            </w:hyperlink>
          </w:p>
        </w:tc>
      </w:tr>
    </w:tbl>
    <w:p w14:paraId="44D0A3B1" w14:textId="77777777" w:rsidR="00E023D9" w:rsidRDefault="00E023D9" w:rsidP="00106C1A">
      <w:pPr>
        <w:pStyle w:val="ANormal"/>
      </w:pPr>
    </w:p>
    <w:sectPr w:rsidR="00E023D9">
      <w:headerReference w:type="even" r:id="rId12"/>
      <w:headerReference w:type="default" r:id="rId13"/>
      <w:footerReference w:type="default" r:id="rId14"/>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B511" w14:textId="77777777" w:rsidR="00486EB7" w:rsidRDefault="00486EB7">
      <w:r>
        <w:separator/>
      </w:r>
    </w:p>
  </w:endnote>
  <w:endnote w:type="continuationSeparator" w:id="0">
    <w:p w14:paraId="312B56BC" w14:textId="77777777" w:rsidR="00486EB7" w:rsidRDefault="0048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F715"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F18CC" w14:textId="72B5A4B2" w:rsidR="00E023D9" w:rsidRDefault="00A3363A">
    <w:pPr>
      <w:pStyle w:val="Sidfot"/>
      <w:rPr>
        <w:lang w:val="fi-FI"/>
      </w:rPr>
    </w:pPr>
    <w:r>
      <w:t>LF3720192020-P.docx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72BC8"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CC0EF" w14:textId="77777777" w:rsidR="00486EB7" w:rsidRDefault="00486EB7">
      <w:r>
        <w:separator/>
      </w:r>
    </w:p>
  </w:footnote>
  <w:footnote w:type="continuationSeparator" w:id="0">
    <w:p w14:paraId="3B6509BD" w14:textId="77777777" w:rsidR="00486EB7" w:rsidRDefault="0048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4A16"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C51E31E"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45B0"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CD67ED"/>
    <w:multiLevelType w:val="hybridMultilevel"/>
    <w:tmpl w:val="255A619E"/>
    <w:lvl w:ilvl="0" w:tplc="044297C6">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ED6960"/>
    <w:multiLevelType w:val="hybridMultilevel"/>
    <w:tmpl w:val="FA0AE18A"/>
    <w:lvl w:ilvl="0" w:tplc="7DAA83E8">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2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B7"/>
    <w:rsid w:val="000B5D41"/>
    <w:rsid w:val="000E2957"/>
    <w:rsid w:val="000F0C9A"/>
    <w:rsid w:val="000F1347"/>
    <w:rsid w:val="000F58BE"/>
    <w:rsid w:val="00106C1A"/>
    <w:rsid w:val="001550BF"/>
    <w:rsid w:val="001610EB"/>
    <w:rsid w:val="002567A0"/>
    <w:rsid w:val="00262245"/>
    <w:rsid w:val="00274808"/>
    <w:rsid w:val="002824B8"/>
    <w:rsid w:val="00285A07"/>
    <w:rsid w:val="00356F8B"/>
    <w:rsid w:val="003B7652"/>
    <w:rsid w:val="003D0121"/>
    <w:rsid w:val="003E7A19"/>
    <w:rsid w:val="00407EFE"/>
    <w:rsid w:val="00411F65"/>
    <w:rsid w:val="00432423"/>
    <w:rsid w:val="00435E9C"/>
    <w:rsid w:val="0046526C"/>
    <w:rsid w:val="00486EB7"/>
    <w:rsid w:val="00505C57"/>
    <w:rsid w:val="00520CE8"/>
    <w:rsid w:val="00700BAE"/>
    <w:rsid w:val="00795095"/>
    <w:rsid w:val="00886FCE"/>
    <w:rsid w:val="009677A7"/>
    <w:rsid w:val="00975747"/>
    <w:rsid w:val="0098299B"/>
    <w:rsid w:val="009C2E19"/>
    <w:rsid w:val="00A3363A"/>
    <w:rsid w:val="00A441DC"/>
    <w:rsid w:val="00A66F7C"/>
    <w:rsid w:val="00AE16BD"/>
    <w:rsid w:val="00B43B2E"/>
    <w:rsid w:val="00B65080"/>
    <w:rsid w:val="00B8677D"/>
    <w:rsid w:val="00BF313F"/>
    <w:rsid w:val="00CA326C"/>
    <w:rsid w:val="00D13B66"/>
    <w:rsid w:val="00DC2B9C"/>
    <w:rsid w:val="00E023D9"/>
    <w:rsid w:val="00E34CD4"/>
    <w:rsid w:val="00E56678"/>
    <w:rsid w:val="00E623D7"/>
    <w:rsid w:val="00F2794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7050"/>
  <w15:chartTrackingRefBased/>
  <w15:docId w15:val="{C3B39189-E0F4-4CC4-912A-2CF0B37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Liststycke">
    <w:name w:val="List Paragraph"/>
    <w:basedOn w:val="Normal"/>
    <w:uiPriority w:val="34"/>
    <w:qFormat/>
    <w:rsid w:val="00520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AC90-CD1C-4C31-8155-97E00278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LS-Parallell.dot</Template>
  <TotalTime>1</TotalTime>
  <Pages>1</Pages>
  <Words>444</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2376</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Mikael Sandvik</dc:creator>
  <cp:keywords/>
  <dc:description/>
  <cp:lastModifiedBy>Jessica Laaksonen</cp:lastModifiedBy>
  <cp:revision>2</cp:revision>
  <cp:lastPrinted>2020-09-14T07:18:00Z</cp:lastPrinted>
  <dcterms:created xsi:type="dcterms:W3CDTF">2020-09-14T07:19:00Z</dcterms:created>
  <dcterms:modified xsi:type="dcterms:W3CDTF">2020-09-14T07:19:00Z</dcterms:modified>
</cp:coreProperties>
</file>