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3D4B6DB6" w14:textId="77777777">
        <w:trPr>
          <w:cantSplit/>
          <w:trHeight w:val="20"/>
        </w:trPr>
        <w:tc>
          <w:tcPr>
            <w:tcW w:w="861" w:type="dxa"/>
            <w:vMerge w:val="restart"/>
          </w:tcPr>
          <w:p w14:paraId="2394840F" w14:textId="2020C335" w:rsidR="002401D0" w:rsidRDefault="00D45BD0">
            <w:pPr>
              <w:pStyle w:val="xLedtext"/>
              <w:rPr>
                <w:noProof/>
              </w:rPr>
            </w:pPr>
            <w:bookmarkStart w:id="0" w:name="_top"/>
            <w:bookmarkEnd w:id="0"/>
            <w:r>
              <w:rPr>
                <w:noProof/>
                <w:lang w:val="sv-FI" w:eastAsia="sv-FI"/>
              </w:rPr>
              <w:drawing>
                <wp:inline distT="0" distB="0" distL="0" distR="0" wp14:anchorId="1C190A25" wp14:editId="6054612C">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39B063F" w14:textId="27AE4821" w:rsidR="002401D0" w:rsidRDefault="00D45BD0">
            <w:pPr>
              <w:pStyle w:val="xMellanrum"/>
            </w:pPr>
            <w:r>
              <w:rPr>
                <w:noProof/>
                <w:lang w:val="sv-FI" w:eastAsia="sv-FI"/>
              </w:rPr>
              <w:drawing>
                <wp:inline distT="0" distB="0" distL="0" distR="0" wp14:anchorId="07A6F24E" wp14:editId="7E914FC6">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1E69094F" w14:textId="77777777">
        <w:trPr>
          <w:cantSplit/>
          <w:trHeight w:val="299"/>
        </w:trPr>
        <w:tc>
          <w:tcPr>
            <w:tcW w:w="861" w:type="dxa"/>
            <w:vMerge/>
          </w:tcPr>
          <w:p w14:paraId="11BCBC42" w14:textId="77777777" w:rsidR="002401D0" w:rsidRDefault="002401D0">
            <w:pPr>
              <w:pStyle w:val="xLedtext"/>
            </w:pPr>
          </w:p>
        </w:tc>
        <w:tc>
          <w:tcPr>
            <w:tcW w:w="4448" w:type="dxa"/>
            <w:vAlign w:val="bottom"/>
          </w:tcPr>
          <w:p w14:paraId="108EDAFD" w14:textId="77777777" w:rsidR="002401D0" w:rsidRDefault="002401D0">
            <w:pPr>
              <w:pStyle w:val="xAvsandare1"/>
            </w:pPr>
            <w:r>
              <w:t>Ålands lagting</w:t>
            </w:r>
          </w:p>
        </w:tc>
        <w:tc>
          <w:tcPr>
            <w:tcW w:w="4288" w:type="dxa"/>
            <w:gridSpan w:val="2"/>
            <w:vAlign w:val="bottom"/>
          </w:tcPr>
          <w:p w14:paraId="5373D96D" w14:textId="326B2C75" w:rsidR="002401D0" w:rsidRDefault="002401D0" w:rsidP="00F807F8">
            <w:pPr>
              <w:pStyle w:val="xDokTypNr"/>
            </w:pPr>
            <w:r>
              <w:t xml:space="preserve">BETÄNKANDE nr </w:t>
            </w:r>
            <w:r w:rsidR="00F807F8">
              <w:t>16</w:t>
            </w:r>
            <w:r>
              <w:t>/20</w:t>
            </w:r>
            <w:r w:rsidR="00723B93">
              <w:t>1</w:t>
            </w:r>
            <w:r w:rsidR="008006C3">
              <w:t>9</w:t>
            </w:r>
            <w:r w:rsidR="0015337C">
              <w:t>-20</w:t>
            </w:r>
            <w:r w:rsidR="008006C3">
              <w:t>20</w:t>
            </w:r>
          </w:p>
        </w:tc>
      </w:tr>
      <w:tr w:rsidR="002401D0" w14:paraId="79EE4D9C" w14:textId="77777777">
        <w:trPr>
          <w:cantSplit/>
          <w:trHeight w:val="238"/>
        </w:trPr>
        <w:tc>
          <w:tcPr>
            <w:tcW w:w="861" w:type="dxa"/>
            <w:vMerge/>
          </w:tcPr>
          <w:p w14:paraId="3E96E5F4" w14:textId="77777777" w:rsidR="002401D0" w:rsidRDefault="002401D0">
            <w:pPr>
              <w:pStyle w:val="xLedtext"/>
            </w:pPr>
          </w:p>
        </w:tc>
        <w:tc>
          <w:tcPr>
            <w:tcW w:w="4448" w:type="dxa"/>
            <w:vAlign w:val="bottom"/>
          </w:tcPr>
          <w:p w14:paraId="3E009BB4" w14:textId="77777777" w:rsidR="002401D0" w:rsidRDefault="002401D0">
            <w:pPr>
              <w:pStyle w:val="xLedtext"/>
            </w:pPr>
          </w:p>
        </w:tc>
        <w:tc>
          <w:tcPr>
            <w:tcW w:w="1725" w:type="dxa"/>
            <w:vAlign w:val="bottom"/>
          </w:tcPr>
          <w:p w14:paraId="38622EF8" w14:textId="77777777" w:rsidR="002401D0" w:rsidRDefault="002401D0">
            <w:pPr>
              <w:pStyle w:val="xLedtext"/>
            </w:pPr>
            <w:r>
              <w:t>Datum</w:t>
            </w:r>
          </w:p>
        </w:tc>
        <w:tc>
          <w:tcPr>
            <w:tcW w:w="2563" w:type="dxa"/>
            <w:vAlign w:val="bottom"/>
          </w:tcPr>
          <w:p w14:paraId="29B0AD1F" w14:textId="77777777" w:rsidR="002401D0" w:rsidRDefault="002401D0">
            <w:pPr>
              <w:pStyle w:val="xLedtext"/>
            </w:pPr>
          </w:p>
        </w:tc>
      </w:tr>
      <w:tr w:rsidR="002401D0" w14:paraId="32146665" w14:textId="77777777">
        <w:trPr>
          <w:cantSplit/>
          <w:trHeight w:val="238"/>
        </w:trPr>
        <w:tc>
          <w:tcPr>
            <w:tcW w:w="861" w:type="dxa"/>
            <w:vMerge/>
          </w:tcPr>
          <w:p w14:paraId="46244139" w14:textId="77777777" w:rsidR="002401D0" w:rsidRDefault="002401D0">
            <w:pPr>
              <w:pStyle w:val="xAvsandare2"/>
            </w:pPr>
          </w:p>
        </w:tc>
        <w:tc>
          <w:tcPr>
            <w:tcW w:w="4448" w:type="dxa"/>
            <w:vAlign w:val="center"/>
          </w:tcPr>
          <w:p w14:paraId="77E702BE" w14:textId="4E69216E" w:rsidR="002401D0" w:rsidRDefault="008006C3">
            <w:pPr>
              <w:pStyle w:val="xAvsandare2"/>
            </w:pPr>
            <w:r>
              <w:t>Finans- och närings</w:t>
            </w:r>
            <w:r w:rsidR="002401D0">
              <w:t>utskottet</w:t>
            </w:r>
          </w:p>
        </w:tc>
        <w:tc>
          <w:tcPr>
            <w:tcW w:w="1725" w:type="dxa"/>
            <w:vAlign w:val="center"/>
          </w:tcPr>
          <w:p w14:paraId="74612776" w14:textId="2432BE98" w:rsidR="002401D0" w:rsidRPr="00F807F8" w:rsidRDefault="002401D0" w:rsidP="00F807F8">
            <w:pPr>
              <w:pStyle w:val="xDatum1"/>
            </w:pPr>
            <w:r w:rsidRPr="00F807F8">
              <w:t>20</w:t>
            </w:r>
            <w:r w:rsidR="008006C3" w:rsidRPr="00F807F8">
              <w:t>20-05</w:t>
            </w:r>
            <w:r w:rsidR="00F807F8" w:rsidRPr="00F807F8">
              <w:t>-28</w:t>
            </w:r>
          </w:p>
        </w:tc>
        <w:tc>
          <w:tcPr>
            <w:tcW w:w="2563" w:type="dxa"/>
            <w:vAlign w:val="center"/>
          </w:tcPr>
          <w:p w14:paraId="4E33BE32" w14:textId="77777777" w:rsidR="002401D0" w:rsidRDefault="002401D0">
            <w:pPr>
              <w:pStyle w:val="xBeteckning1"/>
            </w:pPr>
          </w:p>
        </w:tc>
      </w:tr>
      <w:tr w:rsidR="002401D0" w14:paraId="01AAFD75" w14:textId="77777777">
        <w:trPr>
          <w:cantSplit/>
          <w:trHeight w:val="238"/>
        </w:trPr>
        <w:tc>
          <w:tcPr>
            <w:tcW w:w="861" w:type="dxa"/>
            <w:vMerge/>
          </w:tcPr>
          <w:p w14:paraId="53A90F8D" w14:textId="77777777" w:rsidR="002401D0" w:rsidRDefault="002401D0">
            <w:pPr>
              <w:pStyle w:val="xLedtext"/>
            </w:pPr>
          </w:p>
        </w:tc>
        <w:tc>
          <w:tcPr>
            <w:tcW w:w="4448" w:type="dxa"/>
            <w:vAlign w:val="bottom"/>
          </w:tcPr>
          <w:p w14:paraId="17C66C6B" w14:textId="77777777" w:rsidR="002401D0" w:rsidRDefault="002401D0">
            <w:pPr>
              <w:pStyle w:val="xLedtext"/>
            </w:pPr>
          </w:p>
        </w:tc>
        <w:tc>
          <w:tcPr>
            <w:tcW w:w="1725" w:type="dxa"/>
            <w:vAlign w:val="bottom"/>
          </w:tcPr>
          <w:p w14:paraId="3239F055" w14:textId="77777777" w:rsidR="002401D0" w:rsidRDefault="002401D0">
            <w:pPr>
              <w:pStyle w:val="xLedtext"/>
            </w:pPr>
          </w:p>
        </w:tc>
        <w:tc>
          <w:tcPr>
            <w:tcW w:w="2563" w:type="dxa"/>
            <w:vAlign w:val="bottom"/>
          </w:tcPr>
          <w:p w14:paraId="73C5ADD7" w14:textId="77777777" w:rsidR="002401D0" w:rsidRDefault="002401D0">
            <w:pPr>
              <w:pStyle w:val="xLedtext"/>
            </w:pPr>
          </w:p>
        </w:tc>
      </w:tr>
      <w:tr w:rsidR="002401D0" w14:paraId="35FA682F" w14:textId="77777777">
        <w:trPr>
          <w:cantSplit/>
          <w:trHeight w:val="238"/>
        </w:trPr>
        <w:tc>
          <w:tcPr>
            <w:tcW w:w="861" w:type="dxa"/>
            <w:vMerge/>
            <w:tcBorders>
              <w:bottom w:val="single" w:sz="4" w:space="0" w:color="auto"/>
            </w:tcBorders>
          </w:tcPr>
          <w:p w14:paraId="17CA17CC" w14:textId="77777777" w:rsidR="002401D0" w:rsidRDefault="002401D0">
            <w:pPr>
              <w:pStyle w:val="xAvsandare3"/>
            </w:pPr>
          </w:p>
        </w:tc>
        <w:tc>
          <w:tcPr>
            <w:tcW w:w="4448" w:type="dxa"/>
            <w:tcBorders>
              <w:bottom w:val="single" w:sz="4" w:space="0" w:color="auto"/>
            </w:tcBorders>
            <w:vAlign w:val="center"/>
          </w:tcPr>
          <w:p w14:paraId="3EFF999F" w14:textId="77777777" w:rsidR="002401D0" w:rsidRDefault="002401D0">
            <w:pPr>
              <w:pStyle w:val="xAvsandare3"/>
            </w:pPr>
          </w:p>
        </w:tc>
        <w:tc>
          <w:tcPr>
            <w:tcW w:w="1725" w:type="dxa"/>
            <w:tcBorders>
              <w:bottom w:val="single" w:sz="4" w:space="0" w:color="auto"/>
            </w:tcBorders>
            <w:vAlign w:val="center"/>
          </w:tcPr>
          <w:p w14:paraId="6EB52F31" w14:textId="77777777" w:rsidR="002401D0" w:rsidRDefault="002401D0">
            <w:pPr>
              <w:pStyle w:val="xDatum2"/>
            </w:pPr>
          </w:p>
        </w:tc>
        <w:tc>
          <w:tcPr>
            <w:tcW w:w="2563" w:type="dxa"/>
            <w:tcBorders>
              <w:bottom w:val="single" w:sz="4" w:space="0" w:color="auto"/>
            </w:tcBorders>
            <w:vAlign w:val="center"/>
          </w:tcPr>
          <w:p w14:paraId="37E0611D" w14:textId="77777777" w:rsidR="002401D0" w:rsidRDefault="002401D0">
            <w:pPr>
              <w:pStyle w:val="xBeteckning2"/>
            </w:pPr>
          </w:p>
        </w:tc>
      </w:tr>
      <w:tr w:rsidR="002401D0" w14:paraId="144818A7" w14:textId="77777777">
        <w:trPr>
          <w:cantSplit/>
          <w:trHeight w:val="238"/>
        </w:trPr>
        <w:tc>
          <w:tcPr>
            <w:tcW w:w="861" w:type="dxa"/>
            <w:tcBorders>
              <w:top w:val="single" w:sz="4" w:space="0" w:color="auto"/>
            </w:tcBorders>
            <w:vAlign w:val="bottom"/>
          </w:tcPr>
          <w:p w14:paraId="627B93F6" w14:textId="77777777" w:rsidR="002401D0" w:rsidRDefault="002401D0">
            <w:pPr>
              <w:pStyle w:val="xLedtext"/>
            </w:pPr>
          </w:p>
        </w:tc>
        <w:tc>
          <w:tcPr>
            <w:tcW w:w="4448" w:type="dxa"/>
            <w:tcBorders>
              <w:top w:val="single" w:sz="4" w:space="0" w:color="auto"/>
            </w:tcBorders>
            <w:vAlign w:val="bottom"/>
          </w:tcPr>
          <w:p w14:paraId="39E829BF" w14:textId="77777777" w:rsidR="002401D0" w:rsidRDefault="002401D0">
            <w:pPr>
              <w:pStyle w:val="xLedtext"/>
            </w:pPr>
          </w:p>
        </w:tc>
        <w:tc>
          <w:tcPr>
            <w:tcW w:w="4288" w:type="dxa"/>
            <w:gridSpan w:val="2"/>
            <w:tcBorders>
              <w:top w:val="single" w:sz="4" w:space="0" w:color="auto"/>
            </w:tcBorders>
            <w:vAlign w:val="bottom"/>
          </w:tcPr>
          <w:p w14:paraId="1A965503" w14:textId="77777777" w:rsidR="002401D0" w:rsidRDefault="002401D0">
            <w:pPr>
              <w:pStyle w:val="xLedtext"/>
            </w:pPr>
          </w:p>
        </w:tc>
      </w:tr>
      <w:tr w:rsidR="002401D0" w14:paraId="640DA335" w14:textId="77777777">
        <w:trPr>
          <w:cantSplit/>
          <w:trHeight w:val="238"/>
        </w:trPr>
        <w:tc>
          <w:tcPr>
            <w:tcW w:w="861" w:type="dxa"/>
          </w:tcPr>
          <w:p w14:paraId="2CE679DD" w14:textId="77777777" w:rsidR="002401D0" w:rsidRDefault="002401D0">
            <w:pPr>
              <w:pStyle w:val="xCelltext"/>
            </w:pPr>
          </w:p>
        </w:tc>
        <w:tc>
          <w:tcPr>
            <w:tcW w:w="4448" w:type="dxa"/>
            <w:vMerge w:val="restart"/>
          </w:tcPr>
          <w:p w14:paraId="20DDD9CB" w14:textId="77777777" w:rsidR="002401D0" w:rsidRDefault="002401D0">
            <w:pPr>
              <w:pStyle w:val="xMottagare1"/>
            </w:pPr>
            <w:r>
              <w:t>Till Ålands lagting</w:t>
            </w:r>
          </w:p>
        </w:tc>
        <w:tc>
          <w:tcPr>
            <w:tcW w:w="4288" w:type="dxa"/>
            <w:gridSpan w:val="2"/>
            <w:vMerge w:val="restart"/>
          </w:tcPr>
          <w:p w14:paraId="79F917A9" w14:textId="77777777" w:rsidR="002401D0" w:rsidRDefault="002401D0">
            <w:pPr>
              <w:pStyle w:val="xMottagare1"/>
              <w:tabs>
                <w:tab w:val="left" w:pos="2349"/>
              </w:tabs>
            </w:pPr>
          </w:p>
        </w:tc>
      </w:tr>
      <w:tr w:rsidR="002401D0" w14:paraId="5C319877" w14:textId="77777777">
        <w:trPr>
          <w:cantSplit/>
          <w:trHeight w:val="238"/>
        </w:trPr>
        <w:tc>
          <w:tcPr>
            <w:tcW w:w="861" w:type="dxa"/>
          </w:tcPr>
          <w:p w14:paraId="7A3B08FC" w14:textId="77777777" w:rsidR="002401D0" w:rsidRDefault="002401D0">
            <w:pPr>
              <w:pStyle w:val="xCelltext"/>
            </w:pPr>
          </w:p>
        </w:tc>
        <w:tc>
          <w:tcPr>
            <w:tcW w:w="4448" w:type="dxa"/>
            <w:vMerge/>
            <w:vAlign w:val="center"/>
          </w:tcPr>
          <w:p w14:paraId="45D4987E" w14:textId="77777777" w:rsidR="002401D0" w:rsidRDefault="002401D0">
            <w:pPr>
              <w:pStyle w:val="xCelltext"/>
            </w:pPr>
          </w:p>
        </w:tc>
        <w:tc>
          <w:tcPr>
            <w:tcW w:w="4288" w:type="dxa"/>
            <w:gridSpan w:val="2"/>
            <w:vMerge/>
            <w:vAlign w:val="center"/>
          </w:tcPr>
          <w:p w14:paraId="07EAF7D0" w14:textId="77777777" w:rsidR="002401D0" w:rsidRDefault="002401D0">
            <w:pPr>
              <w:pStyle w:val="xCelltext"/>
            </w:pPr>
          </w:p>
        </w:tc>
      </w:tr>
      <w:tr w:rsidR="002401D0" w14:paraId="04DB6C31" w14:textId="77777777">
        <w:trPr>
          <w:cantSplit/>
          <w:trHeight w:val="238"/>
        </w:trPr>
        <w:tc>
          <w:tcPr>
            <w:tcW w:w="861" w:type="dxa"/>
          </w:tcPr>
          <w:p w14:paraId="75B2E604" w14:textId="77777777" w:rsidR="002401D0" w:rsidRDefault="002401D0">
            <w:pPr>
              <w:pStyle w:val="xCelltext"/>
            </w:pPr>
          </w:p>
        </w:tc>
        <w:tc>
          <w:tcPr>
            <w:tcW w:w="4448" w:type="dxa"/>
            <w:vMerge/>
            <w:vAlign w:val="center"/>
          </w:tcPr>
          <w:p w14:paraId="6B2F3105" w14:textId="77777777" w:rsidR="002401D0" w:rsidRDefault="002401D0">
            <w:pPr>
              <w:pStyle w:val="xCelltext"/>
            </w:pPr>
          </w:p>
        </w:tc>
        <w:tc>
          <w:tcPr>
            <w:tcW w:w="4288" w:type="dxa"/>
            <w:gridSpan w:val="2"/>
            <w:vMerge/>
            <w:vAlign w:val="center"/>
          </w:tcPr>
          <w:p w14:paraId="0C78798A" w14:textId="77777777" w:rsidR="002401D0" w:rsidRDefault="002401D0">
            <w:pPr>
              <w:pStyle w:val="xCelltext"/>
            </w:pPr>
          </w:p>
        </w:tc>
      </w:tr>
      <w:tr w:rsidR="002401D0" w14:paraId="0DB3F234" w14:textId="77777777">
        <w:trPr>
          <w:cantSplit/>
          <w:trHeight w:val="238"/>
        </w:trPr>
        <w:tc>
          <w:tcPr>
            <w:tcW w:w="861" w:type="dxa"/>
          </w:tcPr>
          <w:p w14:paraId="70D24B18" w14:textId="77777777" w:rsidR="002401D0" w:rsidRDefault="002401D0">
            <w:pPr>
              <w:pStyle w:val="xCelltext"/>
            </w:pPr>
          </w:p>
        </w:tc>
        <w:tc>
          <w:tcPr>
            <w:tcW w:w="4448" w:type="dxa"/>
            <w:vMerge/>
            <w:vAlign w:val="center"/>
          </w:tcPr>
          <w:p w14:paraId="4E97D9DE" w14:textId="77777777" w:rsidR="002401D0" w:rsidRDefault="002401D0">
            <w:pPr>
              <w:pStyle w:val="xCelltext"/>
            </w:pPr>
          </w:p>
        </w:tc>
        <w:tc>
          <w:tcPr>
            <w:tcW w:w="4288" w:type="dxa"/>
            <w:gridSpan w:val="2"/>
            <w:vMerge/>
            <w:vAlign w:val="center"/>
          </w:tcPr>
          <w:p w14:paraId="328E071F" w14:textId="77777777" w:rsidR="002401D0" w:rsidRDefault="002401D0">
            <w:pPr>
              <w:pStyle w:val="xCelltext"/>
            </w:pPr>
          </w:p>
        </w:tc>
      </w:tr>
      <w:tr w:rsidR="002401D0" w14:paraId="3E34A537" w14:textId="77777777">
        <w:trPr>
          <w:cantSplit/>
          <w:trHeight w:val="238"/>
        </w:trPr>
        <w:tc>
          <w:tcPr>
            <w:tcW w:w="861" w:type="dxa"/>
          </w:tcPr>
          <w:p w14:paraId="4B5F625F" w14:textId="77777777" w:rsidR="002401D0" w:rsidRDefault="002401D0">
            <w:pPr>
              <w:pStyle w:val="xCelltext"/>
            </w:pPr>
          </w:p>
        </w:tc>
        <w:tc>
          <w:tcPr>
            <w:tcW w:w="4448" w:type="dxa"/>
            <w:vMerge/>
            <w:vAlign w:val="center"/>
          </w:tcPr>
          <w:p w14:paraId="254DBA2B" w14:textId="77777777" w:rsidR="002401D0" w:rsidRDefault="002401D0">
            <w:pPr>
              <w:pStyle w:val="xCelltext"/>
            </w:pPr>
          </w:p>
        </w:tc>
        <w:tc>
          <w:tcPr>
            <w:tcW w:w="4288" w:type="dxa"/>
            <w:gridSpan w:val="2"/>
            <w:vMerge/>
            <w:vAlign w:val="center"/>
          </w:tcPr>
          <w:p w14:paraId="31EBCD6D" w14:textId="77777777" w:rsidR="002401D0" w:rsidRDefault="002401D0">
            <w:pPr>
              <w:pStyle w:val="xCelltext"/>
            </w:pPr>
          </w:p>
        </w:tc>
      </w:tr>
    </w:tbl>
    <w:p w14:paraId="04B307ED"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6343B383" w14:textId="25326065" w:rsidR="002401D0" w:rsidRDefault="008006C3">
      <w:pPr>
        <w:pStyle w:val="ArendeOverRubrik"/>
      </w:pPr>
      <w:r>
        <w:t>Finans- och närings</w:t>
      </w:r>
      <w:r w:rsidR="002401D0">
        <w:t>utskottets betänkande</w:t>
      </w:r>
    </w:p>
    <w:p w14:paraId="374A8D12" w14:textId="25FC5995" w:rsidR="002401D0" w:rsidRDefault="008006C3">
      <w:pPr>
        <w:pStyle w:val="ArendeRubrik"/>
      </w:pPr>
      <w:bookmarkStart w:id="1" w:name="_Hlk37946220"/>
      <w:r>
        <w:t>Blankettlagstiftning om verkställande av beskattningen</w:t>
      </w:r>
      <w:bookmarkEnd w:id="1"/>
    </w:p>
    <w:p w14:paraId="4212B545" w14:textId="7160AC1E" w:rsidR="002401D0" w:rsidRDefault="008006C3">
      <w:pPr>
        <w:pStyle w:val="ArendeUnderRubrik"/>
      </w:pPr>
      <w:r>
        <w:t>Landskapsregeringens lagförslag LF 23/2019-2020</w:t>
      </w:r>
    </w:p>
    <w:p w14:paraId="62C0E7B7" w14:textId="77777777" w:rsidR="002401D0" w:rsidRDefault="002401D0">
      <w:pPr>
        <w:pStyle w:val="ANormal"/>
      </w:pPr>
    </w:p>
    <w:p w14:paraId="1D86348B" w14:textId="77777777" w:rsidR="002401D0" w:rsidRDefault="002401D0">
      <w:pPr>
        <w:pStyle w:val="Innehll1"/>
      </w:pPr>
      <w:r>
        <w:t>INNEHÅLL</w:t>
      </w:r>
    </w:p>
    <w:p w14:paraId="6D86D06C" w14:textId="7E06AECC" w:rsidR="00F807F8"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41552350" w:history="1">
        <w:r w:rsidR="00F807F8" w:rsidRPr="00177570">
          <w:rPr>
            <w:rStyle w:val="Hyperlnk"/>
          </w:rPr>
          <w:t>Sammanfattning</w:t>
        </w:r>
        <w:r w:rsidR="00F807F8">
          <w:rPr>
            <w:webHidden/>
          </w:rPr>
          <w:tab/>
        </w:r>
        <w:r w:rsidR="00F807F8">
          <w:rPr>
            <w:webHidden/>
          </w:rPr>
          <w:fldChar w:fldCharType="begin"/>
        </w:r>
        <w:r w:rsidR="00F807F8">
          <w:rPr>
            <w:webHidden/>
          </w:rPr>
          <w:instrText xml:space="preserve"> PAGEREF _Toc41552350 \h </w:instrText>
        </w:r>
        <w:r w:rsidR="00F807F8">
          <w:rPr>
            <w:webHidden/>
          </w:rPr>
        </w:r>
        <w:r w:rsidR="00F807F8">
          <w:rPr>
            <w:webHidden/>
          </w:rPr>
          <w:fldChar w:fldCharType="separate"/>
        </w:r>
        <w:r w:rsidR="007A586D">
          <w:rPr>
            <w:webHidden/>
          </w:rPr>
          <w:t>1</w:t>
        </w:r>
        <w:r w:rsidR="00F807F8">
          <w:rPr>
            <w:webHidden/>
          </w:rPr>
          <w:fldChar w:fldCharType="end"/>
        </w:r>
      </w:hyperlink>
    </w:p>
    <w:p w14:paraId="67F6C13C" w14:textId="1DC5DE78" w:rsidR="00F807F8" w:rsidRDefault="007A586D">
      <w:pPr>
        <w:pStyle w:val="Innehll2"/>
        <w:rPr>
          <w:rFonts w:asciiTheme="minorHAnsi" w:eastAsiaTheme="minorEastAsia" w:hAnsiTheme="minorHAnsi" w:cstheme="minorBidi"/>
          <w:sz w:val="22"/>
          <w:szCs w:val="22"/>
          <w:lang w:val="sv-FI" w:eastAsia="sv-FI"/>
        </w:rPr>
      </w:pPr>
      <w:hyperlink w:anchor="_Toc41552351" w:history="1">
        <w:r w:rsidR="00F807F8" w:rsidRPr="00177570">
          <w:rPr>
            <w:rStyle w:val="Hyperlnk"/>
          </w:rPr>
          <w:t>Landskapsregeringens förslag</w:t>
        </w:r>
        <w:r w:rsidR="00F807F8">
          <w:rPr>
            <w:webHidden/>
          </w:rPr>
          <w:tab/>
        </w:r>
        <w:r w:rsidR="00F807F8">
          <w:rPr>
            <w:webHidden/>
          </w:rPr>
          <w:fldChar w:fldCharType="begin"/>
        </w:r>
        <w:r w:rsidR="00F807F8">
          <w:rPr>
            <w:webHidden/>
          </w:rPr>
          <w:instrText xml:space="preserve"> PAGEREF _Toc41552351 \h </w:instrText>
        </w:r>
        <w:r w:rsidR="00F807F8">
          <w:rPr>
            <w:webHidden/>
          </w:rPr>
        </w:r>
        <w:r w:rsidR="00F807F8">
          <w:rPr>
            <w:webHidden/>
          </w:rPr>
          <w:fldChar w:fldCharType="separate"/>
        </w:r>
        <w:r>
          <w:rPr>
            <w:webHidden/>
          </w:rPr>
          <w:t>1</w:t>
        </w:r>
        <w:r w:rsidR="00F807F8">
          <w:rPr>
            <w:webHidden/>
          </w:rPr>
          <w:fldChar w:fldCharType="end"/>
        </w:r>
      </w:hyperlink>
    </w:p>
    <w:p w14:paraId="005FFA56" w14:textId="19CC8C96" w:rsidR="00F807F8" w:rsidRDefault="007A586D">
      <w:pPr>
        <w:pStyle w:val="Innehll2"/>
        <w:rPr>
          <w:rFonts w:asciiTheme="minorHAnsi" w:eastAsiaTheme="minorEastAsia" w:hAnsiTheme="minorHAnsi" w:cstheme="minorBidi"/>
          <w:sz w:val="22"/>
          <w:szCs w:val="22"/>
          <w:lang w:val="sv-FI" w:eastAsia="sv-FI"/>
        </w:rPr>
      </w:pPr>
      <w:hyperlink w:anchor="_Toc41552352" w:history="1">
        <w:r w:rsidR="00F807F8" w:rsidRPr="00177570">
          <w:rPr>
            <w:rStyle w:val="Hyperlnk"/>
          </w:rPr>
          <w:t>Utskottets förslag</w:t>
        </w:r>
        <w:r w:rsidR="00F807F8">
          <w:rPr>
            <w:webHidden/>
          </w:rPr>
          <w:tab/>
        </w:r>
        <w:r w:rsidR="00F807F8">
          <w:rPr>
            <w:webHidden/>
          </w:rPr>
          <w:fldChar w:fldCharType="begin"/>
        </w:r>
        <w:r w:rsidR="00F807F8">
          <w:rPr>
            <w:webHidden/>
          </w:rPr>
          <w:instrText xml:space="preserve"> PAGEREF _Toc41552352 \h </w:instrText>
        </w:r>
        <w:r w:rsidR="00F807F8">
          <w:rPr>
            <w:webHidden/>
          </w:rPr>
        </w:r>
        <w:r w:rsidR="00F807F8">
          <w:rPr>
            <w:webHidden/>
          </w:rPr>
          <w:fldChar w:fldCharType="separate"/>
        </w:r>
        <w:r>
          <w:rPr>
            <w:webHidden/>
          </w:rPr>
          <w:t>1</w:t>
        </w:r>
        <w:r w:rsidR="00F807F8">
          <w:rPr>
            <w:webHidden/>
          </w:rPr>
          <w:fldChar w:fldCharType="end"/>
        </w:r>
      </w:hyperlink>
    </w:p>
    <w:p w14:paraId="7D13590E" w14:textId="69411964" w:rsidR="00F807F8" w:rsidRDefault="007A586D">
      <w:pPr>
        <w:pStyle w:val="Innehll1"/>
        <w:rPr>
          <w:rFonts w:asciiTheme="minorHAnsi" w:eastAsiaTheme="minorEastAsia" w:hAnsiTheme="minorHAnsi" w:cstheme="minorBidi"/>
          <w:sz w:val="22"/>
          <w:szCs w:val="22"/>
          <w:lang w:val="sv-FI" w:eastAsia="sv-FI"/>
        </w:rPr>
      </w:pPr>
      <w:hyperlink w:anchor="_Toc41552353" w:history="1">
        <w:r w:rsidR="00F807F8" w:rsidRPr="00177570">
          <w:rPr>
            <w:rStyle w:val="Hyperlnk"/>
          </w:rPr>
          <w:t>Utskottets synpunkter</w:t>
        </w:r>
        <w:r w:rsidR="00F807F8">
          <w:rPr>
            <w:webHidden/>
          </w:rPr>
          <w:tab/>
        </w:r>
        <w:r w:rsidR="00F807F8">
          <w:rPr>
            <w:webHidden/>
          </w:rPr>
          <w:fldChar w:fldCharType="begin"/>
        </w:r>
        <w:r w:rsidR="00F807F8">
          <w:rPr>
            <w:webHidden/>
          </w:rPr>
          <w:instrText xml:space="preserve"> PAGEREF _Toc41552353 \h </w:instrText>
        </w:r>
        <w:r w:rsidR="00F807F8">
          <w:rPr>
            <w:webHidden/>
          </w:rPr>
        </w:r>
        <w:r w:rsidR="00F807F8">
          <w:rPr>
            <w:webHidden/>
          </w:rPr>
          <w:fldChar w:fldCharType="separate"/>
        </w:r>
        <w:r>
          <w:rPr>
            <w:webHidden/>
          </w:rPr>
          <w:t>1</w:t>
        </w:r>
        <w:r w:rsidR="00F807F8">
          <w:rPr>
            <w:webHidden/>
          </w:rPr>
          <w:fldChar w:fldCharType="end"/>
        </w:r>
      </w:hyperlink>
    </w:p>
    <w:p w14:paraId="6A4C678B" w14:textId="757F0900" w:rsidR="00F807F8" w:rsidRDefault="007A586D">
      <w:pPr>
        <w:pStyle w:val="Innehll1"/>
        <w:rPr>
          <w:rFonts w:asciiTheme="minorHAnsi" w:eastAsiaTheme="minorEastAsia" w:hAnsiTheme="minorHAnsi" w:cstheme="minorBidi"/>
          <w:sz w:val="22"/>
          <w:szCs w:val="22"/>
          <w:lang w:val="sv-FI" w:eastAsia="sv-FI"/>
        </w:rPr>
      </w:pPr>
      <w:hyperlink w:anchor="_Toc41552354" w:history="1">
        <w:r w:rsidR="00F807F8" w:rsidRPr="00177570">
          <w:rPr>
            <w:rStyle w:val="Hyperlnk"/>
          </w:rPr>
          <w:t>Ärendets behandling</w:t>
        </w:r>
        <w:r w:rsidR="00F807F8">
          <w:rPr>
            <w:webHidden/>
          </w:rPr>
          <w:tab/>
        </w:r>
        <w:r w:rsidR="00F807F8">
          <w:rPr>
            <w:webHidden/>
          </w:rPr>
          <w:fldChar w:fldCharType="begin"/>
        </w:r>
        <w:r w:rsidR="00F807F8">
          <w:rPr>
            <w:webHidden/>
          </w:rPr>
          <w:instrText xml:space="preserve"> PAGEREF _Toc41552354 \h </w:instrText>
        </w:r>
        <w:r w:rsidR="00F807F8">
          <w:rPr>
            <w:webHidden/>
          </w:rPr>
        </w:r>
        <w:r w:rsidR="00F807F8">
          <w:rPr>
            <w:webHidden/>
          </w:rPr>
          <w:fldChar w:fldCharType="separate"/>
        </w:r>
        <w:r>
          <w:rPr>
            <w:webHidden/>
          </w:rPr>
          <w:t>2</w:t>
        </w:r>
        <w:r w:rsidR="00F807F8">
          <w:rPr>
            <w:webHidden/>
          </w:rPr>
          <w:fldChar w:fldCharType="end"/>
        </w:r>
      </w:hyperlink>
    </w:p>
    <w:p w14:paraId="102D38A9" w14:textId="1ABE40CF" w:rsidR="00F807F8" w:rsidRDefault="007A586D">
      <w:pPr>
        <w:pStyle w:val="Innehll1"/>
        <w:rPr>
          <w:rFonts w:asciiTheme="minorHAnsi" w:eastAsiaTheme="minorEastAsia" w:hAnsiTheme="minorHAnsi" w:cstheme="minorBidi"/>
          <w:sz w:val="22"/>
          <w:szCs w:val="22"/>
          <w:lang w:val="sv-FI" w:eastAsia="sv-FI"/>
        </w:rPr>
      </w:pPr>
      <w:hyperlink w:anchor="_Toc41552355" w:history="1">
        <w:r w:rsidR="00F807F8" w:rsidRPr="00177570">
          <w:rPr>
            <w:rStyle w:val="Hyperlnk"/>
          </w:rPr>
          <w:t>Utskottets förslag</w:t>
        </w:r>
        <w:r w:rsidR="00F807F8">
          <w:rPr>
            <w:webHidden/>
          </w:rPr>
          <w:tab/>
        </w:r>
        <w:r w:rsidR="00F807F8">
          <w:rPr>
            <w:webHidden/>
          </w:rPr>
          <w:fldChar w:fldCharType="begin"/>
        </w:r>
        <w:r w:rsidR="00F807F8">
          <w:rPr>
            <w:webHidden/>
          </w:rPr>
          <w:instrText xml:space="preserve"> PAGEREF _Toc41552355 \h </w:instrText>
        </w:r>
        <w:r w:rsidR="00F807F8">
          <w:rPr>
            <w:webHidden/>
          </w:rPr>
        </w:r>
        <w:r w:rsidR="00F807F8">
          <w:rPr>
            <w:webHidden/>
          </w:rPr>
          <w:fldChar w:fldCharType="separate"/>
        </w:r>
        <w:r>
          <w:rPr>
            <w:webHidden/>
          </w:rPr>
          <w:t>2</w:t>
        </w:r>
        <w:r w:rsidR="00F807F8">
          <w:rPr>
            <w:webHidden/>
          </w:rPr>
          <w:fldChar w:fldCharType="end"/>
        </w:r>
      </w:hyperlink>
    </w:p>
    <w:p w14:paraId="543D8F42" w14:textId="5938A7B6" w:rsidR="002401D0" w:rsidRDefault="002401D0">
      <w:pPr>
        <w:pStyle w:val="ANormal"/>
      </w:pPr>
      <w:r>
        <w:rPr>
          <w:rFonts w:ascii="Verdana" w:hAnsi="Verdana"/>
          <w:noProof/>
          <w:sz w:val="16"/>
          <w:szCs w:val="36"/>
        </w:rPr>
        <w:fldChar w:fldCharType="end"/>
      </w:r>
    </w:p>
    <w:p w14:paraId="58ADC08D" w14:textId="77777777" w:rsidR="002401D0" w:rsidRDefault="002401D0">
      <w:pPr>
        <w:pStyle w:val="RubrikA"/>
      </w:pPr>
      <w:bookmarkStart w:id="2" w:name="_Toc529800932"/>
      <w:bookmarkStart w:id="3" w:name="_Toc41552350"/>
      <w:r>
        <w:t>Sammanfattning</w:t>
      </w:r>
      <w:bookmarkEnd w:id="2"/>
      <w:bookmarkEnd w:id="3"/>
    </w:p>
    <w:p w14:paraId="1CC0B871" w14:textId="77777777" w:rsidR="002401D0" w:rsidRDefault="002401D0">
      <w:pPr>
        <w:pStyle w:val="Rubrikmellanrum"/>
      </w:pPr>
    </w:p>
    <w:p w14:paraId="28708B03" w14:textId="7C71A09D" w:rsidR="002401D0" w:rsidRDefault="008006C3">
      <w:pPr>
        <w:pStyle w:val="RubrikB"/>
      </w:pPr>
      <w:bookmarkStart w:id="4" w:name="_Toc529800933"/>
      <w:bookmarkStart w:id="5" w:name="_Toc41552351"/>
      <w:r>
        <w:t>Landskapsregeringens</w:t>
      </w:r>
      <w:r w:rsidR="002401D0">
        <w:t xml:space="preserve"> förslag</w:t>
      </w:r>
      <w:bookmarkEnd w:id="4"/>
      <w:bookmarkEnd w:id="5"/>
    </w:p>
    <w:p w14:paraId="0091C244" w14:textId="77777777" w:rsidR="002401D0" w:rsidRDefault="002401D0">
      <w:pPr>
        <w:pStyle w:val="Rubrikmellanrum"/>
      </w:pPr>
    </w:p>
    <w:p w14:paraId="415CE0B6" w14:textId="63D8C229" w:rsidR="008006C3" w:rsidRPr="00F95AF9" w:rsidRDefault="008006C3" w:rsidP="008006C3">
      <w:pPr>
        <w:pStyle w:val="ANormal"/>
      </w:pPr>
      <w:r w:rsidRPr="00F95AF9">
        <w:t>Landskapsregeringen för</w:t>
      </w:r>
      <w:r w:rsidR="00FD6AA8">
        <w:t>e</w:t>
      </w:r>
      <w:r w:rsidRPr="00F95AF9">
        <w:t>slår att lagstiftningen om verkställande av kommunalbeskattningen på Åland kompletteras med en landskapslag om tillämpning på Åland av rikslagstiftningen om uppbörd och redovisning av kommunalskatt. Genom förslaget blir lagen om skatteuppbörd och lagen om skatteredovisning tillämpliga vid kommunalbeskattningen på Åland.</w:t>
      </w:r>
    </w:p>
    <w:p w14:paraId="23256CDA" w14:textId="77777777" w:rsidR="008006C3" w:rsidRPr="00F95AF9" w:rsidRDefault="008006C3" w:rsidP="008006C3">
      <w:pPr>
        <w:pStyle w:val="ANormal"/>
      </w:pPr>
      <w:r w:rsidRPr="00F95AF9">
        <w:tab/>
        <w:t>Landskapsregeringen föreslår också att landskapslagen om tillämpning i landskapet Åland av lagen om skattetillägg och förseningsränta ska tillämpas i fråga om den medieavgift som ska uppbäras från och med skatteåret 2021. Samtidigt förtydligas lagens tillämpningsområde när det gäller skatter till kommunen.</w:t>
      </w:r>
    </w:p>
    <w:p w14:paraId="6DCDACA7" w14:textId="77777777" w:rsidR="008006C3" w:rsidRPr="00F95AF9" w:rsidRDefault="008006C3" w:rsidP="008006C3">
      <w:pPr>
        <w:pStyle w:val="ANormal"/>
      </w:pPr>
      <w:r w:rsidRPr="00F95AF9">
        <w:tab/>
        <w:t>Slutligen föreslås en ändring av en föråldrad hänvisning till en riksförordning i landskapslagen om tillämpning i landskapet Åland av rikslagstiftningen om beskattningsförfarande.</w:t>
      </w:r>
    </w:p>
    <w:p w14:paraId="06656B1F" w14:textId="77777777" w:rsidR="008006C3" w:rsidRDefault="008006C3" w:rsidP="008006C3">
      <w:pPr>
        <w:pStyle w:val="ANormal"/>
      </w:pPr>
      <w:r w:rsidRPr="00F95AF9">
        <w:tab/>
        <w:t>Förslaget sammanhänger med beredningen av en ny överenskommelseförordning om verkställande av beskattningen på Åland. Anledningen till att förordningen förnyas är att de uppgifter som följer av landskapslagen om medieavgift ska överföras på rikets skatteförvaltning. En förutsättning för att överenskommelseförordningen ska kunna förnyas är att den här föreslagna</w:t>
      </w:r>
      <w:r>
        <w:t xml:space="preserve"> blankettlagen om uppbörd och redovisning av kommunalskatt har trätt i kraft. För att medieavgiften för 2021 ska kunna omfattas av förskottsuppbörden bör lagen helst träda i kraft inom september 2020.</w:t>
      </w:r>
    </w:p>
    <w:p w14:paraId="26F304D9" w14:textId="77777777" w:rsidR="002401D0" w:rsidRDefault="002401D0">
      <w:pPr>
        <w:pStyle w:val="ANormal"/>
      </w:pPr>
    </w:p>
    <w:p w14:paraId="540DC8A1" w14:textId="77777777" w:rsidR="002401D0" w:rsidRDefault="002401D0">
      <w:pPr>
        <w:pStyle w:val="RubrikB"/>
      </w:pPr>
      <w:bookmarkStart w:id="6" w:name="_Toc529800934"/>
      <w:bookmarkStart w:id="7" w:name="_Toc41552352"/>
      <w:r>
        <w:t>Utskottets förslag</w:t>
      </w:r>
      <w:bookmarkEnd w:id="6"/>
      <w:bookmarkEnd w:id="7"/>
    </w:p>
    <w:p w14:paraId="2FD6B37D" w14:textId="77777777" w:rsidR="002401D0" w:rsidRDefault="002401D0">
      <w:pPr>
        <w:pStyle w:val="Rubrikmellanrum"/>
      </w:pPr>
    </w:p>
    <w:p w14:paraId="468DA8DD" w14:textId="513D6D0B" w:rsidR="00205A41" w:rsidRDefault="00770D5B" w:rsidP="008607FB">
      <w:pPr>
        <w:pStyle w:val="ANormal"/>
      </w:pPr>
      <w:r w:rsidRPr="008607FB">
        <w:t>Utskottet föreslår att lagförslagen antas i oförändrad lydelse.</w:t>
      </w:r>
      <w:r w:rsidR="00205A41" w:rsidRPr="008607FB">
        <w:t xml:space="preserve"> </w:t>
      </w:r>
    </w:p>
    <w:p w14:paraId="3C8D2593" w14:textId="77777777" w:rsidR="00F95AF9" w:rsidRPr="008607FB" w:rsidRDefault="00F95AF9" w:rsidP="008607FB">
      <w:pPr>
        <w:pStyle w:val="ANormal"/>
      </w:pPr>
    </w:p>
    <w:p w14:paraId="22AFC5AD" w14:textId="61FAF9DB" w:rsidR="002401D0" w:rsidRDefault="002401D0">
      <w:pPr>
        <w:pStyle w:val="RubrikA"/>
      </w:pPr>
      <w:bookmarkStart w:id="8" w:name="_Toc529800935"/>
      <w:bookmarkStart w:id="9" w:name="_Toc41552353"/>
      <w:r>
        <w:t>Utskottets synpunkter</w:t>
      </w:r>
      <w:bookmarkEnd w:id="8"/>
      <w:bookmarkEnd w:id="9"/>
    </w:p>
    <w:p w14:paraId="29EE89D5" w14:textId="77777777" w:rsidR="00753A0A" w:rsidRPr="00753A0A" w:rsidRDefault="00753A0A" w:rsidP="00753A0A">
      <w:pPr>
        <w:pStyle w:val="Rubrikmellanrum"/>
      </w:pPr>
    </w:p>
    <w:p w14:paraId="65FF49FE" w14:textId="64AF8577" w:rsidR="00544440" w:rsidRPr="00544440" w:rsidRDefault="00770D5B" w:rsidP="00544440">
      <w:pPr>
        <w:pStyle w:val="ANormal"/>
      </w:pPr>
      <w:r w:rsidRPr="00544440">
        <w:t xml:space="preserve">Landskapslagen (2019:103) om medieavgift har trätt i kraft den 1 januari 2020. </w:t>
      </w:r>
      <w:r w:rsidR="008607FB" w:rsidRPr="00544440">
        <w:t xml:space="preserve">I lagen bestäms om fysiska personers och samfunds skyldighet att betala en årlig medieavgift till landskapet. </w:t>
      </w:r>
      <w:r w:rsidR="001F258C">
        <w:t>I</w:t>
      </w:r>
      <w:r w:rsidR="00753A0A" w:rsidRPr="00544440">
        <w:t xml:space="preserve"> lagen ingår blankettbestämmelser </w:t>
      </w:r>
      <w:r w:rsidR="00544440" w:rsidRPr="00544440">
        <w:t xml:space="preserve">som anger </w:t>
      </w:r>
      <w:r w:rsidR="00753A0A" w:rsidRPr="00544440">
        <w:t>att</w:t>
      </w:r>
      <w:r w:rsidR="00544440" w:rsidRPr="00544440">
        <w:t xml:space="preserve"> bestämmelser om beskattningsförfarande i </w:t>
      </w:r>
      <w:proofErr w:type="spellStart"/>
      <w:r w:rsidR="00544440" w:rsidRPr="00544440">
        <w:t>rikslag</w:t>
      </w:r>
      <w:proofErr w:type="spellEnd"/>
      <w:r w:rsidR="00544440" w:rsidRPr="00544440">
        <w:t xml:space="preserve"> ska tillämpas vid uppb</w:t>
      </w:r>
      <w:r w:rsidR="001F258C">
        <w:t>örd</w:t>
      </w:r>
      <w:r w:rsidR="00544440" w:rsidRPr="00544440">
        <w:t xml:space="preserve"> av </w:t>
      </w:r>
      <w:r w:rsidR="00753A0A" w:rsidRPr="00544440">
        <w:t xml:space="preserve">medieavgiften </w:t>
      </w:r>
      <w:r w:rsidR="00544440" w:rsidRPr="00544440">
        <w:t xml:space="preserve">från Åland. I lagen finns även en sedvanlig </w:t>
      </w:r>
      <w:r w:rsidR="00753A0A" w:rsidRPr="00544440">
        <w:lastRenderedPageBreak/>
        <w:t xml:space="preserve">bestämmelse om att de förvaltningsuppgifter som enligt </w:t>
      </w:r>
      <w:proofErr w:type="spellStart"/>
      <w:r w:rsidR="00753A0A" w:rsidRPr="00544440">
        <w:t>rikslagarna</w:t>
      </w:r>
      <w:proofErr w:type="spellEnd"/>
      <w:r w:rsidR="00753A0A" w:rsidRPr="00544440">
        <w:t xml:space="preserve"> ankommer på statens myndigheter på Åland ska skötas av landskapsregeringen till den del förvaltningen hänför sig till uppgifter inom landskapets behö</w:t>
      </w:r>
      <w:r w:rsidR="00B40D4E">
        <w:t>righet.</w:t>
      </w:r>
    </w:p>
    <w:p w14:paraId="597AC63E" w14:textId="1074A5D6" w:rsidR="00F95AF9" w:rsidRDefault="00544440" w:rsidP="00544440">
      <w:pPr>
        <w:pStyle w:val="ANormal"/>
      </w:pPr>
      <w:r w:rsidRPr="00544440">
        <w:tab/>
      </w:r>
      <w:r w:rsidR="00753A0A" w:rsidRPr="00544440">
        <w:t xml:space="preserve">Redan av landskapsregeringens lagförslag nr 19/2018-2019 om medieavgift och finansiering av public service framgick </w:t>
      </w:r>
      <w:r w:rsidRPr="00544440">
        <w:t>avsikten att rikets skatteförvaltning ska sköta om uppbörden av medieavgiften i anslutning till den årliga inkomstbeskattningen. En överenskommelseförordning skulle enligt lagförslaget utarbetas för att möjliggöra detta. Lösningen baserar sig på bedömningen att medieavgiften av ekonomiska och administrativa skäl bör uppbäras så likt rundradioskatten som möjligt, bl.a. för att förvaltningslösningarna blir dyrare ju mer de avviker från rikets modell.</w:t>
      </w:r>
      <w:r w:rsidR="00F95AF9">
        <w:t xml:space="preserve"> En förutsättning för att över</w:t>
      </w:r>
      <w:r w:rsidR="00F95AF9" w:rsidRPr="00F807F8">
        <w:t xml:space="preserve">enskommelseförordningen ska kunna förnyas är att den föreslagna blankettlagen om uppbörd och redovisning av kommunalskatt har trätt i kraft. </w:t>
      </w:r>
      <w:r w:rsidR="00FD6AA8" w:rsidRPr="00F807F8">
        <w:t xml:space="preserve">Lagförslaget föranleds dock inte endast av den nya medieavgiften utan de föreslagna ändringarna behövs även i förhållande </w:t>
      </w:r>
      <w:r w:rsidR="00D471E1" w:rsidRPr="00F807F8">
        <w:t>till uppbörd av kommunal</w:t>
      </w:r>
      <w:r w:rsidR="00956F68" w:rsidRPr="00F807F8">
        <w:t>sk</w:t>
      </w:r>
      <w:r w:rsidR="00D471E1" w:rsidRPr="00F807F8">
        <w:t>att.</w:t>
      </w:r>
    </w:p>
    <w:p w14:paraId="3B759A56" w14:textId="29A687F0" w:rsidR="0024325A" w:rsidRDefault="0024325A" w:rsidP="00544440">
      <w:pPr>
        <w:pStyle w:val="ANormal"/>
      </w:pPr>
      <w:r>
        <w:tab/>
        <w:t xml:space="preserve">Av förslaget till lag om medieavgift framgick även att intäkterna från medieavgiften om den hade uppburits år 2018 beräknades till 2 322 031 euro, att jämföra med 2 460 000 euro för </w:t>
      </w:r>
      <w:r w:rsidR="007D78F8">
        <w:t xml:space="preserve">den tidigare </w:t>
      </w:r>
      <w:proofErr w:type="spellStart"/>
      <w:r>
        <w:t>tv-avgiften</w:t>
      </w:r>
      <w:proofErr w:type="spellEnd"/>
      <w:r>
        <w:t xml:space="preserve">. </w:t>
      </w:r>
      <w:r w:rsidR="00D471E1">
        <w:t>K</w:t>
      </w:r>
      <w:r w:rsidRPr="0024325A">
        <w:t xml:space="preserve">ostnaderna för uppbörd av medieavgiften </w:t>
      </w:r>
      <w:r w:rsidR="00D471E1">
        <w:t xml:space="preserve">förväntades </w:t>
      </w:r>
      <w:r w:rsidRPr="0024325A">
        <w:t xml:space="preserve">blir </w:t>
      </w:r>
      <w:r w:rsidR="00FD6AA8">
        <w:t>lägr</w:t>
      </w:r>
      <w:r w:rsidRPr="0024325A">
        <w:t xml:space="preserve">e än kostnaderna för uppbörd och kontroll av </w:t>
      </w:r>
      <w:proofErr w:type="spellStart"/>
      <w:r w:rsidRPr="0024325A">
        <w:t>tv-avgiften</w:t>
      </w:r>
      <w:proofErr w:type="spellEnd"/>
      <w:r w:rsidRPr="0024325A">
        <w:t>.</w:t>
      </w:r>
      <w:r w:rsidR="007D78F8" w:rsidRPr="007D78F8">
        <w:t xml:space="preserve"> </w:t>
      </w:r>
      <w:r w:rsidR="00D471E1">
        <w:t>Utskottet har erfarit att den årliga kostnaden för uppbörd av medieavgiften nu uppskattas till 15 000 euro per år medan engångskostnaden vid införande</w:t>
      </w:r>
      <w:r w:rsidR="00956F68">
        <w:t>t</w:t>
      </w:r>
      <w:r w:rsidR="00D471E1">
        <w:t xml:space="preserve"> uppskattas till 290 000 euro istället som tidigare uppskattat 100 000 euro. </w:t>
      </w:r>
      <w:r w:rsidR="00956F68">
        <w:t xml:space="preserve">Kostnadseffekterna </w:t>
      </w:r>
      <w:r w:rsidR="00956F68" w:rsidRPr="007D78F8">
        <w:t xml:space="preserve">uppstår inte till följd av detta lagförslag utan i samband med ikraftträdandet av den planerade överenskommelseförordningen. </w:t>
      </w:r>
      <w:r w:rsidR="00D471E1">
        <w:t xml:space="preserve">I sammanhanget har framkommit att de sammanlagda kostnaderna för uppbörd av såväl kommunalskatt som medieavgift med anledning av minskade kostnader för kommunalskatteuppbörd förväntas bli lägre än tidigare år. </w:t>
      </w:r>
    </w:p>
    <w:p w14:paraId="5DD7FC09" w14:textId="42F2AB12" w:rsidR="00F95AF9" w:rsidRDefault="00F95AF9" w:rsidP="00F95AF9">
      <w:pPr>
        <w:pStyle w:val="ANormal"/>
      </w:pPr>
      <w:r>
        <w:tab/>
        <w:t xml:space="preserve">Utskottet konstaterar att förslaget till blankettlag är motiverat som ett led i tidigare aviserade strävan att åstadkomma en ekonomiskt och administrativt effektiv modell för att bära upp den nya lagstadgade medieavgiften. </w:t>
      </w:r>
    </w:p>
    <w:p w14:paraId="3EA746C9" w14:textId="35CB8C39" w:rsidR="00544440" w:rsidRPr="00544440" w:rsidRDefault="00F95AF9" w:rsidP="00544440">
      <w:pPr>
        <w:pStyle w:val="ANormal"/>
      </w:pPr>
      <w:r>
        <w:tab/>
        <w:t>Övriga föreslagna ändringar är av mindre teknisk karaktär</w:t>
      </w:r>
      <w:r w:rsidR="00956F68">
        <w:t>.</w:t>
      </w:r>
    </w:p>
    <w:p w14:paraId="6F7525CB" w14:textId="09B5B579" w:rsidR="00753A0A" w:rsidRDefault="00753A0A">
      <w:pPr>
        <w:pStyle w:val="ANormal"/>
      </w:pPr>
    </w:p>
    <w:p w14:paraId="45A919B0" w14:textId="77777777" w:rsidR="002401D0" w:rsidRDefault="002401D0">
      <w:pPr>
        <w:pStyle w:val="RubrikA"/>
      </w:pPr>
      <w:bookmarkStart w:id="10" w:name="_Toc529800936"/>
      <w:bookmarkStart w:id="11" w:name="_Toc41552354"/>
      <w:r>
        <w:t>Ärendets behandling</w:t>
      </w:r>
      <w:bookmarkEnd w:id="10"/>
      <w:bookmarkEnd w:id="11"/>
    </w:p>
    <w:p w14:paraId="034B4AF6" w14:textId="77777777" w:rsidR="002401D0" w:rsidRDefault="002401D0">
      <w:pPr>
        <w:pStyle w:val="Rubrikmellanrum"/>
      </w:pPr>
    </w:p>
    <w:p w14:paraId="094C48EF" w14:textId="64E8DE2E" w:rsidR="008006C3" w:rsidRDefault="008006C3" w:rsidP="008006C3">
      <w:pPr>
        <w:pStyle w:val="ANormal"/>
        <w:rPr>
          <w:szCs w:val="22"/>
        </w:rPr>
      </w:pPr>
      <w:r>
        <w:rPr>
          <w:szCs w:val="22"/>
        </w:rPr>
        <w:t>Lagtinget har den 27 maj 2020 inbegärt finans- och näringsutskottets yttrande över lagförslaget.</w:t>
      </w:r>
    </w:p>
    <w:p w14:paraId="4E96C03B" w14:textId="19219A90" w:rsidR="008006C3" w:rsidRPr="00F807F8" w:rsidRDefault="008006C3" w:rsidP="008006C3">
      <w:pPr>
        <w:pStyle w:val="ANormal"/>
      </w:pPr>
      <w:r>
        <w:rPr>
          <w:szCs w:val="22"/>
        </w:rPr>
        <w:tab/>
      </w:r>
      <w:r w:rsidRPr="00F807F8">
        <w:rPr>
          <w:szCs w:val="22"/>
        </w:rPr>
        <w:t>Utskottet har i ärendet hört</w:t>
      </w:r>
      <w:r w:rsidR="00F807F8" w:rsidRPr="00F807F8">
        <w:rPr>
          <w:szCs w:val="22"/>
        </w:rPr>
        <w:t xml:space="preserve"> finansministern Torbjörn Eliasson samt avdelningsjuristen Ida Hellgren från finansavdelningen. </w:t>
      </w:r>
    </w:p>
    <w:p w14:paraId="0859753F" w14:textId="33CAA2CF" w:rsidR="008006C3" w:rsidRDefault="008006C3" w:rsidP="008006C3">
      <w:pPr>
        <w:pStyle w:val="ANormal"/>
      </w:pPr>
      <w:r w:rsidRPr="00F807F8">
        <w:tab/>
        <w:t>I ärendets avgörande behandling deltog ordföranden Jörgen Pettersson, vice ordföranden John Holmberg samt ledamöterna Nina Fellm</w:t>
      </w:r>
      <w:r w:rsidR="00956F68" w:rsidRPr="00F807F8">
        <w:t>an, Lars Häggblom, Liz Mattsson och</w:t>
      </w:r>
      <w:r w:rsidRPr="00F807F8">
        <w:t xml:space="preserve"> Jörgen Strand</w:t>
      </w:r>
      <w:r w:rsidR="00956F68" w:rsidRPr="00F807F8">
        <w:t xml:space="preserve">. </w:t>
      </w:r>
    </w:p>
    <w:p w14:paraId="369039B3" w14:textId="77777777" w:rsidR="002401D0" w:rsidRDefault="002401D0">
      <w:pPr>
        <w:pStyle w:val="ANormal"/>
      </w:pPr>
    </w:p>
    <w:p w14:paraId="56025A39" w14:textId="77777777" w:rsidR="002401D0" w:rsidRDefault="002401D0">
      <w:pPr>
        <w:pStyle w:val="RubrikA"/>
      </w:pPr>
      <w:bookmarkStart w:id="12" w:name="_Toc529800937"/>
      <w:bookmarkStart w:id="13" w:name="_Toc41552355"/>
      <w:r>
        <w:t>Utskottets förslag</w:t>
      </w:r>
      <w:bookmarkEnd w:id="12"/>
      <w:bookmarkEnd w:id="13"/>
    </w:p>
    <w:p w14:paraId="334C2083" w14:textId="77777777" w:rsidR="002401D0" w:rsidRDefault="002401D0">
      <w:pPr>
        <w:pStyle w:val="Rubrikmellanrum"/>
      </w:pPr>
    </w:p>
    <w:p w14:paraId="0A881956" w14:textId="547B7576" w:rsidR="002401D0" w:rsidRDefault="002401D0">
      <w:pPr>
        <w:pStyle w:val="ANormal"/>
      </w:pPr>
      <w:r>
        <w:t>Med hänvisning till det anförda föreslår utskottet</w:t>
      </w:r>
      <w:r w:rsidR="008006C3">
        <w:t xml:space="preserve"> </w:t>
      </w:r>
    </w:p>
    <w:p w14:paraId="2240A042" w14:textId="77777777" w:rsidR="002401D0" w:rsidRDefault="002401D0">
      <w:pPr>
        <w:pStyle w:val="ANormal"/>
      </w:pPr>
    </w:p>
    <w:p w14:paraId="7210ACAC" w14:textId="7BBB5E5F" w:rsidR="00FD6AA8" w:rsidRDefault="002401D0">
      <w:pPr>
        <w:pStyle w:val="Klam"/>
      </w:pPr>
      <w:r>
        <w:t>att lagtinget</w:t>
      </w:r>
      <w:r w:rsidR="00D45BD0">
        <w:t xml:space="preserve"> antar lagförslagen i </w:t>
      </w:r>
      <w:r w:rsidR="00F95AF9" w:rsidRPr="00F807F8">
        <w:t>oförändrad</w:t>
      </w:r>
      <w:r w:rsidR="00D45BD0">
        <w:t xml:space="preserve"> lydelse</w:t>
      </w:r>
      <w:r w:rsidR="00FD6AA8">
        <w:t>.</w:t>
      </w:r>
    </w:p>
    <w:p w14:paraId="2450B74E" w14:textId="722A0922" w:rsidR="002401D0" w:rsidRDefault="002401D0">
      <w:pPr>
        <w:pStyle w:val="Klam"/>
      </w:pPr>
    </w:p>
    <w:tbl>
      <w:tblPr>
        <w:tblW w:w="7931" w:type="dxa"/>
        <w:tblCellMar>
          <w:left w:w="0" w:type="dxa"/>
          <w:right w:w="0" w:type="dxa"/>
        </w:tblCellMar>
        <w:tblLook w:val="0000" w:firstRow="0" w:lastRow="0" w:firstColumn="0" w:lastColumn="0" w:noHBand="0" w:noVBand="0"/>
      </w:tblPr>
      <w:tblGrid>
        <w:gridCol w:w="4454"/>
        <w:gridCol w:w="3477"/>
      </w:tblGrid>
      <w:tr w:rsidR="002401D0" w14:paraId="56DA7595" w14:textId="77777777">
        <w:trPr>
          <w:cantSplit/>
        </w:trPr>
        <w:tc>
          <w:tcPr>
            <w:tcW w:w="7931" w:type="dxa"/>
            <w:gridSpan w:val="2"/>
          </w:tcPr>
          <w:p w14:paraId="3B4811AA" w14:textId="5BD007C7" w:rsidR="002401D0" w:rsidRDefault="002401D0">
            <w:pPr>
              <w:pStyle w:val="ANormal"/>
              <w:keepNext/>
            </w:pPr>
            <w:r>
              <w:t xml:space="preserve">Mariehamn den </w:t>
            </w:r>
            <w:r w:rsidR="00F95AF9" w:rsidRPr="00DF0F9F">
              <w:t>28</w:t>
            </w:r>
            <w:r w:rsidR="00D45BD0">
              <w:t xml:space="preserve"> maj 2020</w:t>
            </w:r>
          </w:p>
        </w:tc>
      </w:tr>
      <w:tr w:rsidR="002401D0" w14:paraId="21CA6DC3" w14:textId="77777777">
        <w:tc>
          <w:tcPr>
            <w:tcW w:w="4454" w:type="dxa"/>
            <w:vAlign w:val="bottom"/>
          </w:tcPr>
          <w:p w14:paraId="15DDB245" w14:textId="77777777" w:rsidR="002401D0" w:rsidRDefault="002401D0">
            <w:pPr>
              <w:pStyle w:val="ANormal"/>
              <w:keepNext/>
            </w:pPr>
          </w:p>
          <w:p w14:paraId="750CAC13" w14:textId="77777777" w:rsidR="002401D0" w:rsidRDefault="002401D0">
            <w:pPr>
              <w:pStyle w:val="ANormal"/>
              <w:keepNext/>
            </w:pPr>
          </w:p>
          <w:p w14:paraId="023238C9" w14:textId="77777777" w:rsidR="002401D0" w:rsidRDefault="002401D0">
            <w:pPr>
              <w:pStyle w:val="ANormal"/>
              <w:keepNext/>
            </w:pPr>
            <w:r>
              <w:t>Ordförande</w:t>
            </w:r>
          </w:p>
        </w:tc>
        <w:tc>
          <w:tcPr>
            <w:tcW w:w="3477" w:type="dxa"/>
            <w:vAlign w:val="bottom"/>
          </w:tcPr>
          <w:p w14:paraId="5BB92F70" w14:textId="77777777" w:rsidR="002401D0" w:rsidRDefault="002401D0">
            <w:pPr>
              <w:pStyle w:val="ANormal"/>
              <w:keepNext/>
            </w:pPr>
          </w:p>
          <w:p w14:paraId="6A5DD346" w14:textId="77777777" w:rsidR="002401D0" w:rsidRDefault="002401D0">
            <w:pPr>
              <w:pStyle w:val="ANormal"/>
              <w:keepNext/>
            </w:pPr>
          </w:p>
          <w:p w14:paraId="2C7F1160" w14:textId="2EBE894C" w:rsidR="002401D0" w:rsidRDefault="00D45BD0">
            <w:pPr>
              <w:pStyle w:val="ANormal"/>
              <w:keepNext/>
            </w:pPr>
            <w:r>
              <w:t>Jörgen Pettersson</w:t>
            </w:r>
          </w:p>
        </w:tc>
      </w:tr>
      <w:tr w:rsidR="002401D0" w14:paraId="4D40BEE1" w14:textId="77777777">
        <w:tc>
          <w:tcPr>
            <w:tcW w:w="4454" w:type="dxa"/>
            <w:vAlign w:val="bottom"/>
          </w:tcPr>
          <w:p w14:paraId="6DE19C2B" w14:textId="77777777" w:rsidR="002401D0" w:rsidRDefault="002401D0">
            <w:pPr>
              <w:pStyle w:val="ANormal"/>
              <w:keepNext/>
            </w:pPr>
          </w:p>
          <w:p w14:paraId="0330FEA8" w14:textId="77777777" w:rsidR="002401D0" w:rsidRDefault="002401D0">
            <w:pPr>
              <w:pStyle w:val="ANormal"/>
              <w:keepNext/>
            </w:pPr>
          </w:p>
          <w:p w14:paraId="09A62F34" w14:textId="77777777" w:rsidR="002401D0" w:rsidRDefault="002401D0">
            <w:pPr>
              <w:pStyle w:val="ANormal"/>
              <w:keepNext/>
            </w:pPr>
            <w:r>
              <w:t>Sekreterare</w:t>
            </w:r>
          </w:p>
        </w:tc>
        <w:tc>
          <w:tcPr>
            <w:tcW w:w="3477" w:type="dxa"/>
            <w:vAlign w:val="bottom"/>
          </w:tcPr>
          <w:p w14:paraId="476D8BE6" w14:textId="77777777" w:rsidR="002401D0" w:rsidRDefault="002401D0">
            <w:pPr>
              <w:pStyle w:val="ANormal"/>
              <w:keepNext/>
            </w:pPr>
          </w:p>
          <w:p w14:paraId="509CD541" w14:textId="77777777" w:rsidR="002401D0" w:rsidRDefault="002401D0">
            <w:pPr>
              <w:pStyle w:val="ANormal"/>
              <w:keepNext/>
            </w:pPr>
          </w:p>
          <w:p w14:paraId="2BADFFF2" w14:textId="72AEDC9C" w:rsidR="002401D0" w:rsidRDefault="00D45BD0">
            <w:pPr>
              <w:pStyle w:val="ANormal"/>
              <w:keepNext/>
            </w:pPr>
            <w:r>
              <w:t>Emma Dahlén</w:t>
            </w:r>
          </w:p>
        </w:tc>
      </w:tr>
    </w:tbl>
    <w:p w14:paraId="47E7A105"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D64DC" w14:textId="77777777" w:rsidR="008006C3" w:rsidRDefault="008006C3">
      <w:r>
        <w:separator/>
      </w:r>
    </w:p>
  </w:endnote>
  <w:endnote w:type="continuationSeparator" w:id="0">
    <w:p w14:paraId="18BDDBD9" w14:textId="77777777" w:rsidR="008006C3" w:rsidRDefault="0080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FFDB8"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DC7EC" w14:textId="2E0A32E7" w:rsidR="002401D0" w:rsidRDefault="002401D0">
    <w:pPr>
      <w:pStyle w:val="Sidfot"/>
      <w:rPr>
        <w:lang w:val="fi-FI"/>
      </w:rPr>
    </w:pPr>
    <w:r>
      <w:fldChar w:fldCharType="begin"/>
    </w:r>
    <w:r>
      <w:rPr>
        <w:lang w:val="fi-FI"/>
      </w:rPr>
      <w:instrText xml:space="preserve"> FILENAME  \* MERGEFORMAT </w:instrText>
    </w:r>
    <w:r>
      <w:fldChar w:fldCharType="separate"/>
    </w:r>
    <w:r w:rsidR="007A586D">
      <w:rPr>
        <w:noProof/>
        <w:lang w:val="fi-FI"/>
      </w:rPr>
      <w:t>FNU1620192020.docx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036C0"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A4B0A" w14:textId="77777777" w:rsidR="008006C3" w:rsidRDefault="008006C3">
      <w:r>
        <w:separator/>
      </w:r>
    </w:p>
  </w:footnote>
  <w:footnote w:type="continuationSeparator" w:id="0">
    <w:p w14:paraId="3F00E73B" w14:textId="77777777" w:rsidR="008006C3" w:rsidRDefault="00800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A94A0" w14:textId="4C988E93"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C67870">
      <w:rPr>
        <w:rStyle w:val="Sidnummer"/>
        <w:noProof/>
      </w:rPr>
      <w:t>2</w:t>
    </w:r>
    <w:r>
      <w:rPr>
        <w:rStyle w:val="Sidnummer"/>
      </w:rPr>
      <w:fldChar w:fldCharType="end"/>
    </w:r>
  </w:p>
  <w:p w14:paraId="6DB4A29A"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8F548" w14:textId="6B326E1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B40D4E">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6C3"/>
    <w:rsid w:val="00015E9C"/>
    <w:rsid w:val="00051556"/>
    <w:rsid w:val="000B2DC9"/>
    <w:rsid w:val="000D6353"/>
    <w:rsid w:val="000F7417"/>
    <w:rsid w:val="0015337C"/>
    <w:rsid w:val="001F258C"/>
    <w:rsid w:val="00205A41"/>
    <w:rsid w:val="002401D0"/>
    <w:rsid w:val="0024325A"/>
    <w:rsid w:val="0036359C"/>
    <w:rsid w:val="00544440"/>
    <w:rsid w:val="006B2E9E"/>
    <w:rsid w:val="00723B93"/>
    <w:rsid w:val="00753A0A"/>
    <w:rsid w:val="00770D5B"/>
    <w:rsid w:val="007A586D"/>
    <w:rsid w:val="007D78F8"/>
    <w:rsid w:val="007F26A2"/>
    <w:rsid w:val="008006C3"/>
    <w:rsid w:val="00811D50"/>
    <w:rsid w:val="00817B04"/>
    <w:rsid w:val="008607FB"/>
    <w:rsid w:val="00956F68"/>
    <w:rsid w:val="00957C36"/>
    <w:rsid w:val="009D73B2"/>
    <w:rsid w:val="009E1CFA"/>
    <w:rsid w:val="009F7CE2"/>
    <w:rsid w:val="00B32E91"/>
    <w:rsid w:val="00B36A8F"/>
    <w:rsid w:val="00B40D4E"/>
    <w:rsid w:val="00B90DEC"/>
    <w:rsid w:val="00C67870"/>
    <w:rsid w:val="00CB087E"/>
    <w:rsid w:val="00CF700E"/>
    <w:rsid w:val="00D45BD0"/>
    <w:rsid w:val="00D471E1"/>
    <w:rsid w:val="00DC45B2"/>
    <w:rsid w:val="00DF0F9F"/>
    <w:rsid w:val="00F807F8"/>
    <w:rsid w:val="00F95AF9"/>
    <w:rsid w:val="00FC3A2B"/>
    <w:rsid w:val="00FD6AA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D360F"/>
  <w15:chartTrackingRefBased/>
  <w15:docId w15:val="{687DA8B2-393B-43CE-B678-26130274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8006C3"/>
    <w:rPr>
      <w:sz w:val="22"/>
      <w:lang w:val="sv-SE" w:eastAsia="sv-SE"/>
    </w:rPr>
  </w:style>
  <w:style w:type="paragraph" w:customStyle="1" w:styleId="anormal0">
    <w:name w:val="anormal"/>
    <w:basedOn w:val="Normal"/>
    <w:rsid w:val="008607FB"/>
    <w:pPr>
      <w:spacing w:before="100" w:beforeAutospacing="1" w:after="100" w:afterAutospacing="1"/>
    </w:pPr>
    <w:rPr>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964823">
      <w:bodyDiv w:val="1"/>
      <w:marLeft w:val="0"/>
      <w:marRight w:val="0"/>
      <w:marTop w:val="0"/>
      <w:marBottom w:val="0"/>
      <w:divBdr>
        <w:top w:val="none" w:sz="0" w:space="0" w:color="auto"/>
        <w:left w:val="none" w:sz="0" w:space="0" w:color="auto"/>
        <w:bottom w:val="none" w:sz="0" w:space="0" w:color="auto"/>
        <w:right w:val="none" w:sz="0" w:space="0" w:color="auto"/>
      </w:divBdr>
    </w:div>
    <w:div w:id="143976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3</TotalTime>
  <Pages>2</Pages>
  <Words>688</Words>
  <Characters>5087</Characters>
  <Application>Microsoft Office Word</Application>
  <DocSecurity>0</DocSecurity>
  <Lines>42</Lines>
  <Paragraphs>11</Paragraphs>
  <ScaleCrop>false</ScaleCrop>
  <HeadingPairs>
    <vt:vector size="2" baseType="variant">
      <vt:variant>
        <vt:lpstr>Rubrik</vt:lpstr>
      </vt:variant>
      <vt:variant>
        <vt:i4>1</vt:i4>
      </vt:variant>
    </vt:vector>
  </HeadingPairs>
  <TitlesOfParts>
    <vt:vector size="1" baseType="lpstr">
      <vt:lpstr>Finans och näringsutskottets betänkande nr x/2019-2020</vt:lpstr>
    </vt:vector>
  </TitlesOfParts>
  <Company>Ålands lagting</Company>
  <LinksUpToDate>false</LinksUpToDate>
  <CharactersWithSpaces>5764</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näringsutskottets betänkande nr 16/2019-2020</dc:title>
  <dc:subject/>
  <dc:creator>Jessica Laaksonen</dc:creator>
  <cp:keywords/>
  <cp:lastModifiedBy>Jessica Laaksonen</cp:lastModifiedBy>
  <cp:revision>2</cp:revision>
  <cp:lastPrinted>2020-05-28T09:43:00Z</cp:lastPrinted>
  <dcterms:created xsi:type="dcterms:W3CDTF">2020-05-28T09:48:00Z</dcterms:created>
  <dcterms:modified xsi:type="dcterms:W3CDTF">2020-05-28T09:48:00Z</dcterms:modified>
</cp:coreProperties>
</file>