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509D4619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5EA26677" w14:textId="77777777" w:rsidR="00337A19" w:rsidRDefault="001A43D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15318294" wp14:editId="276B3159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1741C131" w14:textId="77777777" w:rsidR="00337A19" w:rsidRDefault="001A43D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5650E50B" wp14:editId="786FBC4C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4E459686" w14:textId="77777777">
        <w:trPr>
          <w:cantSplit/>
          <w:trHeight w:val="299"/>
        </w:trPr>
        <w:tc>
          <w:tcPr>
            <w:tcW w:w="861" w:type="dxa"/>
            <w:vMerge/>
          </w:tcPr>
          <w:p w14:paraId="3C9709FE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0967381C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7E02DB0" w14:textId="487DA946" w:rsidR="00337A19" w:rsidRDefault="00337A19" w:rsidP="009F1162">
            <w:pPr>
              <w:pStyle w:val="xDokTypNr"/>
            </w:pPr>
            <w:r>
              <w:t xml:space="preserve">BESLUT LTB </w:t>
            </w:r>
            <w:r w:rsidR="00E24803">
              <w:t>6</w:t>
            </w:r>
            <w:bookmarkStart w:id="1" w:name="_GoBack"/>
            <w:bookmarkEnd w:id="1"/>
            <w:r>
              <w:t>/20</w:t>
            </w:r>
            <w:r w:rsidR="001A43D6">
              <w:t>20</w:t>
            </w:r>
          </w:p>
        </w:tc>
      </w:tr>
      <w:tr w:rsidR="00337A19" w14:paraId="59CA0C8E" w14:textId="77777777">
        <w:trPr>
          <w:cantSplit/>
          <w:trHeight w:val="238"/>
        </w:trPr>
        <w:tc>
          <w:tcPr>
            <w:tcW w:w="861" w:type="dxa"/>
            <w:vMerge/>
          </w:tcPr>
          <w:p w14:paraId="5EAC677F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170B64A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B213BA0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34F9449D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10AEC5C5" w14:textId="77777777">
        <w:trPr>
          <w:cantSplit/>
          <w:trHeight w:val="238"/>
        </w:trPr>
        <w:tc>
          <w:tcPr>
            <w:tcW w:w="861" w:type="dxa"/>
            <w:vMerge/>
          </w:tcPr>
          <w:p w14:paraId="37509567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298066E3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3DF7DD78" w14:textId="77777777" w:rsidR="00337A19" w:rsidRDefault="00337A19">
            <w:pPr>
              <w:pStyle w:val="xDatum1"/>
            </w:pPr>
            <w:r>
              <w:t>20</w:t>
            </w:r>
            <w:r w:rsidR="001A43D6">
              <w:t>20-03-30</w:t>
            </w:r>
          </w:p>
        </w:tc>
        <w:tc>
          <w:tcPr>
            <w:tcW w:w="2563" w:type="dxa"/>
            <w:vAlign w:val="center"/>
          </w:tcPr>
          <w:p w14:paraId="68F8179D" w14:textId="77777777" w:rsidR="00337A19" w:rsidRDefault="001A43D6">
            <w:pPr>
              <w:pStyle w:val="xBeteckning1"/>
            </w:pPr>
            <w:r>
              <w:t>LF 13/</w:t>
            </w:r>
            <w:proofErr w:type="gramStart"/>
            <w:r>
              <w:t>2019-2020</w:t>
            </w:r>
            <w:proofErr w:type="gramEnd"/>
          </w:p>
        </w:tc>
      </w:tr>
      <w:tr w:rsidR="00337A19" w14:paraId="0812E309" w14:textId="77777777">
        <w:trPr>
          <w:cantSplit/>
          <w:trHeight w:val="238"/>
        </w:trPr>
        <w:tc>
          <w:tcPr>
            <w:tcW w:w="861" w:type="dxa"/>
            <w:vMerge/>
          </w:tcPr>
          <w:p w14:paraId="1BE5C0F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8290951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95741BE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6381DD47" w14:textId="77777777" w:rsidR="00337A19" w:rsidRDefault="00337A19">
            <w:pPr>
              <w:pStyle w:val="xLedtext"/>
            </w:pPr>
          </w:p>
        </w:tc>
      </w:tr>
      <w:tr w:rsidR="00337A19" w14:paraId="741DDE85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579C7582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2854E0A2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5B3A699D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6AF27FCD" w14:textId="77777777" w:rsidR="00337A19" w:rsidRDefault="00337A19">
            <w:pPr>
              <w:pStyle w:val="xBeteckning2"/>
            </w:pPr>
          </w:p>
        </w:tc>
      </w:tr>
      <w:tr w:rsidR="00337A19" w14:paraId="61A9F40D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38EE88AE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31FE587F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595DF73" w14:textId="77777777" w:rsidR="00337A19" w:rsidRDefault="00337A19">
            <w:pPr>
              <w:pStyle w:val="xLedtext"/>
            </w:pPr>
          </w:p>
        </w:tc>
      </w:tr>
      <w:tr w:rsidR="00337A19" w14:paraId="5C3F6D9E" w14:textId="77777777">
        <w:trPr>
          <w:cantSplit/>
          <w:trHeight w:val="238"/>
        </w:trPr>
        <w:tc>
          <w:tcPr>
            <w:tcW w:w="861" w:type="dxa"/>
          </w:tcPr>
          <w:p w14:paraId="5004762E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636AC49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0A7C43BD" w14:textId="77777777" w:rsidR="00337A19" w:rsidRDefault="00337A19">
            <w:pPr>
              <w:pStyle w:val="xCelltext"/>
            </w:pPr>
          </w:p>
        </w:tc>
      </w:tr>
    </w:tbl>
    <w:p w14:paraId="085D3CF0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7BF7844C" w14:textId="77777777" w:rsidR="00337A19" w:rsidRDefault="00337A19">
      <w:pPr>
        <w:pStyle w:val="ArendeOverRubrik"/>
      </w:pPr>
      <w:r>
        <w:t>Ålands lagtings beslut om antagande av</w:t>
      </w:r>
    </w:p>
    <w:p w14:paraId="619B51E4" w14:textId="77777777" w:rsidR="001A43D6" w:rsidRDefault="00337A19" w:rsidP="001A43D6">
      <w:pPr>
        <w:pStyle w:val="ArendeRubrik"/>
        <w:outlineLvl w:val="0"/>
      </w:pPr>
      <w:bookmarkStart w:id="2" w:name="_Toc65564307"/>
      <w:r>
        <w:t>Landskapslag</w:t>
      </w:r>
      <w:bookmarkEnd w:id="2"/>
      <w:r w:rsidR="001A43D6">
        <w:t xml:space="preserve"> </w:t>
      </w:r>
      <w:r w:rsidR="001A43D6" w:rsidRPr="00137FD1">
        <w:t>om t</w:t>
      </w:r>
      <w:r w:rsidR="001A43D6">
        <w:t xml:space="preserve">emporärt tilläggsstöd till den som lyfter </w:t>
      </w:r>
      <w:r w:rsidR="001A43D6" w:rsidRPr="001A43D6">
        <w:t>grunddagpenning eller arbetsmarknadsstöd</w:t>
      </w:r>
    </w:p>
    <w:p w14:paraId="1EA18274" w14:textId="77777777" w:rsidR="001A43D6" w:rsidRPr="001A43D6" w:rsidRDefault="001A43D6" w:rsidP="001A43D6">
      <w:pPr>
        <w:pStyle w:val="ArendeUnderRubrik"/>
        <w:numPr>
          <w:ilvl w:val="0"/>
          <w:numId w:val="0"/>
        </w:numPr>
        <w:ind w:left="283"/>
      </w:pPr>
    </w:p>
    <w:p w14:paraId="351661D3" w14:textId="77777777" w:rsidR="00337A19" w:rsidRDefault="00337A19">
      <w:pPr>
        <w:pStyle w:val="ANormal"/>
      </w:pPr>
    </w:p>
    <w:p w14:paraId="36B3B2A5" w14:textId="77777777" w:rsidR="001A43D6" w:rsidRDefault="00337A19" w:rsidP="001A43D6">
      <w:pPr>
        <w:pStyle w:val="ANormal"/>
      </w:pPr>
      <w:r>
        <w:tab/>
        <w:t xml:space="preserve">I enlighet med lagtingets beslut </w:t>
      </w:r>
      <w:r w:rsidR="001A43D6">
        <w:t>föreskrivs:</w:t>
      </w:r>
    </w:p>
    <w:p w14:paraId="26D9395D" w14:textId="77777777" w:rsidR="001A43D6" w:rsidRDefault="001A43D6" w:rsidP="001A43D6">
      <w:pPr>
        <w:pStyle w:val="ANormal"/>
      </w:pPr>
    </w:p>
    <w:p w14:paraId="767A5AF5" w14:textId="77777777" w:rsidR="001A43D6" w:rsidRDefault="001A43D6" w:rsidP="001A43D6">
      <w:pPr>
        <w:pStyle w:val="LagParagraf"/>
      </w:pPr>
      <w:r>
        <w:t>1 §</w:t>
      </w:r>
    </w:p>
    <w:p w14:paraId="4F004F5B" w14:textId="77777777" w:rsidR="001A43D6" w:rsidRDefault="001A43D6" w:rsidP="001A43D6">
      <w:pPr>
        <w:pStyle w:val="LagPararubrik"/>
      </w:pPr>
      <w:r>
        <w:t>Lagens syfte</w:t>
      </w:r>
    </w:p>
    <w:p w14:paraId="59F134B1" w14:textId="77777777" w:rsidR="001A43D6" w:rsidRDefault="001A43D6" w:rsidP="001A43D6">
      <w:pPr>
        <w:pStyle w:val="ANormal"/>
      </w:pPr>
      <w:bookmarkStart w:id="3" w:name="_Hlk35935605"/>
      <w:r>
        <w:tab/>
        <w:t xml:space="preserve">Syftet med denna lag är att under begränsad tidsperiod trygga försörjningen hos personer som </w:t>
      </w:r>
      <w:r w:rsidRPr="00CA6155">
        <w:t>har hamnat i en svår situation på arbetsmarknaden</w:t>
      </w:r>
      <w:r>
        <w:t xml:space="preserve"> samt att främja deras </w:t>
      </w:r>
      <w:r w:rsidRPr="00292D9D">
        <w:t>förutsättningar att komma in på eller återvända till arbetsmarknaden.</w:t>
      </w:r>
    </w:p>
    <w:bookmarkEnd w:id="3"/>
    <w:p w14:paraId="157F53F4" w14:textId="77777777" w:rsidR="001A43D6" w:rsidRDefault="001A43D6" w:rsidP="001A43D6">
      <w:pPr>
        <w:pStyle w:val="ANormal"/>
      </w:pPr>
    </w:p>
    <w:p w14:paraId="50C46F76" w14:textId="77777777" w:rsidR="001A43D6" w:rsidRDefault="001A43D6" w:rsidP="001A43D6">
      <w:pPr>
        <w:pStyle w:val="LagParagraf"/>
      </w:pPr>
      <w:r>
        <w:t>2 §</w:t>
      </w:r>
    </w:p>
    <w:p w14:paraId="1AF4E812" w14:textId="77777777" w:rsidR="001A43D6" w:rsidRPr="002C6397" w:rsidRDefault="001A43D6" w:rsidP="001A43D6">
      <w:pPr>
        <w:pStyle w:val="LagPararubrik"/>
      </w:pPr>
      <w:r>
        <w:t>Temporärt tilläggsstöd</w:t>
      </w:r>
    </w:p>
    <w:p w14:paraId="4077CB16" w14:textId="77777777" w:rsidR="001A43D6" w:rsidRDefault="001A43D6" w:rsidP="001A43D6">
      <w:pPr>
        <w:pStyle w:val="ANormal"/>
      </w:pPr>
      <w:r>
        <w:tab/>
        <w:t>För ett i 1 § avsett ändamål kan ett temporärt tilläggsstöd beviljas personer på det sätt som bestäms i denna lag.</w:t>
      </w:r>
    </w:p>
    <w:p w14:paraId="4EB6EEF2" w14:textId="77777777" w:rsidR="001A43D6" w:rsidRDefault="001A43D6" w:rsidP="001A43D6">
      <w:pPr>
        <w:pStyle w:val="ANormal"/>
      </w:pPr>
      <w:r>
        <w:tab/>
        <w:t>Det temporära tilläggsstödet är 30 euro per dag och kan utbetalas för tidsperioden 1 april 2020 – 30 juni 2020. Stödet betalas ut för</w:t>
      </w:r>
      <w:r w:rsidRPr="005B0B6D">
        <w:t xml:space="preserve"> fem dagar per vecka</w:t>
      </w:r>
      <w:r>
        <w:t>.</w:t>
      </w:r>
    </w:p>
    <w:p w14:paraId="5AF99F97" w14:textId="77777777" w:rsidR="001A43D6" w:rsidRDefault="001A43D6" w:rsidP="001A43D6">
      <w:pPr>
        <w:pStyle w:val="ANormal"/>
      </w:pPr>
    </w:p>
    <w:p w14:paraId="356C505A" w14:textId="77777777" w:rsidR="001A43D6" w:rsidRDefault="001A43D6" w:rsidP="001A43D6">
      <w:pPr>
        <w:pStyle w:val="LagParagraf"/>
      </w:pPr>
      <w:r>
        <w:t>3 §</w:t>
      </w:r>
    </w:p>
    <w:p w14:paraId="17536723" w14:textId="77777777" w:rsidR="001A43D6" w:rsidRPr="00F76016" w:rsidRDefault="001A43D6" w:rsidP="001A43D6">
      <w:pPr>
        <w:pStyle w:val="LagPararubrik"/>
      </w:pPr>
      <w:r>
        <w:t>Rätt till temporärt tilläggsstöd</w:t>
      </w:r>
    </w:p>
    <w:p w14:paraId="75A86667" w14:textId="77777777" w:rsidR="001A43D6" w:rsidRDefault="001A43D6" w:rsidP="001A43D6">
      <w:pPr>
        <w:pStyle w:val="ANormal"/>
      </w:pPr>
      <w:bookmarkStart w:id="4" w:name="_Hlk35945126"/>
      <w:r>
        <w:tab/>
        <w:t>Ett temporärt tilläggsstöd kan beviljas den som är berättigad till grunddagpenning eller arbetsmarknadsstöd med stöd av landskapslagen (2003:71) om tillämpning i landskapet Åland av lagen om utkomstskydd för arbetslösa, nedan kallad blankettlagen.</w:t>
      </w:r>
    </w:p>
    <w:p w14:paraId="586D8290" w14:textId="77777777" w:rsidR="001A43D6" w:rsidRDefault="001A43D6" w:rsidP="001A43D6">
      <w:pPr>
        <w:pStyle w:val="ANormal"/>
      </w:pPr>
      <w:r>
        <w:tab/>
        <w:t xml:space="preserve">En förutsättning för att temporärt tilläggsstöd ska beviljas är att personen i fråga har beviljats grunddagpenning eller arbetsmarknadsstöd med stöd av </w:t>
      </w:r>
      <w:bookmarkStart w:id="5" w:name="_Hlk35617069"/>
      <w:r>
        <w:t>blankettlagen och att arbetslöshetsförmånen utbetalas för den i 2 § 2 mom. angivna tidsperioden.</w:t>
      </w:r>
    </w:p>
    <w:bookmarkEnd w:id="5"/>
    <w:p w14:paraId="7C36C5F8" w14:textId="77777777" w:rsidR="001A43D6" w:rsidRDefault="001A43D6" w:rsidP="001A43D6">
      <w:pPr>
        <w:pStyle w:val="ANormal"/>
      </w:pPr>
      <w:r w:rsidRPr="006B3697">
        <w:tab/>
        <w:t xml:space="preserve">Upphör rätten till </w:t>
      </w:r>
      <w:r>
        <w:t xml:space="preserve">en </w:t>
      </w:r>
      <w:r w:rsidRPr="006B3697">
        <w:t>arbetslöshetsförmån enligt blankettlagen upphör också rätten till det temporära tilläggsstödet</w:t>
      </w:r>
      <w:r>
        <w:t xml:space="preserve"> och utbetalningen av tilläggsstödet upphör samtidigt med att utbetalningen av arbetslöshetsförmånen upphör.</w:t>
      </w:r>
    </w:p>
    <w:bookmarkEnd w:id="4"/>
    <w:p w14:paraId="5C55BE5E" w14:textId="77777777" w:rsidR="001A43D6" w:rsidRDefault="001A43D6" w:rsidP="001A43D6">
      <w:pPr>
        <w:pStyle w:val="ANormal"/>
      </w:pPr>
    </w:p>
    <w:p w14:paraId="6074FEFA" w14:textId="77777777" w:rsidR="001A43D6" w:rsidRDefault="001A43D6" w:rsidP="001A43D6">
      <w:pPr>
        <w:pStyle w:val="LagParagraf"/>
      </w:pPr>
      <w:r>
        <w:t>4 §</w:t>
      </w:r>
    </w:p>
    <w:p w14:paraId="0366AD11" w14:textId="77777777" w:rsidR="001A43D6" w:rsidRPr="00DD32B3" w:rsidRDefault="001A43D6" w:rsidP="001A43D6">
      <w:pPr>
        <w:pStyle w:val="LagPararubrik"/>
      </w:pPr>
      <w:r>
        <w:t>Inverkan på arbetslöshetsförmåner</w:t>
      </w:r>
    </w:p>
    <w:p w14:paraId="150A1C67" w14:textId="77777777" w:rsidR="001A43D6" w:rsidRDefault="001A43D6" w:rsidP="001A43D6">
      <w:pPr>
        <w:pStyle w:val="ANormal"/>
      </w:pPr>
      <w:r>
        <w:tab/>
        <w:t>Det temporära tilläggsstödet ska inte inverka på beloppet för de arbetslöshetsförmåner som utbetalas med stöd av blankettlagen.</w:t>
      </w:r>
    </w:p>
    <w:p w14:paraId="3FF049E0" w14:textId="77777777" w:rsidR="001A43D6" w:rsidRDefault="001A43D6" w:rsidP="001A43D6">
      <w:pPr>
        <w:pStyle w:val="ANormal"/>
      </w:pPr>
    </w:p>
    <w:p w14:paraId="004EE188" w14:textId="77777777" w:rsidR="001A43D6" w:rsidRDefault="001A43D6" w:rsidP="001A43D6">
      <w:pPr>
        <w:pStyle w:val="LagParagraf"/>
      </w:pPr>
      <w:r>
        <w:t>5 §</w:t>
      </w:r>
    </w:p>
    <w:p w14:paraId="6D2ED8FF" w14:textId="77777777" w:rsidR="001A43D6" w:rsidRDefault="001A43D6" w:rsidP="001A43D6">
      <w:pPr>
        <w:pStyle w:val="LagPararubrik"/>
      </w:pPr>
      <w:r>
        <w:t>Förfarandet</w:t>
      </w:r>
    </w:p>
    <w:p w14:paraId="3947B07D" w14:textId="77777777" w:rsidR="001A43D6" w:rsidRDefault="001A43D6" w:rsidP="001A43D6">
      <w:pPr>
        <w:pStyle w:val="ANormal"/>
      </w:pPr>
      <w:r>
        <w:tab/>
        <w:t>För att beviljas det temporära tilläggsstödet fordras ingen särskild ansökan, utan rätten till det temporära tilläggsstödet prövas samtidigt med att ansökan om arbetslöshetsförmåner enligt blankettlagen prövas.</w:t>
      </w:r>
    </w:p>
    <w:p w14:paraId="0E4A8B66" w14:textId="77777777" w:rsidR="001A43D6" w:rsidRDefault="001A43D6" w:rsidP="001A43D6">
      <w:pPr>
        <w:pStyle w:val="ANormal"/>
      </w:pPr>
      <w:bookmarkStart w:id="6" w:name="_Hlk35956126"/>
      <w:r>
        <w:tab/>
        <w:t>Det temporära tilläggsstödet b</w:t>
      </w:r>
      <w:r w:rsidRPr="00E56BA9">
        <w:t xml:space="preserve">eviljas från </w:t>
      </w:r>
      <w:r>
        <w:t>samma tidpunkt som en arbetslöshetsförmån enligt blankettlagen beviljas, under förutsättning att arbetslöshetsförmånen gäller för den i 2 § 2 mom. angivna tidsperioden.</w:t>
      </w:r>
    </w:p>
    <w:p w14:paraId="5CD26F51" w14:textId="77777777" w:rsidR="001A43D6" w:rsidRDefault="001A43D6" w:rsidP="001A43D6">
      <w:pPr>
        <w:pStyle w:val="ANormal"/>
      </w:pPr>
      <w:bookmarkStart w:id="7" w:name="_Hlk35957736"/>
      <w:bookmarkEnd w:id="6"/>
      <w:r>
        <w:lastRenderedPageBreak/>
        <w:tab/>
        <w:t>Har en arbetslöshetsförmån enligt blankettlagen beviljats före den 1 april 2020 ska tilläggsstödet endast utbetalas samtidigt med arbetslöshetsförmånen för den i 2 § 2 mom. angivna tidsperioden.</w:t>
      </w:r>
    </w:p>
    <w:p w14:paraId="10055729" w14:textId="77777777" w:rsidR="001A43D6" w:rsidRDefault="001A43D6" w:rsidP="001A43D6">
      <w:pPr>
        <w:pStyle w:val="ANormal"/>
      </w:pPr>
      <w:bookmarkStart w:id="8" w:name="_Hlk35958474"/>
      <w:r>
        <w:tab/>
        <w:t>Om en arbetslöshetsförmån beviljas retroaktivt för en tid som infaller under den i 2 § 2 mom. angivna tidsperioden ska tilläggsstödet utbetalas samtidigt med arbetslöshetsförmånen för nämnda tidsperiod.</w:t>
      </w:r>
    </w:p>
    <w:bookmarkEnd w:id="7"/>
    <w:bookmarkEnd w:id="8"/>
    <w:p w14:paraId="37ED867A" w14:textId="77777777" w:rsidR="001A43D6" w:rsidRPr="00E56BA9" w:rsidRDefault="001A43D6" w:rsidP="001A43D6">
      <w:pPr>
        <w:pStyle w:val="ANormal"/>
      </w:pPr>
      <w:r>
        <w:tab/>
        <w:t>I övrigt ska de med stöd av blankettlagen tillämpliga bestämmelserna om verkställighet i lagen om utkomstskydd för arbetslösa jämte avvikelser iakttas.</w:t>
      </w:r>
    </w:p>
    <w:p w14:paraId="2E4CD435" w14:textId="77777777" w:rsidR="001A43D6" w:rsidRDefault="001A43D6" w:rsidP="001A43D6">
      <w:pPr>
        <w:pStyle w:val="ANormal"/>
      </w:pPr>
    </w:p>
    <w:p w14:paraId="5475BF95" w14:textId="77777777" w:rsidR="001A43D6" w:rsidRDefault="001A43D6" w:rsidP="001A43D6">
      <w:pPr>
        <w:pStyle w:val="LagParagraf"/>
      </w:pPr>
      <w:r>
        <w:t>6 §</w:t>
      </w:r>
    </w:p>
    <w:p w14:paraId="44439829" w14:textId="77777777" w:rsidR="001A43D6" w:rsidRPr="00731915" w:rsidRDefault="001A43D6" w:rsidP="001A43D6">
      <w:pPr>
        <w:pStyle w:val="LagPararubrik"/>
      </w:pPr>
      <w:r>
        <w:t>Förvaltningsmyndighet</w:t>
      </w:r>
    </w:p>
    <w:p w14:paraId="70313F59" w14:textId="77777777" w:rsidR="001A43D6" w:rsidRDefault="001A43D6" w:rsidP="001A43D6">
      <w:pPr>
        <w:pStyle w:val="ANormal"/>
      </w:pPr>
      <w:bookmarkStart w:id="9" w:name="_Hlk35959887"/>
      <w:r>
        <w:tab/>
        <w:t xml:space="preserve">Verkställighetsuppgifterna enligt denna lag sköts av </w:t>
      </w:r>
      <w:bookmarkStart w:id="10" w:name="_Hlk35864829"/>
      <w:r>
        <w:t>Ålands arbetsmarknads- och servicemyndighet</w:t>
      </w:r>
      <w:bookmarkEnd w:id="10"/>
      <w:r>
        <w:t>.</w:t>
      </w:r>
    </w:p>
    <w:bookmarkEnd w:id="9"/>
    <w:p w14:paraId="2C582D19" w14:textId="77777777" w:rsidR="001A43D6" w:rsidRDefault="001A43D6" w:rsidP="001A43D6">
      <w:pPr>
        <w:pStyle w:val="ANormal"/>
      </w:pPr>
    </w:p>
    <w:p w14:paraId="4DC6E3FC" w14:textId="77777777" w:rsidR="001A43D6" w:rsidRDefault="001A43D6" w:rsidP="001A43D6">
      <w:pPr>
        <w:pStyle w:val="LagParagraf"/>
      </w:pPr>
      <w:bookmarkStart w:id="11" w:name="_Hlk35864690"/>
      <w:r>
        <w:t>7 §</w:t>
      </w:r>
    </w:p>
    <w:p w14:paraId="62251476" w14:textId="77777777" w:rsidR="001A43D6" w:rsidRPr="00731915" w:rsidRDefault="001A43D6" w:rsidP="001A43D6">
      <w:pPr>
        <w:pStyle w:val="LagPararubrik"/>
      </w:pPr>
      <w:r>
        <w:t>Finansiering</w:t>
      </w:r>
    </w:p>
    <w:p w14:paraId="438ECB82" w14:textId="77777777" w:rsidR="001A43D6" w:rsidRDefault="001A43D6" w:rsidP="001A43D6">
      <w:pPr>
        <w:pStyle w:val="ANormal"/>
      </w:pPr>
      <w:r>
        <w:tab/>
        <w:t xml:space="preserve">De förmåner som omfattas av </w:t>
      </w:r>
      <w:bookmarkEnd w:id="11"/>
      <w:r>
        <w:t>denna lag finansieras med landskapsmedel.</w:t>
      </w:r>
    </w:p>
    <w:p w14:paraId="58220F7E" w14:textId="77777777" w:rsidR="001A43D6" w:rsidRDefault="001A43D6" w:rsidP="001A43D6">
      <w:pPr>
        <w:pStyle w:val="ANormal"/>
      </w:pPr>
    </w:p>
    <w:p w14:paraId="2DB949BD" w14:textId="77777777" w:rsidR="001A43D6" w:rsidRDefault="001A43D6" w:rsidP="001A43D6">
      <w:pPr>
        <w:pStyle w:val="LagParagraf"/>
      </w:pPr>
      <w:r>
        <w:t>8 §</w:t>
      </w:r>
    </w:p>
    <w:p w14:paraId="384E9FE4" w14:textId="77777777" w:rsidR="001A43D6" w:rsidRDefault="001A43D6" w:rsidP="001A43D6">
      <w:pPr>
        <w:pStyle w:val="LagPararubrik"/>
      </w:pPr>
      <w:r>
        <w:t>Sökande av ändring</w:t>
      </w:r>
    </w:p>
    <w:p w14:paraId="3B58CB90" w14:textId="77777777" w:rsidR="001A43D6" w:rsidRDefault="001A43D6" w:rsidP="001A43D6">
      <w:pPr>
        <w:pStyle w:val="ANormal"/>
      </w:pPr>
      <w:r>
        <w:tab/>
        <w:t>Beslut som Ålands arbetsmarknads- och servicemyndighet fattar med stöd av denna lag kan överklagas hos Ålands förvaltningsdomstol.</w:t>
      </w:r>
    </w:p>
    <w:p w14:paraId="58863611" w14:textId="77777777" w:rsidR="001A43D6" w:rsidRPr="00C51E27" w:rsidRDefault="001A43D6" w:rsidP="001A43D6">
      <w:pPr>
        <w:pStyle w:val="ANormal"/>
      </w:pPr>
    </w:p>
    <w:p w14:paraId="2FD51374" w14:textId="77777777" w:rsidR="001A43D6" w:rsidRDefault="001A43D6" w:rsidP="001A43D6">
      <w:pPr>
        <w:pStyle w:val="LagParagraf"/>
      </w:pPr>
      <w:r>
        <w:t>9 §</w:t>
      </w:r>
    </w:p>
    <w:p w14:paraId="1C58047D" w14:textId="77777777" w:rsidR="001A43D6" w:rsidRDefault="001A43D6" w:rsidP="001A43D6">
      <w:pPr>
        <w:pStyle w:val="LagPararubrik"/>
      </w:pPr>
      <w:r>
        <w:t>Ikraftträdande</w:t>
      </w:r>
    </w:p>
    <w:p w14:paraId="77B0DD7D" w14:textId="77777777" w:rsidR="001A43D6" w:rsidRDefault="001A43D6" w:rsidP="001A43D6">
      <w:pPr>
        <w:pStyle w:val="ANormal"/>
      </w:pPr>
      <w:r>
        <w:tab/>
        <w:t>Lagtinget bemyndigar landskapsregeringen att bestämma att denna lag helt eller delvis ska träda i kraft i den ordning som föreskrivs i 20 § 3 mom. självstyrelselagen.</w:t>
      </w:r>
    </w:p>
    <w:p w14:paraId="572DF972" w14:textId="77777777" w:rsidR="001A43D6" w:rsidRDefault="001A43D6" w:rsidP="001A43D6">
      <w:pPr>
        <w:pStyle w:val="ANormal"/>
      </w:pPr>
      <w:r>
        <w:t xml:space="preserve">     Denna lag träder i kraft den </w:t>
      </w:r>
    </w:p>
    <w:p w14:paraId="19C78021" w14:textId="77777777" w:rsidR="001A43D6" w:rsidRDefault="001A43D6" w:rsidP="001A43D6">
      <w:pPr>
        <w:pStyle w:val="ANormal"/>
      </w:pPr>
    </w:p>
    <w:p w14:paraId="158B332E" w14:textId="77777777" w:rsidR="001A43D6" w:rsidRDefault="001A43D6" w:rsidP="001A43D6">
      <w:pPr>
        <w:pStyle w:val="ANormal"/>
        <w:rPr>
          <w:szCs w:val="22"/>
        </w:rPr>
      </w:pPr>
    </w:p>
    <w:p w14:paraId="1837203D" w14:textId="77777777" w:rsidR="001A43D6" w:rsidRDefault="00E24803" w:rsidP="001A43D6">
      <w:pPr>
        <w:pStyle w:val="ANormal"/>
        <w:jc w:val="center"/>
      </w:pPr>
      <w:hyperlink w:anchor="_top" w:tooltip="Klicka för att gå till toppen av dokumentet" w:history="1">
        <w:r w:rsidR="001A43D6">
          <w:rPr>
            <w:rStyle w:val="Hyperlnk"/>
          </w:rPr>
          <w:t>__________________</w:t>
        </w:r>
      </w:hyperlink>
    </w:p>
    <w:p w14:paraId="15DC844D" w14:textId="77777777" w:rsidR="00337A19" w:rsidRDefault="00337A19" w:rsidP="005C5E44">
      <w:pPr>
        <w:pStyle w:val="ANormal"/>
        <w:suppressAutoHyphens/>
        <w:outlineLvl w:val="0"/>
      </w:pPr>
    </w:p>
    <w:p w14:paraId="47CC4408" w14:textId="77777777" w:rsidR="00337A19" w:rsidRDefault="00337A19">
      <w:pPr>
        <w:pStyle w:val="ANormal"/>
      </w:pPr>
      <w:r>
        <w:tab/>
      </w:r>
    </w:p>
    <w:p w14:paraId="025ABA61" w14:textId="77777777" w:rsidR="00337A19" w:rsidRDefault="00337A19">
      <w:pPr>
        <w:pStyle w:val="ANormal"/>
      </w:pPr>
    </w:p>
    <w:p w14:paraId="6DACDC0C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019EAD2D" w14:textId="77777777">
        <w:trPr>
          <w:cantSplit/>
        </w:trPr>
        <w:tc>
          <w:tcPr>
            <w:tcW w:w="6706" w:type="dxa"/>
            <w:gridSpan w:val="2"/>
          </w:tcPr>
          <w:p w14:paraId="1B82BD23" w14:textId="77777777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1A43D6">
              <w:t>30 mars 2020</w:t>
            </w:r>
          </w:p>
        </w:tc>
      </w:tr>
      <w:tr w:rsidR="00337A19" w14:paraId="3AED1420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3F66596F" w14:textId="77777777" w:rsidR="00337A19" w:rsidRDefault="00337A19">
            <w:pPr>
              <w:pStyle w:val="ANormal"/>
              <w:keepNext/>
            </w:pPr>
          </w:p>
          <w:p w14:paraId="5481D91B" w14:textId="77777777" w:rsidR="00337A19" w:rsidRDefault="00337A19">
            <w:pPr>
              <w:pStyle w:val="ANormal"/>
              <w:keepNext/>
            </w:pPr>
          </w:p>
          <w:p w14:paraId="1472C7B0" w14:textId="77777777" w:rsidR="00337A19" w:rsidRDefault="00337A19">
            <w:pPr>
              <w:pStyle w:val="ANormal"/>
              <w:keepNext/>
            </w:pPr>
          </w:p>
          <w:p w14:paraId="12636D7A" w14:textId="77777777" w:rsidR="00337A19" w:rsidRDefault="001A43D6">
            <w:pPr>
              <w:pStyle w:val="ANormal"/>
              <w:keepNext/>
              <w:jc w:val="center"/>
            </w:pPr>
            <w:r>
              <w:t>Roger Nordlund</w:t>
            </w:r>
            <w:r w:rsidR="00D636DC">
              <w:t xml:space="preserve">  </w:t>
            </w:r>
          </w:p>
          <w:p w14:paraId="0B6BA030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1D9DCF72" w14:textId="77777777">
        <w:tc>
          <w:tcPr>
            <w:tcW w:w="3353" w:type="dxa"/>
            <w:vAlign w:val="bottom"/>
          </w:tcPr>
          <w:p w14:paraId="3429DC6D" w14:textId="77777777" w:rsidR="00337A19" w:rsidRDefault="00337A19">
            <w:pPr>
              <w:pStyle w:val="ANormal"/>
              <w:keepNext/>
              <w:jc w:val="center"/>
            </w:pPr>
          </w:p>
          <w:p w14:paraId="44FA2268" w14:textId="77777777" w:rsidR="00337A19" w:rsidRDefault="00337A19">
            <w:pPr>
              <w:pStyle w:val="ANormal"/>
              <w:keepNext/>
              <w:jc w:val="center"/>
            </w:pPr>
          </w:p>
          <w:p w14:paraId="4B06BD55" w14:textId="77777777" w:rsidR="00337A19" w:rsidRDefault="001A43D6">
            <w:pPr>
              <w:pStyle w:val="ANormal"/>
              <w:keepNext/>
              <w:jc w:val="center"/>
            </w:pPr>
            <w:r>
              <w:t xml:space="preserve">Ingrid Zetterman </w:t>
            </w:r>
            <w:r w:rsidR="00D636DC">
              <w:t xml:space="preserve">  </w:t>
            </w:r>
          </w:p>
          <w:p w14:paraId="5C9A3FA4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248867A6" w14:textId="77777777" w:rsidR="00337A19" w:rsidRDefault="00337A19">
            <w:pPr>
              <w:pStyle w:val="ANormal"/>
              <w:keepNext/>
              <w:jc w:val="center"/>
            </w:pPr>
          </w:p>
          <w:p w14:paraId="1FFD0274" w14:textId="77777777" w:rsidR="00337A19" w:rsidRDefault="00337A19">
            <w:pPr>
              <w:pStyle w:val="ANormal"/>
              <w:keepNext/>
              <w:jc w:val="center"/>
            </w:pPr>
          </w:p>
          <w:p w14:paraId="4853E9FE" w14:textId="77777777" w:rsidR="00337A19" w:rsidRDefault="001A43D6">
            <w:pPr>
              <w:pStyle w:val="ANormal"/>
              <w:keepNext/>
              <w:jc w:val="center"/>
            </w:pPr>
            <w:r>
              <w:t>Bert Häggblom</w:t>
            </w:r>
          </w:p>
          <w:p w14:paraId="5644848C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4A2C010F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C489E7" w14:textId="77777777" w:rsidR="001A43D6" w:rsidRDefault="001A43D6">
      <w:r>
        <w:separator/>
      </w:r>
    </w:p>
  </w:endnote>
  <w:endnote w:type="continuationSeparator" w:id="0">
    <w:p w14:paraId="0F112C79" w14:textId="77777777" w:rsidR="001A43D6" w:rsidRDefault="001A4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A5EFB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27019" w14:textId="69337D80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E24803">
      <w:rPr>
        <w:noProof/>
        <w:lang w:val="fi-FI"/>
      </w:rPr>
      <w:t>LTB052020.docx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8EBEB9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979FA0" w14:textId="77777777" w:rsidR="001A43D6" w:rsidRDefault="001A43D6">
      <w:r>
        <w:separator/>
      </w:r>
    </w:p>
  </w:footnote>
  <w:footnote w:type="continuationSeparator" w:id="0">
    <w:p w14:paraId="3383AEC0" w14:textId="77777777" w:rsidR="001A43D6" w:rsidRDefault="001A43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3192A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313914B5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E3810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13"/>
  </w:num>
  <w:num w:numId="11">
    <w:abstractNumId w:val="12"/>
  </w:num>
  <w:num w:numId="12">
    <w:abstractNumId w:val="16"/>
  </w:num>
  <w:num w:numId="13">
    <w:abstractNumId w:val="11"/>
  </w:num>
  <w:num w:numId="14">
    <w:abstractNumId w:val="15"/>
  </w:num>
  <w:num w:numId="15">
    <w:abstractNumId w:val="9"/>
  </w:num>
  <w:num w:numId="16">
    <w:abstractNumId w:val="21"/>
  </w:num>
  <w:num w:numId="17">
    <w:abstractNumId w:val="8"/>
  </w:num>
  <w:num w:numId="18">
    <w:abstractNumId w:val="17"/>
  </w:num>
  <w:num w:numId="19">
    <w:abstractNumId w:val="20"/>
  </w:num>
  <w:num w:numId="20">
    <w:abstractNumId w:val="23"/>
  </w:num>
  <w:num w:numId="21">
    <w:abstractNumId w:val="22"/>
  </w:num>
  <w:num w:numId="22">
    <w:abstractNumId w:val="14"/>
  </w:num>
  <w:num w:numId="23">
    <w:abstractNumId w:val="18"/>
  </w:num>
  <w:num w:numId="24">
    <w:abstractNumId w:val="18"/>
  </w:num>
  <w:num w:numId="25">
    <w:abstractNumId w:val="19"/>
  </w:num>
  <w:num w:numId="26">
    <w:abstractNumId w:val="14"/>
  </w:num>
  <w:num w:numId="27">
    <w:abstractNumId w:val="14"/>
  </w:num>
  <w:num w:numId="28">
    <w:abstractNumId w:val="14"/>
  </w:num>
  <w:num w:numId="29">
    <w:abstractNumId w:val="14"/>
  </w:num>
  <w:num w:numId="30">
    <w:abstractNumId w:val="14"/>
  </w:num>
  <w:num w:numId="31">
    <w:abstractNumId w:val="14"/>
  </w:num>
  <w:num w:numId="32">
    <w:abstractNumId w:val="14"/>
  </w:num>
  <w:num w:numId="33">
    <w:abstractNumId w:val="14"/>
  </w:num>
  <w:num w:numId="34">
    <w:abstractNumId w:val="14"/>
  </w:num>
  <w:num w:numId="35">
    <w:abstractNumId w:val="18"/>
  </w:num>
  <w:num w:numId="36">
    <w:abstractNumId w:val="19"/>
  </w:num>
  <w:num w:numId="37">
    <w:abstractNumId w:val="14"/>
  </w:num>
  <w:num w:numId="38">
    <w:abstractNumId w:val="14"/>
  </w:num>
  <w:num w:numId="39">
    <w:abstractNumId w:val="14"/>
  </w:num>
  <w:num w:numId="40">
    <w:abstractNumId w:val="14"/>
  </w:num>
  <w:num w:numId="41">
    <w:abstractNumId w:val="14"/>
  </w:num>
  <w:num w:numId="42">
    <w:abstractNumId w:val="14"/>
  </w:num>
  <w:num w:numId="43">
    <w:abstractNumId w:val="14"/>
  </w:num>
  <w:num w:numId="44">
    <w:abstractNumId w:val="14"/>
  </w:num>
  <w:num w:numId="4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D6"/>
    <w:rsid w:val="00004B5B"/>
    <w:rsid w:val="001A43D6"/>
    <w:rsid w:val="00284C7A"/>
    <w:rsid w:val="002E1682"/>
    <w:rsid w:val="00337A19"/>
    <w:rsid w:val="0038180C"/>
    <w:rsid w:val="004D7ED5"/>
    <w:rsid w:val="004E7D01"/>
    <w:rsid w:val="004F64FE"/>
    <w:rsid w:val="005C5E44"/>
    <w:rsid w:val="005E1BD9"/>
    <w:rsid w:val="005F6898"/>
    <w:rsid w:val="006538ED"/>
    <w:rsid w:val="008414E5"/>
    <w:rsid w:val="00867707"/>
    <w:rsid w:val="008B5FA2"/>
    <w:rsid w:val="009F1162"/>
    <w:rsid w:val="00B5110A"/>
    <w:rsid w:val="00BD48EF"/>
    <w:rsid w:val="00BE2983"/>
    <w:rsid w:val="00D636DC"/>
    <w:rsid w:val="00DD3988"/>
    <w:rsid w:val="00E24803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6FED7"/>
  <w15:chartTrackingRefBased/>
  <w15:docId w15:val="{1A475F10-28D6-49AC-BCCF-0E4E6B8F5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</Template>
  <TotalTime>9</TotalTime>
  <Pages>2</Pages>
  <Words>475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5/2020</dc:title>
  <dc:subject/>
  <dc:creator>Jessica Laaksonen</dc:creator>
  <cp:keywords/>
  <cp:lastModifiedBy>Jessica Laaksonen</cp:lastModifiedBy>
  <cp:revision>2</cp:revision>
  <cp:lastPrinted>2020-03-27T10:23:00Z</cp:lastPrinted>
  <dcterms:created xsi:type="dcterms:W3CDTF">2020-03-26T09:02:00Z</dcterms:created>
  <dcterms:modified xsi:type="dcterms:W3CDTF">2020-03-27T10:25:00Z</dcterms:modified>
</cp:coreProperties>
</file>