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36646717" w14:textId="77777777">
        <w:trPr>
          <w:cantSplit/>
          <w:trHeight w:val="20"/>
        </w:trPr>
        <w:tc>
          <w:tcPr>
            <w:tcW w:w="861" w:type="dxa"/>
            <w:vMerge w:val="restart"/>
          </w:tcPr>
          <w:p w14:paraId="57222106" w14:textId="77777777" w:rsidR="00AF3004" w:rsidRDefault="00894166">
            <w:pPr>
              <w:pStyle w:val="xLedtext"/>
              <w:keepNext/>
              <w:rPr>
                <w:noProof/>
              </w:rPr>
            </w:pPr>
            <w:bookmarkStart w:id="0" w:name="_GoBack"/>
            <w:bookmarkEnd w:id="0"/>
            <w:r>
              <w:rPr>
                <w:noProof/>
                <w:sz w:val="20"/>
              </w:rPr>
              <w:drawing>
                <wp:anchor distT="0" distB="0" distL="114300" distR="114300" simplePos="0" relativeHeight="251657728" behindDoc="0" locked="0" layoutInCell="1" allowOverlap="1" wp14:anchorId="4EFCFE04" wp14:editId="5AA9B791">
                  <wp:simplePos x="0" y="0"/>
                  <wp:positionH relativeFrom="column">
                    <wp:posOffset>-31115</wp:posOffset>
                  </wp:positionH>
                  <wp:positionV relativeFrom="paragraph">
                    <wp:posOffset>635</wp:posOffset>
                  </wp:positionV>
                  <wp:extent cx="2647950" cy="685800"/>
                  <wp:effectExtent l="0" t="0" r="0" b="0"/>
                  <wp:wrapNone/>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5359C842" w14:textId="77777777" w:rsidR="00AF3004" w:rsidRDefault="00894166">
            <w:pPr>
              <w:pStyle w:val="xMellanrum"/>
            </w:pPr>
            <w:r>
              <w:rPr>
                <w:noProof/>
              </w:rPr>
              <w:drawing>
                <wp:inline distT="0" distB="0" distL="0" distR="0" wp14:anchorId="3BF426E5" wp14:editId="2084E447">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1890D29A" w14:textId="77777777">
        <w:trPr>
          <w:cantSplit/>
          <w:trHeight w:val="299"/>
        </w:trPr>
        <w:tc>
          <w:tcPr>
            <w:tcW w:w="861" w:type="dxa"/>
            <w:vMerge/>
          </w:tcPr>
          <w:p w14:paraId="44D3B266" w14:textId="77777777" w:rsidR="00AF3004" w:rsidRDefault="00AF3004">
            <w:pPr>
              <w:pStyle w:val="xLedtext"/>
            </w:pPr>
          </w:p>
        </w:tc>
        <w:tc>
          <w:tcPr>
            <w:tcW w:w="4448" w:type="dxa"/>
            <w:vAlign w:val="bottom"/>
          </w:tcPr>
          <w:p w14:paraId="086FD31E" w14:textId="77777777" w:rsidR="00AF3004" w:rsidRDefault="00AF3004">
            <w:pPr>
              <w:pStyle w:val="xAvsandare1"/>
            </w:pPr>
          </w:p>
        </w:tc>
        <w:tc>
          <w:tcPr>
            <w:tcW w:w="4288" w:type="dxa"/>
            <w:gridSpan w:val="2"/>
            <w:vAlign w:val="bottom"/>
          </w:tcPr>
          <w:p w14:paraId="4502D421" w14:textId="174A2CDA" w:rsidR="00AF3004" w:rsidRDefault="00894166">
            <w:pPr>
              <w:pStyle w:val="xDokTypNr"/>
            </w:pPr>
            <w:r>
              <w:t>LAGFÖRSLAG</w:t>
            </w:r>
            <w:r w:rsidR="00AF3004">
              <w:t xml:space="preserve"> nr </w:t>
            </w:r>
            <w:r w:rsidR="00B73F4C">
              <w:t>12</w:t>
            </w:r>
            <w:r w:rsidR="00AF3004">
              <w:t>/20</w:t>
            </w:r>
            <w:r>
              <w:t>19</w:t>
            </w:r>
            <w:r w:rsidR="00C03B55">
              <w:t>–</w:t>
            </w:r>
            <w:r w:rsidR="00AF3004">
              <w:t>20</w:t>
            </w:r>
            <w:r>
              <w:t>2</w:t>
            </w:r>
            <w:r w:rsidR="00AF3004">
              <w:t>0</w:t>
            </w:r>
          </w:p>
        </w:tc>
      </w:tr>
      <w:tr w:rsidR="00AF3004" w14:paraId="00EBB7D0" w14:textId="77777777">
        <w:trPr>
          <w:cantSplit/>
          <w:trHeight w:val="238"/>
        </w:trPr>
        <w:tc>
          <w:tcPr>
            <w:tcW w:w="861" w:type="dxa"/>
            <w:vMerge/>
          </w:tcPr>
          <w:p w14:paraId="06EC24E8" w14:textId="77777777" w:rsidR="00AF3004" w:rsidRDefault="00AF3004">
            <w:pPr>
              <w:pStyle w:val="xLedtext"/>
            </w:pPr>
          </w:p>
        </w:tc>
        <w:tc>
          <w:tcPr>
            <w:tcW w:w="4448" w:type="dxa"/>
            <w:vAlign w:val="bottom"/>
          </w:tcPr>
          <w:p w14:paraId="2C508C48" w14:textId="77777777" w:rsidR="00AF3004" w:rsidRDefault="00AF3004">
            <w:pPr>
              <w:pStyle w:val="xLedtext"/>
            </w:pPr>
          </w:p>
        </w:tc>
        <w:tc>
          <w:tcPr>
            <w:tcW w:w="1725" w:type="dxa"/>
            <w:vAlign w:val="bottom"/>
          </w:tcPr>
          <w:p w14:paraId="2922823F" w14:textId="77777777" w:rsidR="00AF3004" w:rsidRDefault="00AF3004">
            <w:pPr>
              <w:pStyle w:val="xLedtext"/>
              <w:rPr>
                <w:lang w:val="de-DE"/>
              </w:rPr>
            </w:pPr>
            <w:r>
              <w:rPr>
                <w:lang w:val="de-DE"/>
              </w:rPr>
              <w:t>Datum</w:t>
            </w:r>
          </w:p>
        </w:tc>
        <w:tc>
          <w:tcPr>
            <w:tcW w:w="2563" w:type="dxa"/>
            <w:vAlign w:val="bottom"/>
          </w:tcPr>
          <w:p w14:paraId="2BEB676E" w14:textId="77777777" w:rsidR="00AF3004" w:rsidRDefault="00AF3004">
            <w:pPr>
              <w:pStyle w:val="xLedtext"/>
              <w:rPr>
                <w:lang w:val="de-DE"/>
              </w:rPr>
            </w:pPr>
          </w:p>
        </w:tc>
      </w:tr>
      <w:tr w:rsidR="00AF3004" w14:paraId="463CBF12" w14:textId="77777777">
        <w:trPr>
          <w:cantSplit/>
          <w:trHeight w:val="238"/>
        </w:trPr>
        <w:tc>
          <w:tcPr>
            <w:tcW w:w="861" w:type="dxa"/>
            <w:vMerge/>
          </w:tcPr>
          <w:p w14:paraId="6DF759A9" w14:textId="77777777" w:rsidR="00AF3004" w:rsidRDefault="00AF3004">
            <w:pPr>
              <w:pStyle w:val="xAvsandare2"/>
              <w:rPr>
                <w:lang w:val="de-DE"/>
              </w:rPr>
            </w:pPr>
          </w:p>
        </w:tc>
        <w:tc>
          <w:tcPr>
            <w:tcW w:w="4448" w:type="dxa"/>
            <w:vAlign w:val="center"/>
          </w:tcPr>
          <w:p w14:paraId="4537A3F4" w14:textId="77777777" w:rsidR="00AF3004" w:rsidRDefault="00AF3004">
            <w:pPr>
              <w:pStyle w:val="xAvsandare2"/>
              <w:rPr>
                <w:lang w:val="de-DE"/>
              </w:rPr>
            </w:pPr>
          </w:p>
        </w:tc>
        <w:tc>
          <w:tcPr>
            <w:tcW w:w="1725" w:type="dxa"/>
            <w:vAlign w:val="center"/>
          </w:tcPr>
          <w:p w14:paraId="02999AE4" w14:textId="75A61671" w:rsidR="00AF3004" w:rsidRDefault="00AF3004">
            <w:pPr>
              <w:pStyle w:val="xDatum1"/>
              <w:rPr>
                <w:lang w:val="de-DE"/>
              </w:rPr>
            </w:pPr>
            <w:r>
              <w:rPr>
                <w:lang w:val="de-DE"/>
              </w:rPr>
              <w:t>20</w:t>
            </w:r>
            <w:r w:rsidR="00894166">
              <w:rPr>
                <w:lang w:val="de-DE"/>
              </w:rPr>
              <w:t>2</w:t>
            </w:r>
            <w:r>
              <w:rPr>
                <w:lang w:val="de-DE"/>
              </w:rPr>
              <w:t>0-</w:t>
            </w:r>
            <w:r w:rsidR="00B73F4C">
              <w:rPr>
                <w:lang w:val="de-DE"/>
              </w:rPr>
              <w:t>03</w:t>
            </w:r>
            <w:r>
              <w:rPr>
                <w:lang w:val="de-DE"/>
              </w:rPr>
              <w:t>-</w:t>
            </w:r>
            <w:r w:rsidR="00B73F4C">
              <w:rPr>
                <w:lang w:val="de-DE"/>
              </w:rPr>
              <w:t>12</w:t>
            </w:r>
          </w:p>
        </w:tc>
        <w:tc>
          <w:tcPr>
            <w:tcW w:w="2563" w:type="dxa"/>
            <w:vAlign w:val="center"/>
          </w:tcPr>
          <w:p w14:paraId="59D7C8BC" w14:textId="77777777" w:rsidR="00AF3004" w:rsidRDefault="00AF3004">
            <w:pPr>
              <w:pStyle w:val="xBeteckning1"/>
              <w:rPr>
                <w:lang w:val="de-DE"/>
              </w:rPr>
            </w:pPr>
          </w:p>
        </w:tc>
      </w:tr>
      <w:tr w:rsidR="00AF3004" w14:paraId="0F5E368C" w14:textId="77777777">
        <w:trPr>
          <w:cantSplit/>
          <w:trHeight w:val="238"/>
        </w:trPr>
        <w:tc>
          <w:tcPr>
            <w:tcW w:w="861" w:type="dxa"/>
            <w:vMerge/>
          </w:tcPr>
          <w:p w14:paraId="237B002A" w14:textId="77777777" w:rsidR="00AF3004" w:rsidRDefault="00AF3004">
            <w:pPr>
              <w:pStyle w:val="xLedtext"/>
              <w:rPr>
                <w:lang w:val="de-DE"/>
              </w:rPr>
            </w:pPr>
          </w:p>
        </w:tc>
        <w:tc>
          <w:tcPr>
            <w:tcW w:w="4448" w:type="dxa"/>
            <w:vAlign w:val="bottom"/>
          </w:tcPr>
          <w:p w14:paraId="40C210F1" w14:textId="77777777" w:rsidR="00AF3004" w:rsidRDefault="00AF3004">
            <w:pPr>
              <w:pStyle w:val="xLedtext"/>
              <w:rPr>
                <w:lang w:val="de-DE"/>
              </w:rPr>
            </w:pPr>
          </w:p>
        </w:tc>
        <w:tc>
          <w:tcPr>
            <w:tcW w:w="1725" w:type="dxa"/>
            <w:vAlign w:val="bottom"/>
          </w:tcPr>
          <w:p w14:paraId="7010C48A" w14:textId="77777777" w:rsidR="00AF3004" w:rsidRDefault="00AF3004">
            <w:pPr>
              <w:pStyle w:val="xLedtext"/>
              <w:rPr>
                <w:lang w:val="de-DE"/>
              </w:rPr>
            </w:pPr>
          </w:p>
        </w:tc>
        <w:tc>
          <w:tcPr>
            <w:tcW w:w="2563" w:type="dxa"/>
            <w:vAlign w:val="bottom"/>
          </w:tcPr>
          <w:p w14:paraId="4E50DDEA" w14:textId="77777777" w:rsidR="00AF3004" w:rsidRPr="00195D5D" w:rsidRDefault="00AF3004">
            <w:pPr>
              <w:pStyle w:val="xLedtext"/>
              <w:rPr>
                <w:b/>
                <w:bCs/>
                <w:sz w:val="20"/>
                <w:szCs w:val="20"/>
                <w:lang w:val="de-DE"/>
              </w:rPr>
            </w:pPr>
          </w:p>
        </w:tc>
      </w:tr>
      <w:tr w:rsidR="00AF3004" w14:paraId="4A84B988" w14:textId="77777777">
        <w:trPr>
          <w:cantSplit/>
          <w:trHeight w:val="238"/>
        </w:trPr>
        <w:tc>
          <w:tcPr>
            <w:tcW w:w="861" w:type="dxa"/>
            <w:vMerge/>
            <w:tcBorders>
              <w:bottom w:val="single" w:sz="4" w:space="0" w:color="auto"/>
            </w:tcBorders>
          </w:tcPr>
          <w:p w14:paraId="2C5F58DA" w14:textId="77777777" w:rsidR="00AF3004" w:rsidRDefault="00AF3004">
            <w:pPr>
              <w:pStyle w:val="xAvsandare3"/>
              <w:rPr>
                <w:lang w:val="de-DE"/>
              </w:rPr>
            </w:pPr>
          </w:p>
        </w:tc>
        <w:tc>
          <w:tcPr>
            <w:tcW w:w="4448" w:type="dxa"/>
            <w:tcBorders>
              <w:bottom w:val="single" w:sz="4" w:space="0" w:color="auto"/>
            </w:tcBorders>
            <w:vAlign w:val="center"/>
          </w:tcPr>
          <w:p w14:paraId="60E05B51" w14:textId="77777777" w:rsidR="00AF3004" w:rsidRDefault="00AF3004">
            <w:pPr>
              <w:pStyle w:val="xAvsandare3"/>
              <w:rPr>
                <w:lang w:val="de-DE"/>
              </w:rPr>
            </w:pPr>
          </w:p>
        </w:tc>
        <w:tc>
          <w:tcPr>
            <w:tcW w:w="1725" w:type="dxa"/>
            <w:tcBorders>
              <w:bottom w:val="single" w:sz="4" w:space="0" w:color="auto"/>
            </w:tcBorders>
            <w:vAlign w:val="center"/>
          </w:tcPr>
          <w:p w14:paraId="1A1C0E24" w14:textId="77777777" w:rsidR="00AF3004" w:rsidRDefault="00AF3004">
            <w:pPr>
              <w:pStyle w:val="xDatum2"/>
              <w:rPr>
                <w:lang w:val="de-DE"/>
              </w:rPr>
            </w:pPr>
          </w:p>
        </w:tc>
        <w:tc>
          <w:tcPr>
            <w:tcW w:w="2563" w:type="dxa"/>
            <w:tcBorders>
              <w:bottom w:val="single" w:sz="4" w:space="0" w:color="auto"/>
            </w:tcBorders>
            <w:vAlign w:val="center"/>
          </w:tcPr>
          <w:p w14:paraId="41573B24" w14:textId="77777777" w:rsidR="00AF3004" w:rsidRDefault="00AF3004">
            <w:pPr>
              <w:pStyle w:val="xBeteckning2"/>
              <w:rPr>
                <w:lang w:val="de-DE"/>
              </w:rPr>
            </w:pPr>
          </w:p>
        </w:tc>
      </w:tr>
      <w:tr w:rsidR="00AF3004" w14:paraId="16E23EC0" w14:textId="77777777">
        <w:trPr>
          <w:cantSplit/>
          <w:trHeight w:val="238"/>
        </w:trPr>
        <w:tc>
          <w:tcPr>
            <w:tcW w:w="861" w:type="dxa"/>
            <w:tcBorders>
              <w:top w:val="single" w:sz="4" w:space="0" w:color="auto"/>
            </w:tcBorders>
            <w:vAlign w:val="bottom"/>
          </w:tcPr>
          <w:p w14:paraId="60CE6DFF" w14:textId="77777777" w:rsidR="00AF3004" w:rsidRDefault="00AF3004">
            <w:pPr>
              <w:pStyle w:val="xLedtext"/>
              <w:rPr>
                <w:lang w:val="de-DE"/>
              </w:rPr>
            </w:pPr>
          </w:p>
        </w:tc>
        <w:tc>
          <w:tcPr>
            <w:tcW w:w="4448" w:type="dxa"/>
            <w:tcBorders>
              <w:top w:val="single" w:sz="4" w:space="0" w:color="auto"/>
            </w:tcBorders>
            <w:vAlign w:val="bottom"/>
          </w:tcPr>
          <w:p w14:paraId="6A5EB670" w14:textId="77777777" w:rsidR="00AF3004" w:rsidRDefault="00AF3004">
            <w:pPr>
              <w:pStyle w:val="xLedtext"/>
              <w:rPr>
                <w:lang w:val="de-DE"/>
              </w:rPr>
            </w:pPr>
          </w:p>
        </w:tc>
        <w:tc>
          <w:tcPr>
            <w:tcW w:w="4288" w:type="dxa"/>
            <w:gridSpan w:val="2"/>
            <w:tcBorders>
              <w:top w:val="single" w:sz="4" w:space="0" w:color="auto"/>
            </w:tcBorders>
            <w:vAlign w:val="bottom"/>
          </w:tcPr>
          <w:p w14:paraId="4E89C89E" w14:textId="77777777" w:rsidR="00AF3004" w:rsidRDefault="00AF3004">
            <w:pPr>
              <w:pStyle w:val="xLedtext"/>
              <w:rPr>
                <w:lang w:val="de-DE"/>
              </w:rPr>
            </w:pPr>
          </w:p>
        </w:tc>
      </w:tr>
      <w:tr w:rsidR="00AF3004" w14:paraId="6A2C9B58" w14:textId="77777777">
        <w:trPr>
          <w:cantSplit/>
          <w:trHeight w:val="238"/>
        </w:trPr>
        <w:tc>
          <w:tcPr>
            <w:tcW w:w="861" w:type="dxa"/>
          </w:tcPr>
          <w:p w14:paraId="008E0E11" w14:textId="77777777" w:rsidR="00AF3004" w:rsidRDefault="00AF3004">
            <w:pPr>
              <w:pStyle w:val="xCelltext"/>
              <w:rPr>
                <w:lang w:val="de-DE"/>
              </w:rPr>
            </w:pPr>
          </w:p>
        </w:tc>
        <w:tc>
          <w:tcPr>
            <w:tcW w:w="4448" w:type="dxa"/>
            <w:vMerge w:val="restart"/>
          </w:tcPr>
          <w:p w14:paraId="64BE4C22" w14:textId="77777777" w:rsidR="00AF3004" w:rsidRDefault="00AF3004">
            <w:pPr>
              <w:pStyle w:val="xMottagare1"/>
            </w:pPr>
            <w:bookmarkStart w:id="1" w:name="_top"/>
            <w:bookmarkEnd w:id="1"/>
            <w:r>
              <w:t>Till Ålands lagting</w:t>
            </w:r>
          </w:p>
        </w:tc>
        <w:tc>
          <w:tcPr>
            <w:tcW w:w="4288" w:type="dxa"/>
            <w:gridSpan w:val="2"/>
            <w:vMerge w:val="restart"/>
          </w:tcPr>
          <w:p w14:paraId="5DA948C3" w14:textId="77777777" w:rsidR="00026BD0" w:rsidRDefault="00026BD0" w:rsidP="00FD45DB">
            <w:pPr>
              <w:pStyle w:val="xMottagare2"/>
              <w:jc w:val="right"/>
              <w:rPr>
                <w:b/>
                <w:bCs w:val="0"/>
                <w:sz w:val="24"/>
                <w:szCs w:val="24"/>
              </w:rPr>
            </w:pPr>
          </w:p>
          <w:p w14:paraId="737BA9C3" w14:textId="7067EF28" w:rsidR="00026BD0" w:rsidRPr="00026BD0" w:rsidRDefault="00026BD0" w:rsidP="00857DAF">
            <w:pPr>
              <w:pStyle w:val="xMottagare2"/>
              <w:jc w:val="right"/>
            </w:pPr>
          </w:p>
        </w:tc>
      </w:tr>
      <w:tr w:rsidR="00AF3004" w14:paraId="25E5C999" w14:textId="77777777">
        <w:trPr>
          <w:cantSplit/>
          <w:trHeight w:val="238"/>
        </w:trPr>
        <w:tc>
          <w:tcPr>
            <w:tcW w:w="861" w:type="dxa"/>
          </w:tcPr>
          <w:p w14:paraId="4C506266" w14:textId="77777777" w:rsidR="00AF3004" w:rsidRDefault="00AF3004">
            <w:pPr>
              <w:pStyle w:val="xCelltext"/>
            </w:pPr>
          </w:p>
        </w:tc>
        <w:tc>
          <w:tcPr>
            <w:tcW w:w="4448" w:type="dxa"/>
            <w:vMerge/>
            <w:vAlign w:val="center"/>
          </w:tcPr>
          <w:p w14:paraId="42DBBE51" w14:textId="77777777" w:rsidR="00AF3004" w:rsidRDefault="00AF3004">
            <w:pPr>
              <w:pStyle w:val="xCelltext"/>
            </w:pPr>
          </w:p>
        </w:tc>
        <w:tc>
          <w:tcPr>
            <w:tcW w:w="4288" w:type="dxa"/>
            <w:gridSpan w:val="2"/>
            <w:vMerge/>
            <w:vAlign w:val="center"/>
          </w:tcPr>
          <w:p w14:paraId="03210C69" w14:textId="77777777" w:rsidR="00AF3004" w:rsidRDefault="00AF3004">
            <w:pPr>
              <w:pStyle w:val="xCelltext"/>
            </w:pPr>
          </w:p>
        </w:tc>
      </w:tr>
      <w:tr w:rsidR="00AF3004" w14:paraId="3CB9A9D9" w14:textId="77777777">
        <w:trPr>
          <w:cantSplit/>
          <w:trHeight w:val="238"/>
        </w:trPr>
        <w:tc>
          <w:tcPr>
            <w:tcW w:w="861" w:type="dxa"/>
          </w:tcPr>
          <w:p w14:paraId="7B73C7ED" w14:textId="77777777" w:rsidR="00AF3004" w:rsidRDefault="00AF3004">
            <w:pPr>
              <w:pStyle w:val="xCelltext"/>
            </w:pPr>
          </w:p>
        </w:tc>
        <w:tc>
          <w:tcPr>
            <w:tcW w:w="4448" w:type="dxa"/>
            <w:vMerge/>
            <w:vAlign w:val="center"/>
          </w:tcPr>
          <w:p w14:paraId="23C9BBAC" w14:textId="77777777" w:rsidR="00AF3004" w:rsidRDefault="00AF3004">
            <w:pPr>
              <w:pStyle w:val="xCelltext"/>
            </w:pPr>
          </w:p>
        </w:tc>
        <w:tc>
          <w:tcPr>
            <w:tcW w:w="4288" w:type="dxa"/>
            <w:gridSpan w:val="2"/>
            <w:vMerge/>
            <w:vAlign w:val="center"/>
          </w:tcPr>
          <w:p w14:paraId="0D31709B" w14:textId="77777777" w:rsidR="00AF3004" w:rsidRDefault="00AF3004">
            <w:pPr>
              <w:pStyle w:val="xCelltext"/>
            </w:pPr>
          </w:p>
        </w:tc>
      </w:tr>
      <w:tr w:rsidR="00AF3004" w14:paraId="03217135" w14:textId="77777777">
        <w:trPr>
          <w:cantSplit/>
          <w:trHeight w:val="238"/>
        </w:trPr>
        <w:tc>
          <w:tcPr>
            <w:tcW w:w="861" w:type="dxa"/>
          </w:tcPr>
          <w:p w14:paraId="39B5C4DF" w14:textId="77777777" w:rsidR="00AF3004" w:rsidRDefault="00AF3004">
            <w:pPr>
              <w:pStyle w:val="xCelltext"/>
            </w:pPr>
          </w:p>
        </w:tc>
        <w:tc>
          <w:tcPr>
            <w:tcW w:w="4448" w:type="dxa"/>
            <w:vMerge/>
            <w:vAlign w:val="center"/>
          </w:tcPr>
          <w:p w14:paraId="0D4E6D17" w14:textId="77777777" w:rsidR="00AF3004" w:rsidRDefault="00AF3004">
            <w:pPr>
              <w:pStyle w:val="xCelltext"/>
            </w:pPr>
          </w:p>
        </w:tc>
        <w:tc>
          <w:tcPr>
            <w:tcW w:w="4288" w:type="dxa"/>
            <w:gridSpan w:val="2"/>
            <w:vMerge/>
            <w:vAlign w:val="center"/>
          </w:tcPr>
          <w:p w14:paraId="14BBC92D" w14:textId="77777777" w:rsidR="00AF3004" w:rsidRDefault="00AF3004">
            <w:pPr>
              <w:pStyle w:val="xCelltext"/>
            </w:pPr>
          </w:p>
        </w:tc>
      </w:tr>
      <w:tr w:rsidR="00AF3004" w14:paraId="43A89595" w14:textId="77777777">
        <w:trPr>
          <w:cantSplit/>
          <w:trHeight w:val="238"/>
        </w:trPr>
        <w:tc>
          <w:tcPr>
            <w:tcW w:w="861" w:type="dxa"/>
          </w:tcPr>
          <w:p w14:paraId="3500B806" w14:textId="77777777" w:rsidR="00AF3004" w:rsidRDefault="00AF3004">
            <w:pPr>
              <w:pStyle w:val="xCelltext"/>
            </w:pPr>
          </w:p>
        </w:tc>
        <w:tc>
          <w:tcPr>
            <w:tcW w:w="4448" w:type="dxa"/>
            <w:vMerge/>
            <w:vAlign w:val="center"/>
          </w:tcPr>
          <w:p w14:paraId="77A099BE" w14:textId="77777777" w:rsidR="00AF3004" w:rsidRDefault="00AF3004">
            <w:pPr>
              <w:pStyle w:val="xCelltext"/>
            </w:pPr>
          </w:p>
        </w:tc>
        <w:tc>
          <w:tcPr>
            <w:tcW w:w="4288" w:type="dxa"/>
            <w:gridSpan w:val="2"/>
            <w:vMerge/>
            <w:vAlign w:val="center"/>
          </w:tcPr>
          <w:p w14:paraId="6736FD84" w14:textId="77777777" w:rsidR="00AF3004" w:rsidRDefault="00AF3004">
            <w:pPr>
              <w:pStyle w:val="xCelltext"/>
            </w:pPr>
          </w:p>
        </w:tc>
      </w:tr>
    </w:tbl>
    <w:p w14:paraId="357F4CCC" w14:textId="77777777" w:rsidR="00AF3004" w:rsidRDefault="00AF3004">
      <w:pPr>
        <w:rPr>
          <w:b/>
          <w:bCs/>
        </w:rPr>
        <w:sectPr w:rsidR="00AF3004">
          <w:footerReference w:type="even" r:id="rId9"/>
          <w:footerReference w:type="default" r:id="rId10"/>
          <w:pgSz w:w="11906" w:h="16838" w:code="9"/>
          <w:pgMar w:top="567" w:right="1134" w:bottom="1134" w:left="1191" w:header="624" w:footer="851" w:gutter="0"/>
          <w:cols w:space="708"/>
          <w:docGrid w:linePitch="360"/>
        </w:sectPr>
      </w:pPr>
    </w:p>
    <w:p w14:paraId="6FB1F583" w14:textId="0E0BEE39" w:rsidR="00AF3004" w:rsidRDefault="00894166">
      <w:pPr>
        <w:pStyle w:val="ArendeRubrik"/>
      </w:pPr>
      <w:r>
        <w:t xml:space="preserve">Ändringar i </w:t>
      </w:r>
      <w:r w:rsidR="00BF7196">
        <w:t>kommunal</w:t>
      </w:r>
      <w:r>
        <w:t>beskattningen</w:t>
      </w:r>
      <w:r w:rsidR="00AB66FA">
        <w:t xml:space="preserve"> av företag, näringsidkare och jordbrukare</w:t>
      </w:r>
      <w:r>
        <w:t xml:space="preserve"> 2020–2027</w:t>
      </w:r>
    </w:p>
    <w:p w14:paraId="1924A6C4" w14:textId="77777777" w:rsidR="00AF3004" w:rsidRDefault="00AF3004">
      <w:pPr>
        <w:pStyle w:val="ANormal"/>
      </w:pPr>
    </w:p>
    <w:p w14:paraId="2E1E7091" w14:textId="77777777" w:rsidR="00AF3004" w:rsidRDefault="00AF3004">
      <w:pPr>
        <w:pStyle w:val="ANormal"/>
      </w:pPr>
    </w:p>
    <w:p w14:paraId="60D12977" w14:textId="77777777" w:rsidR="00AF3004" w:rsidRDefault="00AF3004">
      <w:pPr>
        <w:pStyle w:val="RubrikA"/>
      </w:pPr>
      <w:bookmarkStart w:id="2" w:name="_Toc34912533"/>
      <w:r>
        <w:t>Huvudsakligt innehåll</w:t>
      </w:r>
      <w:bookmarkEnd w:id="2"/>
    </w:p>
    <w:p w14:paraId="53309C50" w14:textId="77777777" w:rsidR="00AF3004" w:rsidRDefault="00AF3004">
      <w:pPr>
        <w:pStyle w:val="Rubrikmellanrum"/>
      </w:pPr>
    </w:p>
    <w:p w14:paraId="0AE979FD" w14:textId="55F297CC" w:rsidR="00AF3004" w:rsidRDefault="00AB66FA">
      <w:pPr>
        <w:pStyle w:val="ANormal"/>
      </w:pPr>
      <w:r>
        <w:t xml:space="preserve">Landskapsregeringen föreslår att en lag om höjda avskrivningar på maskiner, inventarier och andra därmed jämförbara lösa anläggningstillgångar skatteåren 2020–2023 görs tillämplig vid kommunalbeskattningen genom en blankettlag. </w:t>
      </w:r>
      <w:r w:rsidR="003D1EEC">
        <w:t>Den föreslagna l</w:t>
      </w:r>
      <w:r>
        <w:t xml:space="preserve">agen </w:t>
      </w:r>
      <w:r w:rsidR="003D1EEC">
        <w:t xml:space="preserve">är tidsbunden och </w:t>
      </w:r>
      <w:r>
        <w:t>ger skattskyldiga som bedriver närings</w:t>
      </w:r>
      <w:r w:rsidR="003D1EEC">
        <w:t>verksamhet eller jordbruk</w:t>
      </w:r>
      <w:r w:rsidR="003D1EEC" w:rsidRPr="003D1EEC">
        <w:t xml:space="preserve"> </w:t>
      </w:r>
      <w:r w:rsidR="003D1EEC">
        <w:t>rätt att göra en dubbelt så stor avskrivning på anskaffningsutgifterna för lösa anläggningstillgångar som tas i bruk under åren 2020–2023.</w:t>
      </w:r>
    </w:p>
    <w:p w14:paraId="39F998FB" w14:textId="461E8207" w:rsidR="00AF3004" w:rsidRDefault="003D1EEC">
      <w:pPr>
        <w:pStyle w:val="ANormal"/>
      </w:pPr>
      <w:r>
        <w:tab/>
        <w:t xml:space="preserve">Med hänvisning till att </w:t>
      </w:r>
      <w:r w:rsidR="00195D5D">
        <w:t>den ovannämnda lagen bedöms påverka kommunernas skatteintäkter under åren 2020–2027 har fördelningen av samfundsskatten mellan de olika skattetagarna ändrats i riket. Landskapsregeringen föreslår därför att skattesatserna för samfund och samfällda förmåner vid kommunalbeskattningen ändras under dessa år.</w:t>
      </w:r>
      <w:r w:rsidR="00195D5D" w:rsidRPr="00195D5D">
        <w:t xml:space="preserve"> </w:t>
      </w:r>
      <w:r w:rsidR="00195D5D">
        <w:t>Förslaget innebär att de totala skattesatserna för samfund och samfällda förmåner förblir oförändrade under hela perioden, det vill säga 20 respektive 26,5 %.</w:t>
      </w:r>
    </w:p>
    <w:p w14:paraId="1B6F18E4" w14:textId="77777777" w:rsidR="00BF7196" w:rsidRDefault="00BF7196">
      <w:pPr>
        <w:pStyle w:val="ANormal"/>
      </w:pPr>
    </w:p>
    <w:p w14:paraId="376EA642" w14:textId="77777777" w:rsidR="00AF3004" w:rsidRDefault="0069176B">
      <w:pPr>
        <w:pStyle w:val="ANormal"/>
        <w:jc w:val="center"/>
      </w:pPr>
      <w:hyperlink w:anchor="_top" w:tooltip="Klicka för att gå till toppen av dokumentet" w:history="1">
        <w:r w:rsidR="00AF3004">
          <w:rPr>
            <w:rStyle w:val="Hyperlnk"/>
          </w:rPr>
          <w:t>__________________</w:t>
        </w:r>
      </w:hyperlink>
    </w:p>
    <w:p w14:paraId="2AECF9FC" w14:textId="77777777" w:rsidR="00AF3004" w:rsidRDefault="00AF3004">
      <w:pPr>
        <w:pStyle w:val="ANormal"/>
      </w:pPr>
    </w:p>
    <w:p w14:paraId="603F0160" w14:textId="77777777" w:rsidR="00AF3004" w:rsidRDefault="00AF3004">
      <w:pPr>
        <w:pStyle w:val="ANormal"/>
      </w:pPr>
      <w:r>
        <w:br w:type="page"/>
      </w:r>
    </w:p>
    <w:p w14:paraId="6C24AEFE" w14:textId="77777777" w:rsidR="00AF3004" w:rsidRDefault="00AF3004">
      <w:pPr>
        <w:pStyle w:val="Innehll1"/>
      </w:pPr>
      <w:r>
        <w:lastRenderedPageBreak/>
        <w:t>INNEHÅLL</w:t>
      </w:r>
    </w:p>
    <w:p w14:paraId="1BCEADAE" w14:textId="0FCF5286" w:rsidR="00F23C2B"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34912533" w:history="1">
        <w:r w:rsidR="00F23C2B" w:rsidRPr="001423BA">
          <w:rPr>
            <w:rStyle w:val="Hyperlnk"/>
          </w:rPr>
          <w:t>Huvudsakligt innehåll</w:t>
        </w:r>
        <w:r w:rsidR="00F23C2B">
          <w:rPr>
            <w:webHidden/>
          </w:rPr>
          <w:tab/>
        </w:r>
        <w:r w:rsidR="00F23C2B">
          <w:rPr>
            <w:webHidden/>
          </w:rPr>
          <w:fldChar w:fldCharType="begin"/>
        </w:r>
        <w:r w:rsidR="00F23C2B">
          <w:rPr>
            <w:webHidden/>
          </w:rPr>
          <w:instrText xml:space="preserve"> PAGEREF _Toc34912533 \h </w:instrText>
        </w:r>
        <w:r w:rsidR="00F23C2B">
          <w:rPr>
            <w:webHidden/>
          </w:rPr>
        </w:r>
        <w:r w:rsidR="00F23C2B">
          <w:rPr>
            <w:webHidden/>
          </w:rPr>
          <w:fldChar w:fldCharType="separate"/>
        </w:r>
        <w:r w:rsidR="00F23C2B">
          <w:rPr>
            <w:webHidden/>
          </w:rPr>
          <w:t>1</w:t>
        </w:r>
        <w:r w:rsidR="00F23C2B">
          <w:rPr>
            <w:webHidden/>
          </w:rPr>
          <w:fldChar w:fldCharType="end"/>
        </w:r>
      </w:hyperlink>
    </w:p>
    <w:p w14:paraId="62E9BB42" w14:textId="1BDFFA7A" w:rsidR="00F23C2B" w:rsidRDefault="0069176B">
      <w:pPr>
        <w:pStyle w:val="Innehll1"/>
        <w:rPr>
          <w:rFonts w:asciiTheme="minorHAnsi" w:eastAsiaTheme="minorEastAsia" w:hAnsiTheme="minorHAnsi" w:cstheme="minorBidi"/>
          <w:sz w:val="22"/>
          <w:szCs w:val="22"/>
          <w:lang w:val="sv-FI" w:eastAsia="sv-FI"/>
        </w:rPr>
      </w:pPr>
      <w:hyperlink w:anchor="_Toc34912534" w:history="1">
        <w:r w:rsidR="00F23C2B" w:rsidRPr="001423BA">
          <w:rPr>
            <w:rStyle w:val="Hyperlnk"/>
          </w:rPr>
          <w:t>Motivering</w:t>
        </w:r>
        <w:r w:rsidR="00F23C2B">
          <w:rPr>
            <w:webHidden/>
          </w:rPr>
          <w:tab/>
        </w:r>
        <w:r w:rsidR="00F23C2B">
          <w:rPr>
            <w:webHidden/>
          </w:rPr>
          <w:fldChar w:fldCharType="begin"/>
        </w:r>
        <w:r w:rsidR="00F23C2B">
          <w:rPr>
            <w:webHidden/>
          </w:rPr>
          <w:instrText xml:space="preserve"> PAGEREF _Toc34912534 \h </w:instrText>
        </w:r>
        <w:r w:rsidR="00F23C2B">
          <w:rPr>
            <w:webHidden/>
          </w:rPr>
        </w:r>
        <w:r w:rsidR="00F23C2B">
          <w:rPr>
            <w:webHidden/>
          </w:rPr>
          <w:fldChar w:fldCharType="separate"/>
        </w:r>
        <w:r w:rsidR="00F23C2B">
          <w:rPr>
            <w:webHidden/>
          </w:rPr>
          <w:t>3</w:t>
        </w:r>
        <w:r w:rsidR="00F23C2B">
          <w:rPr>
            <w:webHidden/>
          </w:rPr>
          <w:fldChar w:fldCharType="end"/>
        </w:r>
      </w:hyperlink>
    </w:p>
    <w:p w14:paraId="3BC1C505" w14:textId="0C558F20" w:rsidR="00F23C2B" w:rsidRDefault="0069176B">
      <w:pPr>
        <w:pStyle w:val="Innehll2"/>
        <w:rPr>
          <w:rFonts w:asciiTheme="minorHAnsi" w:eastAsiaTheme="minorEastAsia" w:hAnsiTheme="minorHAnsi" w:cstheme="minorBidi"/>
          <w:sz w:val="22"/>
          <w:szCs w:val="22"/>
          <w:lang w:val="sv-FI" w:eastAsia="sv-FI"/>
        </w:rPr>
      </w:pPr>
      <w:hyperlink w:anchor="_Toc34912535" w:history="1">
        <w:r w:rsidR="00F23C2B" w:rsidRPr="001423BA">
          <w:rPr>
            <w:rStyle w:val="Hyperlnk"/>
          </w:rPr>
          <w:t>1. Gällande lagstiftning</w:t>
        </w:r>
        <w:r w:rsidR="00F23C2B">
          <w:rPr>
            <w:webHidden/>
          </w:rPr>
          <w:tab/>
        </w:r>
        <w:r w:rsidR="00F23C2B">
          <w:rPr>
            <w:webHidden/>
          </w:rPr>
          <w:fldChar w:fldCharType="begin"/>
        </w:r>
        <w:r w:rsidR="00F23C2B">
          <w:rPr>
            <w:webHidden/>
          </w:rPr>
          <w:instrText xml:space="preserve"> PAGEREF _Toc34912535 \h </w:instrText>
        </w:r>
        <w:r w:rsidR="00F23C2B">
          <w:rPr>
            <w:webHidden/>
          </w:rPr>
        </w:r>
        <w:r w:rsidR="00F23C2B">
          <w:rPr>
            <w:webHidden/>
          </w:rPr>
          <w:fldChar w:fldCharType="separate"/>
        </w:r>
        <w:r w:rsidR="00F23C2B">
          <w:rPr>
            <w:webHidden/>
          </w:rPr>
          <w:t>3</w:t>
        </w:r>
        <w:r w:rsidR="00F23C2B">
          <w:rPr>
            <w:webHidden/>
          </w:rPr>
          <w:fldChar w:fldCharType="end"/>
        </w:r>
      </w:hyperlink>
    </w:p>
    <w:p w14:paraId="13B015D4" w14:textId="10EB76C4" w:rsidR="00F23C2B" w:rsidRDefault="0069176B">
      <w:pPr>
        <w:pStyle w:val="Innehll2"/>
        <w:rPr>
          <w:rFonts w:asciiTheme="minorHAnsi" w:eastAsiaTheme="minorEastAsia" w:hAnsiTheme="minorHAnsi" w:cstheme="minorBidi"/>
          <w:sz w:val="22"/>
          <w:szCs w:val="22"/>
          <w:lang w:val="sv-FI" w:eastAsia="sv-FI"/>
        </w:rPr>
      </w:pPr>
      <w:hyperlink w:anchor="_Toc34912536" w:history="1">
        <w:r w:rsidR="00F23C2B" w:rsidRPr="001423BA">
          <w:rPr>
            <w:rStyle w:val="Hyperlnk"/>
          </w:rPr>
          <w:t>2. Ändringar i riket</w:t>
        </w:r>
        <w:r w:rsidR="00F23C2B">
          <w:rPr>
            <w:webHidden/>
          </w:rPr>
          <w:tab/>
        </w:r>
        <w:r w:rsidR="00F23C2B">
          <w:rPr>
            <w:webHidden/>
          </w:rPr>
          <w:fldChar w:fldCharType="begin"/>
        </w:r>
        <w:r w:rsidR="00F23C2B">
          <w:rPr>
            <w:webHidden/>
          </w:rPr>
          <w:instrText xml:space="preserve"> PAGEREF _Toc34912536 \h </w:instrText>
        </w:r>
        <w:r w:rsidR="00F23C2B">
          <w:rPr>
            <w:webHidden/>
          </w:rPr>
        </w:r>
        <w:r w:rsidR="00F23C2B">
          <w:rPr>
            <w:webHidden/>
          </w:rPr>
          <w:fldChar w:fldCharType="separate"/>
        </w:r>
        <w:r w:rsidR="00F23C2B">
          <w:rPr>
            <w:webHidden/>
          </w:rPr>
          <w:t>3</w:t>
        </w:r>
        <w:r w:rsidR="00F23C2B">
          <w:rPr>
            <w:webHidden/>
          </w:rPr>
          <w:fldChar w:fldCharType="end"/>
        </w:r>
      </w:hyperlink>
    </w:p>
    <w:p w14:paraId="654224A7" w14:textId="461CA99E" w:rsidR="00F23C2B" w:rsidRDefault="0069176B">
      <w:pPr>
        <w:pStyle w:val="Innehll3"/>
        <w:rPr>
          <w:rFonts w:asciiTheme="minorHAnsi" w:eastAsiaTheme="minorEastAsia" w:hAnsiTheme="minorHAnsi" w:cstheme="minorBidi"/>
          <w:sz w:val="22"/>
          <w:szCs w:val="22"/>
          <w:lang w:val="sv-FI" w:eastAsia="sv-FI"/>
        </w:rPr>
      </w:pPr>
      <w:hyperlink w:anchor="_Toc34912537" w:history="1">
        <w:r w:rsidR="00F23C2B" w:rsidRPr="001423BA">
          <w:rPr>
            <w:rStyle w:val="Hyperlnk"/>
          </w:rPr>
          <w:t>2.1. Ny lagstiftning om skattelättnader åren 2020–2023</w:t>
        </w:r>
        <w:r w:rsidR="00F23C2B">
          <w:rPr>
            <w:webHidden/>
          </w:rPr>
          <w:tab/>
        </w:r>
        <w:r w:rsidR="00F23C2B">
          <w:rPr>
            <w:webHidden/>
          </w:rPr>
          <w:fldChar w:fldCharType="begin"/>
        </w:r>
        <w:r w:rsidR="00F23C2B">
          <w:rPr>
            <w:webHidden/>
          </w:rPr>
          <w:instrText xml:space="preserve"> PAGEREF _Toc34912537 \h </w:instrText>
        </w:r>
        <w:r w:rsidR="00F23C2B">
          <w:rPr>
            <w:webHidden/>
          </w:rPr>
        </w:r>
        <w:r w:rsidR="00F23C2B">
          <w:rPr>
            <w:webHidden/>
          </w:rPr>
          <w:fldChar w:fldCharType="separate"/>
        </w:r>
        <w:r w:rsidR="00F23C2B">
          <w:rPr>
            <w:webHidden/>
          </w:rPr>
          <w:t>3</w:t>
        </w:r>
        <w:r w:rsidR="00F23C2B">
          <w:rPr>
            <w:webHidden/>
          </w:rPr>
          <w:fldChar w:fldCharType="end"/>
        </w:r>
      </w:hyperlink>
    </w:p>
    <w:p w14:paraId="3585152D" w14:textId="50AD252D" w:rsidR="00F23C2B" w:rsidRDefault="0069176B">
      <w:pPr>
        <w:pStyle w:val="Innehll3"/>
        <w:rPr>
          <w:rFonts w:asciiTheme="minorHAnsi" w:eastAsiaTheme="minorEastAsia" w:hAnsiTheme="minorHAnsi" w:cstheme="minorBidi"/>
          <w:sz w:val="22"/>
          <w:szCs w:val="22"/>
          <w:lang w:val="sv-FI" w:eastAsia="sv-FI"/>
        </w:rPr>
      </w:pPr>
      <w:hyperlink w:anchor="_Toc34912538" w:history="1">
        <w:r w:rsidR="00F23C2B" w:rsidRPr="001423BA">
          <w:rPr>
            <w:rStyle w:val="Hyperlnk"/>
          </w:rPr>
          <w:t>2.2. Ändrad fördelning av samfundsskatten mellan staten och kommunerna åren 2020–2027</w:t>
        </w:r>
        <w:r w:rsidR="00F23C2B">
          <w:rPr>
            <w:webHidden/>
          </w:rPr>
          <w:tab/>
        </w:r>
        <w:r w:rsidR="00F23C2B">
          <w:rPr>
            <w:webHidden/>
          </w:rPr>
          <w:fldChar w:fldCharType="begin"/>
        </w:r>
        <w:r w:rsidR="00F23C2B">
          <w:rPr>
            <w:webHidden/>
          </w:rPr>
          <w:instrText xml:space="preserve"> PAGEREF _Toc34912538 \h </w:instrText>
        </w:r>
        <w:r w:rsidR="00F23C2B">
          <w:rPr>
            <w:webHidden/>
          </w:rPr>
        </w:r>
        <w:r w:rsidR="00F23C2B">
          <w:rPr>
            <w:webHidden/>
          </w:rPr>
          <w:fldChar w:fldCharType="separate"/>
        </w:r>
        <w:r w:rsidR="00F23C2B">
          <w:rPr>
            <w:webHidden/>
          </w:rPr>
          <w:t>4</w:t>
        </w:r>
        <w:r w:rsidR="00F23C2B">
          <w:rPr>
            <w:webHidden/>
          </w:rPr>
          <w:fldChar w:fldCharType="end"/>
        </w:r>
      </w:hyperlink>
    </w:p>
    <w:p w14:paraId="4D8A3883" w14:textId="7195E46E" w:rsidR="00F23C2B" w:rsidRDefault="0069176B">
      <w:pPr>
        <w:pStyle w:val="Innehll2"/>
        <w:rPr>
          <w:rFonts w:asciiTheme="minorHAnsi" w:eastAsiaTheme="minorEastAsia" w:hAnsiTheme="minorHAnsi" w:cstheme="minorBidi"/>
          <w:sz w:val="22"/>
          <w:szCs w:val="22"/>
          <w:lang w:val="sv-FI" w:eastAsia="sv-FI"/>
        </w:rPr>
      </w:pPr>
      <w:hyperlink w:anchor="_Toc34912539" w:history="1">
        <w:r w:rsidR="00F23C2B" w:rsidRPr="001423BA">
          <w:rPr>
            <w:rStyle w:val="Hyperlnk"/>
          </w:rPr>
          <w:t>3. Överväganden och landskapsregeringens förslag</w:t>
        </w:r>
        <w:r w:rsidR="00F23C2B">
          <w:rPr>
            <w:webHidden/>
          </w:rPr>
          <w:tab/>
        </w:r>
        <w:r w:rsidR="00F23C2B">
          <w:rPr>
            <w:webHidden/>
          </w:rPr>
          <w:fldChar w:fldCharType="begin"/>
        </w:r>
        <w:r w:rsidR="00F23C2B">
          <w:rPr>
            <w:webHidden/>
          </w:rPr>
          <w:instrText xml:space="preserve"> PAGEREF _Toc34912539 \h </w:instrText>
        </w:r>
        <w:r w:rsidR="00F23C2B">
          <w:rPr>
            <w:webHidden/>
          </w:rPr>
        </w:r>
        <w:r w:rsidR="00F23C2B">
          <w:rPr>
            <w:webHidden/>
          </w:rPr>
          <w:fldChar w:fldCharType="separate"/>
        </w:r>
        <w:r w:rsidR="00F23C2B">
          <w:rPr>
            <w:webHidden/>
          </w:rPr>
          <w:t>4</w:t>
        </w:r>
        <w:r w:rsidR="00F23C2B">
          <w:rPr>
            <w:webHidden/>
          </w:rPr>
          <w:fldChar w:fldCharType="end"/>
        </w:r>
      </w:hyperlink>
    </w:p>
    <w:p w14:paraId="4AA6D946" w14:textId="70BA804C" w:rsidR="00F23C2B" w:rsidRDefault="0069176B">
      <w:pPr>
        <w:pStyle w:val="Innehll3"/>
        <w:rPr>
          <w:rFonts w:asciiTheme="minorHAnsi" w:eastAsiaTheme="minorEastAsia" w:hAnsiTheme="minorHAnsi" w:cstheme="minorBidi"/>
          <w:sz w:val="22"/>
          <w:szCs w:val="22"/>
          <w:lang w:val="sv-FI" w:eastAsia="sv-FI"/>
        </w:rPr>
      </w:pPr>
      <w:hyperlink w:anchor="_Toc34912540" w:history="1">
        <w:r w:rsidR="00F23C2B" w:rsidRPr="001423BA">
          <w:rPr>
            <w:rStyle w:val="Hyperlnk"/>
          </w:rPr>
          <w:t>3.1. Lagstiftning om höjda avskrivningar</w:t>
        </w:r>
        <w:r w:rsidR="00F23C2B">
          <w:rPr>
            <w:webHidden/>
          </w:rPr>
          <w:tab/>
        </w:r>
        <w:r w:rsidR="00F23C2B">
          <w:rPr>
            <w:webHidden/>
          </w:rPr>
          <w:fldChar w:fldCharType="begin"/>
        </w:r>
        <w:r w:rsidR="00F23C2B">
          <w:rPr>
            <w:webHidden/>
          </w:rPr>
          <w:instrText xml:space="preserve"> PAGEREF _Toc34912540 \h </w:instrText>
        </w:r>
        <w:r w:rsidR="00F23C2B">
          <w:rPr>
            <w:webHidden/>
          </w:rPr>
        </w:r>
        <w:r w:rsidR="00F23C2B">
          <w:rPr>
            <w:webHidden/>
          </w:rPr>
          <w:fldChar w:fldCharType="separate"/>
        </w:r>
        <w:r w:rsidR="00F23C2B">
          <w:rPr>
            <w:webHidden/>
          </w:rPr>
          <w:t>4</w:t>
        </w:r>
        <w:r w:rsidR="00F23C2B">
          <w:rPr>
            <w:webHidden/>
          </w:rPr>
          <w:fldChar w:fldCharType="end"/>
        </w:r>
      </w:hyperlink>
    </w:p>
    <w:p w14:paraId="7DEA2A8B" w14:textId="0C008FC7" w:rsidR="00F23C2B" w:rsidRDefault="0069176B">
      <w:pPr>
        <w:pStyle w:val="Innehll3"/>
        <w:rPr>
          <w:rFonts w:asciiTheme="minorHAnsi" w:eastAsiaTheme="minorEastAsia" w:hAnsiTheme="minorHAnsi" w:cstheme="minorBidi"/>
          <w:sz w:val="22"/>
          <w:szCs w:val="22"/>
          <w:lang w:val="sv-FI" w:eastAsia="sv-FI"/>
        </w:rPr>
      </w:pPr>
      <w:hyperlink w:anchor="_Toc34912541" w:history="1">
        <w:r w:rsidR="00F23C2B" w:rsidRPr="001423BA">
          <w:rPr>
            <w:rStyle w:val="Hyperlnk"/>
          </w:rPr>
          <w:t>3.2. Kommunalskattesatsen för samfund och samfällda förmåner</w:t>
        </w:r>
        <w:r w:rsidR="00F23C2B">
          <w:rPr>
            <w:webHidden/>
          </w:rPr>
          <w:tab/>
        </w:r>
        <w:r w:rsidR="00F23C2B">
          <w:rPr>
            <w:webHidden/>
          </w:rPr>
          <w:fldChar w:fldCharType="begin"/>
        </w:r>
        <w:r w:rsidR="00F23C2B">
          <w:rPr>
            <w:webHidden/>
          </w:rPr>
          <w:instrText xml:space="preserve"> PAGEREF _Toc34912541 \h </w:instrText>
        </w:r>
        <w:r w:rsidR="00F23C2B">
          <w:rPr>
            <w:webHidden/>
          </w:rPr>
        </w:r>
        <w:r w:rsidR="00F23C2B">
          <w:rPr>
            <w:webHidden/>
          </w:rPr>
          <w:fldChar w:fldCharType="separate"/>
        </w:r>
        <w:r w:rsidR="00F23C2B">
          <w:rPr>
            <w:webHidden/>
          </w:rPr>
          <w:t>5</w:t>
        </w:r>
        <w:r w:rsidR="00F23C2B">
          <w:rPr>
            <w:webHidden/>
          </w:rPr>
          <w:fldChar w:fldCharType="end"/>
        </w:r>
      </w:hyperlink>
    </w:p>
    <w:p w14:paraId="1B6F07B7" w14:textId="4B5A4B6E" w:rsidR="00F23C2B" w:rsidRDefault="0069176B">
      <w:pPr>
        <w:pStyle w:val="Innehll2"/>
        <w:rPr>
          <w:rFonts w:asciiTheme="minorHAnsi" w:eastAsiaTheme="minorEastAsia" w:hAnsiTheme="minorHAnsi" w:cstheme="minorBidi"/>
          <w:sz w:val="22"/>
          <w:szCs w:val="22"/>
          <w:lang w:val="sv-FI" w:eastAsia="sv-FI"/>
        </w:rPr>
      </w:pPr>
      <w:hyperlink w:anchor="_Toc34912542" w:history="1">
        <w:r w:rsidR="00F23C2B" w:rsidRPr="001423BA">
          <w:rPr>
            <w:rStyle w:val="Hyperlnk"/>
          </w:rPr>
          <w:t>4. Förslagets retroaktiva verkan</w:t>
        </w:r>
        <w:r w:rsidR="00F23C2B">
          <w:rPr>
            <w:webHidden/>
          </w:rPr>
          <w:tab/>
        </w:r>
        <w:r w:rsidR="00F23C2B">
          <w:rPr>
            <w:webHidden/>
          </w:rPr>
          <w:fldChar w:fldCharType="begin"/>
        </w:r>
        <w:r w:rsidR="00F23C2B">
          <w:rPr>
            <w:webHidden/>
          </w:rPr>
          <w:instrText xml:space="preserve"> PAGEREF _Toc34912542 \h </w:instrText>
        </w:r>
        <w:r w:rsidR="00F23C2B">
          <w:rPr>
            <w:webHidden/>
          </w:rPr>
        </w:r>
        <w:r w:rsidR="00F23C2B">
          <w:rPr>
            <w:webHidden/>
          </w:rPr>
          <w:fldChar w:fldCharType="separate"/>
        </w:r>
        <w:r w:rsidR="00F23C2B">
          <w:rPr>
            <w:webHidden/>
          </w:rPr>
          <w:t>6</w:t>
        </w:r>
        <w:r w:rsidR="00F23C2B">
          <w:rPr>
            <w:webHidden/>
          </w:rPr>
          <w:fldChar w:fldCharType="end"/>
        </w:r>
      </w:hyperlink>
    </w:p>
    <w:p w14:paraId="0D87BCA5" w14:textId="7F592468" w:rsidR="00F23C2B" w:rsidRDefault="0069176B">
      <w:pPr>
        <w:pStyle w:val="Innehll2"/>
        <w:rPr>
          <w:rFonts w:asciiTheme="minorHAnsi" w:eastAsiaTheme="minorEastAsia" w:hAnsiTheme="minorHAnsi" w:cstheme="minorBidi"/>
          <w:sz w:val="22"/>
          <w:szCs w:val="22"/>
          <w:lang w:val="sv-FI" w:eastAsia="sv-FI"/>
        </w:rPr>
      </w:pPr>
      <w:hyperlink w:anchor="_Toc34912543" w:history="1">
        <w:r w:rsidR="00F23C2B" w:rsidRPr="001423BA">
          <w:rPr>
            <w:rStyle w:val="Hyperlnk"/>
          </w:rPr>
          <w:t>5. Förslagets konsekvenser</w:t>
        </w:r>
        <w:r w:rsidR="00F23C2B">
          <w:rPr>
            <w:webHidden/>
          </w:rPr>
          <w:tab/>
        </w:r>
        <w:r w:rsidR="00F23C2B">
          <w:rPr>
            <w:webHidden/>
          </w:rPr>
          <w:fldChar w:fldCharType="begin"/>
        </w:r>
        <w:r w:rsidR="00F23C2B">
          <w:rPr>
            <w:webHidden/>
          </w:rPr>
          <w:instrText xml:space="preserve"> PAGEREF _Toc34912543 \h </w:instrText>
        </w:r>
        <w:r w:rsidR="00F23C2B">
          <w:rPr>
            <w:webHidden/>
          </w:rPr>
        </w:r>
        <w:r w:rsidR="00F23C2B">
          <w:rPr>
            <w:webHidden/>
          </w:rPr>
          <w:fldChar w:fldCharType="separate"/>
        </w:r>
        <w:r w:rsidR="00F23C2B">
          <w:rPr>
            <w:webHidden/>
          </w:rPr>
          <w:t>7</w:t>
        </w:r>
        <w:r w:rsidR="00F23C2B">
          <w:rPr>
            <w:webHidden/>
          </w:rPr>
          <w:fldChar w:fldCharType="end"/>
        </w:r>
      </w:hyperlink>
    </w:p>
    <w:p w14:paraId="2B5CAC28" w14:textId="7EB37762" w:rsidR="00F23C2B" w:rsidRDefault="0069176B">
      <w:pPr>
        <w:pStyle w:val="Innehll2"/>
        <w:rPr>
          <w:rFonts w:asciiTheme="minorHAnsi" w:eastAsiaTheme="minorEastAsia" w:hAnsiTheme="minorHAnsi" w:cstheme="minorBidi"/>
          <w:sz w:val="22"/>
          <w:szCs w:val="22"/>
          <w:lang w:val="sv-FI" w:eastAsia="sv-FI"/>
        </w:rPr>
      </w:pPr>
      <w:hyperlink w:anchor="_Toc34912544" w:history="1">
        <w:r w:rsidR="00F23C2B" w:rsidRPr="001423BA">
          <w:rPr>
            <w:rStyle w:val="Hyperlnk"/>
          </w:rPr>
          <w:t>6. Beredningen av förslaget och dess ikraftträdande</w:t>
        </w:r>
        <w:r w:rsidR="00F23C2B">
          <w:rPr>
            <w:webHidden/>
          </w:rPr>
          <w:tab/>
        </w:r>
        <w:r w:rsidR="00F23C2B">
          <w:rPr>
            <w:webHidden/>
          </w:rPr>
          <w:fldChar w:fldCharType="begin"/>
        </w:r>
        <w:r w:rsidR="00F23C2B">
          <w:rPr>
            <w:webHidden/>
          </w:rPr>
          <w:instrText xml:space="preserve"> PAGEREF _Toc34912544 \h </w:instrText>
        </w:r>
        <w:r w:rsidR="00F23C2B">
          <w:rPr>
            <w:webHidden/>
          </w:rPr>
        </w:r>
        <w:r w:rsidR="00F23C2B">
          <w:rPr>
            <w:webHidden/>
          </w:rPr>
          <w:fldChar w:fldCharType="separate"/>
        </w:r>
        <w:r w:rsidR="00F23C2B">
          <w:rPr>
            <w:webHidden/>
          </w:rPr>
          <w:t>8</w:t>
        </w:r>
        <w:r w:rsidR="00F23C2B">
          <w:rPr>
            <w:webHidden/>
          </w:rPr>
          <w:fldChar w:fldCharType="end"/>
        </w:r>
      </w:hyperlink>
    </w:p>
    <w:p w14:paraId="1D454670" w14:textId="3EB47BDF" w:rsidR="00F23C2B" w:rsidRDefault="0069176B">
      <w:pPr>
        <w:pStyle w:val="Innehll1"/>
        <w:rPr>
          <w:rFonts w:asciiTheme="minorHAnsi" w:eastAsiaTheme="minorEastAsia" w:hAnsiTheme="minorHAnsi" w:cstheme="minorBidi"/>
          <w:sz w:val="22"/>
          <w:szCs w:val="22"/>
          <w:lang w:val="sv-FI" w:eastAsia="sv-FI"/>
        </w:rPr>
      </w:pPr>
      <w:hyperlink w:anchor="_Toc34912545" w:history="1">
        <w:r w:rsidR="00F23C2B" w:rsidRPr="001423BA">
          <w:rPr>
            <w:rStyle w:val="Hyperlnk"/>
          </w:rPr>
          <w:t>Lagtext</w:t>
        </w:r>
        <w:r w:rsidR="00F23C2B">
          <w:rPr>
            <w:webHidden/>
          </w:rPr>
          <w:tab/>
        </w:r>
        <w:r w:rsidR="00F23C2B">
          <w:rPr>
            <w:webHidden/>
          </w:rPr>
          <w:fldChar w:fldCharType="begin"/>
        </w:r>
        <w:r w:rsidR="00F23C2B">
          <w:rPr>
            <w:webHidden/>
          </w:rPr>
          <w:instrText xml:space="preserve"> PAGEREF _Toc34912545 \h </w:instrText>
        </w:r>
        <w:r w:rsidR="00F23C2B">
          <w:rPr>
            <w:webHidden/>
          </w:rPr>
        </w:r>
        <w:r w:rsidR="00F23C2B">
          <w:rPr>
            <w:webHidden/>
          </w:rPr>
          <w:fldChar w:fldCharType="separate"/>
        </w:r>
        <w:r w:rsidR="00F23C2B">
          <w:rPr>
            <w:webHidden/>
          </w:rPr>
          <w:t>9</w:t>
        </w:r>
        <w:r w:rsidR="00F23C2B">
          <w:rPr>
            <w:webHidden/>
          </w:rPr>
          <w:fldChar w:fldCharType="end"/>
        </w:r>
      </w:hyperlink>
    </w:p>
    <w:p w14:paraId="05ABEA3E" w14:textId="18074E47" w:rsidR="00F23C2B" w:rsidRDefault="0069176B">
      <w:pPr>
        <w:pStyle w:val="Innehll2"/>
        <w:rPr>
          <w:rFonts w:asciiTheme="minorHAnsi" w:eastAsiaTheme="minorEastAsia" w:hAnsiTheme="minorHAnsi" w:cstheme="minorBidi"/>
          <w:sz w:val="22"/>
          <w:szCs w:val="22"/>
          <w:lang w:val="sv-FI" w:eastAsia="sv-FI"/>
        </w:rPr>
      </w:pPr>
      <w:hyperlink w:anchor="_Toc34912546" w:history="1">
        <w:r w:rsidR="00F23C2B" w:rsidRPr="001423BA">
          <w:rPr>
            <w:rStyle w:val="Hyperlnk"/>
            <w:lang w:val="en-GB"/>
          </w:rPr>
          <w:t xml:space="preserve">L A N D S K A P S L A G </w:t>
        </w:r>
        <w:r w:rsidR="00F23C2B" w:rsidRPr="001423BA">
          <w:rPr>
            <w:rStyle w:val="Hyperlnk"/>
            <w:lang w:val="sv-FI"/>
          </w:rPr>
          <w:t>om</w:t>
        </w:r>
        <w:r w:rsidR="00F23C2B" w:rsidRPr="001423BA">
          <w:rPr>
            <w:rStyle w:val="Hyperlnk"/>
            <w:lang w:val="en-GB"/>
          </w:rPr>
          <w:t xml:space="preserve"> </w:t>
        </w:r>
        <w:r w:rsidR="00F23C2B" w:rsidRPr="001423BA">
          <w:rPr>
            <w:rStyle w:val="Hyperlnk"/>
            <w:lang w:val="sv-FI"/>
          </w:rPr>
          <w:t>skattelättnader vid kommunalbeskattningen för skatteåren 2020–2023</w:t>
        </w:r>
        <w:r w:rsidR="00F23C2B">
          <w:rPr>
            <w:webHidden/>
          </w:rPr>
          <w:tab/>
        </w:r>
        <w:r w:rsidR="00F23C2B">
          <w:rPr>
            <w:webHidden/>
          </w:rPr>
          <w:fldChar w:fldCharType="begin"/>
        </w:r>
        <w:r w:rsidR="00F23C2B">
          <w:rPr>
            <w:webHidden/>
          </w:rPr>
          <w:instrText xml:space="preserve"> PAGEREF _Toc34912546 \h </w:instrText>
        </w:r>
        <w:r w:rsidR="00F23C2B">
          <w:rPr>
            <w:webHidden/>
          </w:rPr>
        </w:r>
        <w:r w:rsidR="00F23C2B">
          <w:rPr>
            <w:webHidden/>
          </w:rPr>
          <w:fldChar w:fldCharType="separate"/>
        </w:r>
        <w:r w:rsidR="00F23C2B">
          <w:rPr>
            <w:webHidden/>
          </w:rPr>
          <w:t>9</w:t>
        </w:r>
        <w:r w:rsidR="00F23C2B">
          <w:rPr>
            <w:webHidden/>
          </w:rPr>
          <w:fldChar w:fldCharType="end"/>
        </w:r>
      </w:hyperlink>
    </w:p>
    <w:p w14:paraId="2F45FECD" w14:textId="071159EC" w:rsidR="00F23C2B" w:rsidRDefault="0069176B">
      <w:pPr>
        <w:pStyle w:val="Innehll2"/>
        <w:rPr>
          <w:rFonts w:asciiTheme="minorHAnsi" w:eastAsiaTheme="minorEastAsia" w:hAnsiTheme="minorHAnsi" w:cstheme="minorBidi"/>
          <w:sz w:val="22"/>
          <w:szCs w:val="22"/>
          <w:lang w:val="sv-FI" w:eastAsia="sv-FI"/>
        </w:rPr>
      </w:pPr>
      <w:hyperlink w:anchor="_Toc34912547" w:history="1">
        <w:r w:rsidR="00F23C2B" w:rsidRPr="001423BA">
          <w:rPr>
            <w:rStyle w:val="Hyperlnk"/>
            <w:lang w:val="en-GB"/>
          </w:rPr>
          <w:t xml:space="preserve">L A N D S K A P S L A G </w:t>
        </w:r>
        <w:r w:rsidR="00F23C2B" w:rsidRPr="001423BA">
          <w:rPr>
            <w:rStyle w:val="Hyperlnk"/>
            <w:lang w:val="sv-FI"/>
          </w:rPr>
          <w:t>om</w:t>
        </w:r>
        <w:r w:rsidR="00F23C2B" w:rsidRPr="001423BA">
          <w:rPr>
            <w:rStyle w:val="Hyperlnk"/>
            <w:lang w:val="en-GB"/>
          </w:rPr>
          <w:t xml:space="preserve"> </w:t>
        </w:r>
        <w:r w:rsidR="00F23C2B" w:rsidRPr="001423BA">
          <w:rPr>
            <w:rStyle w:val="Hyperlnk"/>
            <w:lang w:val="sv-FI"/>
          </w:rPr>
          <w:t>temporär ändring av</w:t>
        </w:r>
        <w:r w:rsidR="00F23C2B" w:rsidRPr="001423BA">
          <w:rPr>
            <w:rStyle w:val="Hyperlnk"/>
            <w:lang w:val="en-GB"/>
          </w:rPr>
          <w:t xml:space="preserve"> </w:t>
        </w:r>
        <w:r w:rsidR="00F23C2B" w:rsidRPr="001423BA">
          <w:rPr>
            <w:rStyle w:val="Hyperlnk"/>
            <w:lang w:val="sv-FI"/>
          </w:rPr>
          <w:t>kommunalskattelagen</w:t>
        </w:r>
        <w:r w:rsidR="00F23C2B" w:rsidRPr="001423BA">
          <w:rPr>
            <w:rStyle w:val="Hyperlnk"/>
            <w:lang w:val="en-GB"/>
          </w:rPr>
          <w:t xml:space="preserve"> </w:t>
        </w:r>
        <w:r w:rsidR="00F23C2B" w:rsidRPr="001423BA">
          <w:rPr>
            <w:rStyle w:val="Hyperlnk"/>
            <w:lang w:val="sv-FI"/>
          </w:rPr>
          <w:t>för</w:t>
        </w:r>
        <w:r w:rsidR="00F23C2B" w:rsidRPr="001423BA">
          <w:rPr>
            <w:rStyle w:val="Hyperlnk"/>
            <w:lang w:val="en-GB"/>
          </w:rPr>
          <w:t xml:space="preserve"> </w:t>
        </w:r>
        <w:r w:rsidR="00F23C2B" w:rsidRPr="001423BA">
          <w:rPr>
            <w:rStyle w:val="Hyperlnk"/>
            <w:lang w:val="sv-FI"/>
          </w:rPr>
          <w:t>landskapet</w:t>
        </w:r>
        <w:r w:rsidR="00F23C2B" w:rsidRPr="001423BA">
          <w:rPr>
            <w:rStyle w:val="Hyperlnk"/>
            <w:lang w:val="en-GB"/>
          </w:rPr>
          <w:t xml:space="preserve"> </w:t>
        </w:r>
        <w:r w:rsidR="00F23C2B" w:rsidRPr="001423BA">
          <w:rPr>
            <w:rStyle w:val="Hyperlnk"/>
            <w:lang w:val="sv-FI"/>
          </w:rPr>
          <w:t>Åland</w:t>
        </w:r>
        <w:r w:rsidR="00F23C2B">
          <w:rPr>
            <w:webHidden/>
          </w:rPr>
          <w:tab/>
        </w:r>
        <w:r w:rsidR="00F23C2B">
          <w:rPr>
            <w:webHidden/>
          </w:rPr>
          <w:fldChar w:fldCharType="begin"/>
        </w:r>
        <w:r w:rsidR="00F23C2B">
          <w:rPr>
            <w:webHidden/>
          </w:rPr>
          <w:instrText xml:space="preserve"> PAGEREF _Toc34912547 \h </w:instrText>
        </w:r>
        <w:r w:rsidR="00F23C2B">
          <w:rPr>
            <w:webHidden/>
          </w:rPr>
        </w:r>
        <w:r w:rsidR="00F23C2B">
          <w:rPr>
            <w:webHidden/>
          </w:rPr>
          <w:fldChar w:fldCharType="separate"/>
        </w:r>
        <w:r w:rsidR="00F23C2B">
          <w:rPr>
            <w:webHidden/>
          </w:rPr>
          <w:t>9</w:t>
        </w:r>
        <w:r w:rsidR="00F23C2B">
          <w:rPr>
            <w:webHidden/>
          </w:rPr>
          <w:fldChar w:fldCharType="end"/>
        </w:r>
      </w:hyperlink>
    </w:p>
    <w:p w14:paraId="2B4CD3BE" w14:textId="16123CFA" w:rsidR="00F23C2B" w:rsidRDefault="0069176B">
      <w:pPr>
        <w:pStyle w:val="Innehll1"/>
        <w:rPr>
          <w:rFonts w:asciiTheme="minorHAnsi" w:eastAsiaTheme="minorEastAsia" w:hAnsiTheme="minorHAnsi" w:cstheme="minorBidi"/>
          <w:sz w:val="22"/>
          <w:szCs w:val="22"/>
          <w:lang w:val="sv-FI" w:eastAsia="sv-FI"/>
        </w:rPr>
      </w:pPr>
      <w:hyperlink w:anchor="_Toc34912548" w:history="1">
        <w:r w:rsidR="00F23C2B" w:rsidRPr="001423BA">
          <w:rPr>
            <w:rStyle w:val="Hyperlnk"/>
          </w:rPr>
          <w:t>Bilaga: FFS 1572/2019</w:t>
        </w:r>
        <w:r w:rsidR="00F23C2B">
          <w:rPr>
            <w:webHidden/>
          </w:rPr>
          <w:tab/>
        </w:r>
        <w:r w:rsidR="00F23C2B">
          <w:rPr>
            <w:webHidden/>
          </w:rPr>
          <w:fldChar w:fldCharType="begin"/>
        </w:r>
        <w:r w:rsidR="00F23C2B">
          <w:rPr>
            <w:webHidden/>
          </w:rPr>
          <w:instrText xml:space="preserve"> PAGEREF _Toc34912548 \h </w:instrText>
        </w:r>
        <w:r w:rsidR="00F23C2B">
          <w:rPr>
            <w:webHidden/>
          </w:rPr>
        </w:r>
        <w:r w:rsidR="00F23C2B">
          <w:rPr>
            <w:webHidden/>
          </w:rPr>
          <w:fldChar w:fldCharType="separate"/>
        </w:r>
        <w:r w:rsidR="00F23C2B">
          <w:rPr>
            <w:webHidden/>
          </w:rPr>
          <w:t>11</w:t>
        </w:r>
        <w:r w:rsidR="00F23C2B">
          <w:rPr>
            <w:webHidden/>
          </w:rPr>
          <w:fldChar w:fldCharType="end"/>
        </w:r>
      </w:hyperlink>
    </w:p>
    <w:p w14:paraId="3D63EEA0" w14:textId="333440E0" w:rsidR="00F23C2B" w:rsidRDefault="0069176B">
      <w:pPr>
        <w:pStyle w:val="Innehll2"/>
        <w:rPr>
          <w:rFonts w:asciiTheme="minorHAnsi" w:eastAsiaTheme="minorEastAsia" w:hAnsiTheme="minorHAnsi" w:cstheme="minorBidi"/>
          <w:sz w:val="22"/>
          <w:szCs w:val="22"/>
          <w:lang w:val="sv-FI" w:eastAsia="sv-FI"/>
        </w:rPr>
      </w:pPr>
      <w:hyperlink w:anchor="_Toc34912549" w:history="1">
        <w:r w:rsidR="00F23C2B" w:rsidRPr="001423BA">
          <w:rPr>
            <w:rStyle w:val="Hyperlnk"/>
          </w:rPr>
          <w:t>Lag om höjda avskrivningar på maskiner, inventarier och andra därmed jämförbara lösa anläggningstillgångar skatteåren 2020–2023</w:t>
        </w:r>
        <w:r w:rsidR="00F23C2B">
          <w:rPr>
            <w:webHidden/>
          </w:rPr>
          <w:tab/>
        </w:r>
        <w:r w:rsidR="00F23C2B">
          <w:rPr>
            <w:webHidden/>
          </w:rPr>
          <w:fldChar w:fldCharType="begin"/>
        </w:r>
        <w:r w:rsidR="00F23C2B">
          <w:rPr>
            <w:webHidden/>
          </w:rPr>
          <w:instrText xml:space="preserve"> PAGEREF _Toc34912549 \h </w:instrText>
        </w:r>
        <w:r w:rsidR="00F23C2B">
          <w:rPr>
            <w:webHidden/>
          </w:rPr>
        </w:r>
        <w:r w:rsidR="00F23C2B">
          <w:rPr>
            <w:webHidden/>
          </w:rPr>
          <w:fldChar w:fldCharType="separate"/>
        </w:r>
        <w:r w:rsidR="00F23C2B">
          <w:rPr>
            <w:webHidden/>
          </w:rPr>
          <w:t>11</w:t>
        </w:r>
        <w:r w:rsidR="00F23C2B">
          <w:rPr>
            <w:webHidden/>
          </w:rPr>
          <w:fldChar w:fldCharType="end"/>
        </w:r>
      </w:hyperlink>
    </w:p>
    <w:p w14:paraId="3EF6136A" w14:textId="3DC6385B" w:rsidR="00AF3004" w:rsidRDefault="00AF3004">
      <w:pPr>
        <w:pStyle w:val="ANormal"/>
        <w:rPr>
          <w:noProof/>
        </w:rPr>
      </w:pPr>
      <w:r>
        <w:rPr>
          <w:rFonts w:ascii="Verdana" w:hAnsi="Verdana"/>
          <w:noProof/>
          <w:sz w:val="16"/>
          <w:szCs w:val="36"/>
        </w:rPr>
        <w:fldChar w:fldCharType="end"/>
      </w:r>
    </w:p>
    <w:p w14:paraId="015397F6" w14:textId="77777777" w:rsidR="00AF3004" w:rsidRDefault="00AF3004">
      <w:pPr>
        <w:pStyle w:val="ANormal"/>
      </w:pPr>
      <w:r>
        <w:br w:type="page"/>
      </w:r>
    </w:p>
    <w:p w14:paraId="7EF972A8" w14:textId="0C326DDD" w:rsidR="00AF3004" w:rsidRDefault="00B53F8D">
      <w:pPr>
        <w:pStyle w:val="RubrikA"/>
      </w:pPr>
      <w:bookmarkStart w:id="3" w:name="_Toc34912534"/>
      <w:r>
        <w:lastRenderedPageBreak/>
        <w:t>M</w:t>
      </w:r>
      <w:r w:rsidR="00AF3004">
        <w:t>otivering</w:t>
      </w:r>
      <w:bookmarkEnd w:id="3"/>
    </w:p>
    <w:p w14:paraId="42B0A360" w14:textId="77777777" w:rsidR="00AF3004" w:rsidRDefault="00AF3004">
      <w:pPr>
        <w:pStyle w:val="Rubrikmellanrum"/>
      </w:pPr>
    </w:p>
    <w:p w14:paraId="0D786123" w14:textId="606AFA93" w:rsidR="00AF3004" w:rsidRDefault="00AF3004">
      <w:pPr>
        <w:pStyle w:val="RubrikB"/>
      </w:pPr>
      <w:bookmarkStart w:id="4" w:name="_Toc34912535"/>
      <w:r>
        <w:t xml:space="preserve">1. </w:t>
      </w:r>
      <w:r w:rsidR="00B53F8D">
        <w:t>Gällande lagstiftning</w:t>
      </w:r>
      <w:bookmarkEnd w:id="4"/>
    </w:p>
    <w:p w14:paraId="5E332539" w14:textId="77777777" w:rsidR="00AF3004" w:rsidRDefault="00AF3004">
      <w:pPr>
        <w:pStyle w:val="Rubrikmellanrum"/>
      </w:pPr>
    </w:p>
    <w:p w14:paraId="35D4096C" w14:textId="2C953192" w:rsidR="00226DA0" w:rsidRDefault="003B2EEC" w:rsidP="00B53F8D">
      <w:pPr>
        <w:pStyle w:val="ANormal"/>
      </w:pPr>
      <w:r>
        <w:t>L</w:t>
      </w:r>
      <w:r w:rsidR="002A1230">
        <w:t xml:space="preserve">agstiftningsbehörigheten </w:t>
      </w:r>
      <w:r>
        <w:t xml:space="preserve">på skatteområdet är </w:t>
      </w:r>
      <w:r w:rsidR="002A1230">
        <w:t xml:space="preserve">delad mellan lagtinget och riksdagen. </w:t>
      </w:r>
      <w:r>
        <w:t>När det</w:t>
      </w:r>
      <w:r w:rsidR="00B53F8D">
        <w:t xml:space="preserve"> gäller skatt till kommunerna</w:t>
      </w:r>
      <w:r w:rsidR="002A1230">
        <w:t xml:space="preserve"> </w:t>
      </w:r>
      <w:r w:rsidR="00226DA0">
        <w:t>hör</w:t>
      </w:r>
      <w:r w:rsidR="002A1230">
        <w:t xml:space="preserve"> </w:t>
      </w:r>
      <w:r>
        <w:t xml:space="preserve">lagstiftningsbehörigheten </w:t>
      </w:r>
      <w:r w:rsidR="00226DA0">
        <w:t>enligt 18</w:t>
      </w:r>
      <w:r w:rsidR="00F23C2B">
        <w:t> §</w:t>
      </w:r>
      <w:r w:rsidR="00226DA0">
        <w:t xml:space="preserve"> 5 p. självstyrelselagen</w:t>
      </w:r>
      <w:r w:rsidR="00226DA0" w:rsidRPr="00226DA0">
        <w:t xml:space="preserve"> </w:t>
      </w:r>
      <w:r w:rsidR="00226DA0">
        <w:t>till lagtinget medan behörigheten vad gäller skatt till staten enligt 27</w:t>
      </w:r>
      <w:r w:rsidR="00F23C2B">
        <w:t> §</w:t>
      </w:r>
      <w:r w:rsidR="00226DA0">
        <w:t xml:space="preserve"> 36 p. hör till riksdagen. </w:t>
      </w:r>
      <w:r>
        <w:t>Av den anledningen har lagtinget valt att ge skattelagstiftningen formen av så kallad blankettlagstiftning. Med stöd av k</w:t>
      </w:r>
      <w:r w:rsidR="00B53F8D">
        <w:t xml:space="preserve">ommunalskattelagen (2011:119) för landskapet Åland </w:t>
      </w:r>
      <w:r>
        <w:t>tillämpas</w:t>
      </w:r>
      <w:r w:rsidR="00B53F8D">
        <w:t xml:space="preserve"> inkomstskattelagen (FFS 1535/1992) och lagen om skatteredovisning (FFS 532/1998)</w:t>
      </w:r>
      <w:r>
        <w:t xml:space="preserve"> vid kommunalbeskattningen, liksom lagen om beskattning av inkomst av näringsverksamhet (FFS 360/1968, nedan rikets näringsskattelag) tillämpas med stöd av landskapslagen (1993:42) om kommunalskatt för näringsverksamhet och</w:t>
      </w:r>
      <w:r w:rsidR="00B53F8D">
        <w:t xml:space="preserve"> </w:t>
      </w:r>
      <w:r>
        <w:t>inkomstskattelagen för gårdsbruk (FFS 543/1967, nedan rikets gårdsbruksskattelag) tillämpas med stöd av landskapslagen (1993:41) om kommunalskatt för gårdsbruk.</w:t>
      </w:r>
    </w:p>
    <w:p w14:paraId="7BBF25EB" w14:textId="4117A063" w:rsidR="00F428AB" w:rsidRDefault="0051310F" w:rsidP="0051310F">
      <w:pPr>
        <w:pStyle w:val="ANormal"/>
      </w:pPr>
      <w:r>
        <w:tab/>
        <w:t xml:space="preserve">Både kommunalskattelagen och landskapslagarna om kommunalskatt för näringsverksamhet respektive gårdsbruk innehåller </w:t>
      </w:r>
      <w:r w:rsidR="00F428AB">
        <w:t xml:space="preserve">vissa undantag från bestämmelserna i rikslagstiftningen. De innehåller också </w:t>
      </w:r>
      <w:r>
        <w:t>en bestämmelse som anger att ändringar av rikslagstiftningen träder i kraft i landskapet vid samma tidpunkt som i riket. Detta gäller dock inte bestämmelser i landskapslagarna som avviker från rikslagstiftningen.</w:t>
      </w:r>
    </w:p>
    <w:p w14:paraId="4C14B644" w14:textId="252F9B54" w:rsidR="00B53F8D" w:rsidRDefault="00AE65BC" w:rsidP="00B53F8D">
      <w:pPr>
        <w:pStyle w:val="ANormal"/>
      </w:pPr>
      <w:r>
        <w:tab/>
        <w:t xml:space="preserve">Med samfund avses enligt definitionen i inkomstskattelagen bland annat aktiebolag, andelslag och utländska dödsbon medan samfällda förmåner till exempel är samfällda skogar, väglag, fiskelag och skifteslag. </w:t>
      </w:r>
      <w:r w:rsidR="0051310F">
        <w:t>Den skatt som samfund och samfälligheter betalar är delvis</w:t>
      </w:r>
      <w:r w:rsidR="001044E9">
        <w:t xml:space="preserve"> en</w:t>
      </w:r>
      <w:r w:rsidR="0051310F">
        <w:t xml:space="preserve"> kommunal </w:t>
      </w:r>
      <w:r w:rsidR="001044E9">
        <w:t xml:space="preserve">skatt </w:t>
      </w:r>
      <w:r w:rsidR="0051310F">
        <w:t xml:space="preserve">och till den delen faller lagstiftningen under lagtingets behörighet. </w:t>
      </w:r>
      <w:r>
        <w:t>I riket uppbärs samfundsskatten som en enhetlig skatt som sedan fördelas mellan staten och kommunerna. Skattesatserna anges i 124</w:t>
      </w:r>
      <w:r w:rsidR="00F23C2B">
        <w:t> §</w:t>
      </w:r>
      <w:r>
        <w:t xml:space="preserve"> inkomstskattelagen och skatteåret 2019 var de 20 % för samfund och 26,5 % för samfällda förmåner.</w:t>
      </w:r>
      <w:r w:rsidR="007E24AB" w:rsidRPr="007E24AB">
        <w:t xml:space="preserve"> </w:t>
      </w:r>
      <w:r w:rsidR="007E24AB">
        <w:t>Skattein</w:t>
      </w:r>
      <w:r w:rsidR="0051310F">
        <w:t>täk</w:t>
      </w:r>
      <w:r w:rsidR="007E24AB">
        <w:t>terna fördelas mellan skattetagarna staten och kommunerna enligt vad som anges i 12</w:t>
      </w:r>
      <w:r w:rsidR="00F23C2B">
        <w:t> §</w:t>
      </w:r>
      <w:r w:rsidR="007E24AB">
        <w:t xml:space="preserve"> lagen om skatteredovisning.</w:t>
      </w:r>
      <w:r w:rsidR="00F428AB">
        <w:t xml:space="preserve"> </w:t>
      </w:r>
      <w:r w:rsidR="001044E9">
        <w:t xml:space="preserve">I den sistnämnda lagen finns också bestämmelser om fördelningen av skatten mellan de enskilda kommunerna i riket. </w:t>
      </w:r>
      <w:r w:rsidR="0051310F">
        <w:t>I landskapet regleras kommunalskattesatserna för samfund och samfällda förmåner samt fördelningen av skatteintäkterna mellan de åländska kommunerna i</w:t>
      </w:r>
      <w:r w:rsidR="004D5946">
        <w:t xml:space="preserve"> kommunalskattelagen</w:t>
      </w:r>
      <w:r w:rsidR="0051310F">
        <w:t xml:space="preserve">s </w:t>
      </w:r>
      <w:r w:rsidR="00B53F8D">
        <w:t>5</w:t>
      </w:r>
      <w:r w:rsidR="00F23C2B">
        <w:t> </w:t>
      </w:r>
      <w:r w:rsidR="00B53F8D">
        <w:t>kap.</w:t>
      </w:r>
    </w:p>
    <w:p w14:paraId="51A11D61" w14:textId="334CBFD3" w:rsidR="00B53F8D" w:rsidRDefault="00B53F8D" w:rsidP="00B53F8D">
      <w:pPr>
        <w:pStyle w:val="ANormal"/>
      </w:pPr>
      <w:r>
        <w:tab/>
        <w:t>Procentsatsen för den skatt åländska företag och samfälligheter betalar till staten följer av den totala skatteprocenten i riket och den statliga andelen av skatten som anges i lagen som skatteredovisning. Procentsatsen för den kommunala skatten anges i kommunalskattelagens 29</w:t>
      </w:r>
      <w:r w:rsidR="00F23C2B">
        <w:t> §</w:t>
      </w:r>
      <w:r>
        <w:t>. Formellt sett är den inte beroende av de ovan nämnda bestämmelserna men i praktiken har lagtinget hittills valt att sätta procentsatsen så att skatten för företag och samfälligheter i landskapet totalt sett är på samma nivå som i riket. För skatteåret 201</w:t>
      </w:r>
      <w:r w:rsidR="00715B19">
        <w:t>9</w:t>
      </w:r>
      <w:r>
        <w:t xml:space="preserve"> tillämpas en skattesats på 6,</w:t>
      </w:r>
      <w:r w:rsidR="00715B19">
        <w:t>26</w:t>
      </w:r>
      <w:r>
        <w:t xml:space="preserve"> % för samfund och </w:t>
      </w:r>
      <w:r w:rsidR="00715B19">
        <w:t>8</w:t>
      </w:r>
      <w:r>
        <w:t>,2</w:t>
      </w:r>
      <w:r w:rsidR="00715B19">
        <w:t>945</w:t>
      </w:r>
      <w:r>
        <w:t xml:space="preserve"> % för samfällda förmåner, vilket utgör </w:t>
      </w:r>
      <w:r w:rsidR="00715B19">
        <w:t>31</w:t>
      </w:r>
      <w:r>
        <w:t>,3</w:t>
      </w:r>
      <w:r w:rsidR="00715B19">
        <w:t>0</w:t>
      </w:r>
      <w:r>
        <w:t> %</w:t>
      </w:r>
      <w:r w:rsidRPr="008502FC">
        <w:t xml:space="preserve"> </w:t>
      </w:r>
      <w:r>
        <w:t>av den totala skattesatsen på 2</w:t>
      </w:r>
      <w:r w:rsidR="00715B19">
        <w:t>0</w:t>
      </w:r>
      <w:r>
        <w:t> % för samfund respektive 2</w:t>
      </w:r>
      <w:r w:rsidR="00715B19">
        <w:t>6,5</w:t>
      </w:r>
      <w:r>
        <w:t> % för samfällda förmåner.</w:t>
      </w:r>
    </w:p>
    <w:p w14:paraId="50E7E585" w14:textId="77777777" w:rsidR="00F92DA0" w:rsidRDefault="00F92DA0" w:rsidP="00B53F8D">
      <w:pPr>
        <w:pStyle w:val="ANormal"/>
      </w:pPr>
    </w:p>
    <w:p w14:paraId="0642041A" w14:textId="1E734928" w:rsidR="00B53F8D" w:rsidRDefault="00B53F8D" w:rsidP="00B53F8D">
      <w:pPr>
        <w:pStyle w:val="RubrikB"/>
      </w:pPr>
      <w:bookmarkStart w:id="5" w:name="_Toc34912536"/>
      <w:r>
        <w:t>2. Ändringar i riket</w:t>
      </w:r>
      <w:bookmarkEnd w:id="5"/>
    </w:p>
    <w:p w14:paraId="2DEE625A" w14:textId="2D3FD70F" w:rsidR="00B53F8D" w:rsidRDefault="00B53F8D" w:rsidP="00B53F8D">
      <w:pPr>
        <w:pStyle w:val="Rubrikmellanrum"/>
      </w:pPr>
    </w:p>
    <w:p w14:paraId="052A356B" w14:textId="357E815C" w:rsidR="00B53F8D" w:rsidRDefault="00B53F8D" w:rsidP="00B53F8D">
      <w:pPr>
        <w:pStyle w:val="RubrikC"/>
      </w:pPr>
      <w:bookmarkStart w:id="6" w:name="_Toc34912537"/>
      <w:r>
        <w:t>2.1. Ny lagstiftning om skattelättnader åren 2020–2023</w:t>
      </w:r>
      <w:bookmarkEnd w:id="6"/>
    </w:p>
    <w:p w14:paraId="0DA5741D" w14:textId="1F6445F8" w:rsidR="00B53F8D" w:rsidRDefault="00B53F8D" w:rsidP="00B53F8D">
      <w:pPr>
        <w:pStyle w:val="Rubrikmellanrum"/>
      </w:pPr>
    </w:p>
    <w:p w14:paraId="773FDC12" w14:textId="3C2B7DB1" w:rsidR="00F92DA0" w:rsidRDefault="00BF5354" w:rsidP="00F92DA0">
      <w:pPr>
        <w:pStyle w:val="ANormal"/>
      </w:pPr>
      <w:r>
        <w:t xml:space="preserve">Som en åtgärd som stöder tillväxt och sysselsättning har </w:t>
      </w:r>
      <w:r w:rsidR="00D64B59">
        <w:t xml:space="preserve">riksdagen antagit en lag om höjda </w:t>
      </w:r>
      <w:r>
        <w:t xml:space="preserve">avskrivningar på maskiner, inventarier och andra därmed jämförbara </w:t>
      </w:r>
      <w:r w:rsidR="00D64B59">
        <w:t xml:space="preserve">lösa </w:t>
      </w:r>
      <w:r>
        <w:t>anläggningstillgångar vid beskattningen 2020–2023</w:t>
      </w:r>
      <w:r w:rsidR="00D64B59">
        <w:t xml:space="preserve"> (FFS 1572/2019)</w:t>
      </w:r>
      <w:r>
        <w:t xml:space="preserve">. Syftet </w:t>
      </w:r>
      <w:r w:rsidR="00D64B59">
        <w:t xml:space="preserve">med åtgärden </w:t>
      </w:r>
      <w:r>
        <w:t>är att öka de privata investeringarna.</w:t>
      </w:r>
    </w:p>
    <w:p w14:paraId="24D91DEF" w14:textId="4606EB41" w:rsidR="00F92DA0" w:rsidRDefault="00BF5354" w:rsidP="00F92DA0">
      <w:pPr>
        <w:pStyle w:val="ANormal"/>
      </w:pPr>
      <w:r>
        <w:tab/>
      </w:r>
      <w:r w:rsidR="00F92DA0">
        <w:t>I 3</w:t>
      </w:r>
      <w:r>
        <w:t>0</w:t>
      </w:r>
      <w:r w:rsidR="00F23C2B">
        <w:t> §</w:t>
      </w:r>
      <w:r w:rsidR="00F92DA0">
        <w:t xml:space="preserve"> i rikets näringsskattelag anges att avskrivning</w:t>
      </w:r>
      <w:r>
        <w:t>en för</w:t>
      </w:r>
      <w:r w:rsidR="00F92DA0">
        <w:t xml:space="preserve"> </w:t>
      </w:r>
      <w:r>
        <w:t xml:space="preserve">skatteåret för maskiner, inventarier och andra därmed jämförbara anläggningstillgångar </w:t>
      </w:r>
      <w:r w:rsidR="00F92DA0">
        <w:t xml:space="preserve">får </w:t>
      </w:r>
      <w:r>
        <w:lastRenderedPageBreak/>
        <w:t>vara</w:t>
      </w:r>
      <w:r w:rsidR="00F92DA0">
        <w:t xml:space="preserve"> högst </w:t>
      </w:r>
      <w:r>
        <w:t>25</w:t>
      </w:r>
      <w:r w:rsidR="00F92DA0">
        <w:t> % av utgift</w:t>
      </w:r>
      <w:r>
        <w:t>srest</w:t>
      </w:r>
      <w:r w:rsidR="00F92DA0">
        <w:t xml:space="preserve">en. </w:t>
      </w:r>
      <w:r>
        <w:t>På motsvarande sätt får a</w:t>
      </w:r>
      <w:r w:rsidR="00F92DA0">
        <w:t>vskrivning</w:t>
      </w:r>
      <w:r>
        <w:t>en</w:t>
      </w:r>
      <w:r w:rsidR="00F92DA0">
        <w:t xml:space="preserve"> för skatteåret </w:t>
      </w:r>
      <w:r>
        <w:t>för maskiner, redskap och anordningar</w:t>
      </w:r>
      <w:r w:rsidR="00A534C0">
        <w:t xml:space="preserve"> enligt 8</w:t>
      </w:r>
      <w:r w:rsidR="00F23C2B">
        <w:t> §</w:t>
      </w:r>
      <w:r w:rsidR="00A534C0">
        <w:t xml:space="preserve"> i rikets gårdsbruksskattelag</w:t>
      </w:r>
      <w:r w:rsidR="00F92DA0">
        <w:t xml:space="preserve"> vara högst 25 % av utgiftsresten.</w:t>
      </w:r>
    </w:p>
    <w:p w14:paraId="64DCEEDE" w14:textId="4CB8D8B9" w:rsidR="00B53F8D" w:rsidRPr="00B53F8D" w:rsidRDefault="00F92DA0" w:rsidP="00F92DA0">
      <w:pPr>
        <w:pStyle w:val="ANormal"/>
      </w:pPr>
      <w:r>
        <w:tab/>
      </w:r>
      <w:r w:rsidR="00F34770">
        <w:t>L</w:t>
      </w:r>
      <w:r>
        <w:t>ag</w:t>
      </w:r>
      <w:r w:rsidR="00F34770">
        <w:t>en</w:t>
      </w:r>
      <w:r>
        <w:t xml:space="preserve"> om höjda avskrivningar på </w:t>
      </w:r>
      <w:r w:rsidR="00A534C0">
        <w:t>maskiner, inventarier och andra därmed jämförbara lösa anläggningstillgångar</w:t>
      </w:r>
      <w:r>
        <w:t xml:space="preserve"> skatteåren 20</w:t>
      </w:r>
      <w:r w:rsidR="00A534C0">
        <w:t>20</w:t>
      </w:r>
      <w:r>
        <w:t>–20</w:t>
      </w:r>
      <w:r w:rsidR="00A534C0">
        <w:t>23</w:t>
      </w:r>
      <w:r>
        <w:t xml:space="preserve"> </w:t>
      </w:r>
      <w:r w:rsidR="001044E9">
        <w:t>trädde</w:t>
      </w:r>
      <w:r>
        <w:t xml:space="preserve"> i kraft</w:t>
      </w:r>
      <w:r w:rsidR="00F34770">
        <w:t xml:space="preserve"> i riket</w:t>
      </w:r>
      <w:r>
        <w:t xml:space="preserve"> den 1 januari 20</w:t>
      </w:r>
      <w:r w:rsidR="00A534C0">
        <w:t>20</w:t>
      </w:r>
      <w:r>
        <w:t xml:space="preserve">. </w:t>
      </w:r>
      <w:r w:rsidR="004D27C7">
        <w:t xml:space="preserve">Den höjda avskrivningsrätten innebär att det på den icke avskrivna anskaffningsutgiften för nya maskiner och anläggningar i stället för den ordinarie avskrivningen på 25 % får göras en årlig avskrivning på högst 50 %. </w:t>
      </w:r>
      <w:r w:rsidR="001044E9">
        <w:t>Även om lagen innebär undantag från bestämmelserna i rikets näringsskattelag</w:t>
      </w:r>
      <w:r w:rsidR="00A27705">
        <w:t xml:space="preserve"> respektive gårdsbruksskattelag är det inte frågan om ändring av dessa lagar utan om en enskild författning. Den</w:t>
      </w:r>
      <w:r>
        <w:t xml:space="preserve"> är</w:t>
      </w:r>
      <w:r w:rsidR="00A27705">
        <w:t xml:space="preserve"> därmed</w:t>
      </w:r>
      <w:r>
        <w:t xml:space="preserve"> </w:t>
      </w:r>
      <w:r w:rsidR="00361402">
        <w:t xml:space="preserve">inte </w:t>
      </w:r>
      <w:r>
        <w:t>tillämplig vid kommunalbeskattningen i landskapet, utan enbart vid statsbeskattningen.</w:t>
      </w:r>
    </w:p>
    <w:p w14:paraId="35C0E179" w14:textId="4396BD38" w:rsidR="00B53F8D" w:rsidRDefault="00B53F8D">
      <w:pPr>
        <w:pStyle w:val="ANormal"/>
      </w:pPr>
    </w:p>
    <w:p w14:paraId="08E5D428" w14:textId="336E28C7" w:rsidR="00B53F8D" w:rsidRDefault="00B53F8D" w:rsidP="00B53F8D">
      <w:pPr>
        <w:pStyle w:val="RubrikC"/>
      </w:pPr>
      <w:bookmarkStart w:id="7" w:name="_Toc34912538"/>
      <w:r>
        <w:t>2.2. Ändrad fördelning av samfundsskatten mellan staten och kommunerna åren 2020–2027</w:t>
      </w:r>
      <w:bookmarkEnd w:id="7"/>
    </w:p>
    <w:p w14:paraId="27FEED9D" w14:textId="79EE7946" w:rsidR="00B53F8D" w:rsidRDefault="00B53F8D" w:rsidP="00B53F8D">
      <w:pPr>
        <w:pStyle w:val="Rubrikmellanrum"/>
      </w:pPr>
    </w:p>
    <w:p w14:paraId="4CAF5915" w14:textId="5A6300C1" w:rsidR="00B53F8D" w:rsidRDefault="00C42F85" w:rsidP="00B53F8D">
      <w:pPr>
        <w:pStyle w:val="ANormal"/>
      </w:pPr>
      <w:r>
        <w:t xml:space="preserve">Den ovannämnda lagen om höjda avskrivningar </w:t>
      </w:r>
      <w:r w:rsidR="00D64B59">
        <w:t>kommer att leda</w:t>
      </w:r>
      <w:r>
        <w:t xml:space="preserve"> till att kommunernas intäkter från samfundsbeskattningen minskar</w:t>
      </w:r>
      <w:r w:rsidR="00D64B59">
        <w:t xml:space="preserve"> under de år den tillämpas, för att sedan stiga igen under de följande åren</w:t>
      </w:r>
      <w:r>
        <w:t xml:space="preserve">. </w:t>
      </w:r>
      <w:r w:rsidR="003223EA">
        <w:t xml:space="preserve">För att uppväga effekterna ändras fördelningen av samfundsskatten mellan skattetagarna i riket från och med skatteåret 2020. </w:t>
      </w:r>
      <w:r>
        <w:t xml:space="preserve">För att kompensera kommunerna för minskningen </w:t>
      </w:r>
      <w:r w:rsidR="00D64B59">
        <w:t xml:space="preserve">under perioden 2020–2023 </w:t>
      </w:r>
      <w:r w:rsidR="003223EA">
        <w:t>höjs kommunernas andel under dessa år, för att sedan sänkas igen under perioden 2024–2027.</w:t>
      </w:r>
      <w:r>
        <w:t xml:space="preserve"> </w:t>
      </w:r>
      <w:r w:rsidR="00405893">
        <w:t xml:space="preserve">Under skatteåret 2019 var statens andel av samfundsskatten 68,70 % medan kommunernas andel var 31,30 %. Genom en </w:t>
      </w:r>
      <w:r w:rsidR="006240E4">
        <w:t xml:space="preserve">temporär </w:t>
      </w:r>
      <w:r w:rsidR="00405893">
        <w:t>ändring av lagen om skatteredovisning ändras fördelningen för skatteåren 2020–2027 enligt de beräknade förändringarna av samfundsskatteintäkterna.</w:t>
      </w:r>
    </w:p>
    <w:p w14:paraId="53B3E0DC" w14:textId="77777777" w:rsidR="00C8056A" w:rsidRDefault="00C8056A" w:rsidP="00C8056A">
      <w:pPr>
        <w:pStyle w:val="ANormal"/>
      </w:pPr>
    </w:p>
    <w:p w14:paraId="36C63B21" w14:textId="77777777" w:rsidR="00C8056A" w:rsidRDefault="00C8056A" w:rsidP="00C8056A">
      <w:pPr>
        <w:pStyle w:val="RubrikD"/>
      </w:pPr>
      <w:r>
        <w:t>Skattetagarnas andelar av samfundsskatten i riket:</w:t>
      </w:r>
    </w:p>
    <w:p w14:paraId="6DD72758" w14:textId="77777777" w:rsidR="00C8056A" w:rsidRPr="002C659A" w:rsidRDefault="00C8056A" w:rsidP="00C8056A">
      <w:pPr>
        <w:pStyle w:val="Rubrikmellanrum"/>
      </w:pPr>
    </w:p>
    <w:tbl>
      <w:tblPr>
        <w:tblStyle w:val="Tabellrutnt"/>
        <w:tblW w:w="6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673"/>
        <w:gridCol w:w="673"/>
        <w:gridCol w:w="674"/>
        <w:gridCol w:w="673"/>
        <w:gridCol w:w="673"/>
        <w:gridCol w:w="674"/>
        <w:gridCol w:w="673"/>
        <w:gridCol w:w="674"/>
      </w:tblGrid>
      <w:tr w:rsidR="00C8056A" w:rsidRPr="000854C3" w14:paraId="368FD1FD" w14:textId="590B1F41" w:rsidTr="00F42E2D">
        <w:trPr>
          <w:trHeight w:val="304"/>
        </w:trPr>
        <w:tc>
          <w:tcPr>
            <w:tcW w:w="1276" w:type="dxa"/>
            <w:tcBorders>
              <w:left w:val="single" w:sz="4" w:space="0" w:color="auto"/>
              <w:bottom w:val="single" w:sz="4" w:space="0" w:color="auto"/>
              <w:right w:val="single" w:sz="4" w:space="0" w:color="auto"/>
            </w:tcBorders>
            <w:vAlign w:val="bottom"/>
          </w:tcPr>
          <w:p w14:paraId="59EC48E5" w14:textId="77777777" w:rsidR="00C8056A" w:rsidRPr="000854C3" w:rsidRDefault="00C8056A" w:rsidP="00131298">
            <w:pPr>
              <w:pStyle w:val="Tabelltext"/>
              <w:keepNext/>
              <w:rPr>
                <w:b/>
              </w:rPr>
            </w:pPr>
            <w:bookmarkStart w:id="8" w:name="_Hlk29462462"/>
          </w:p>
        </w:tc>
        <w:tc>
          <w:tcPr>
            <w:tcW w:w="673" w:type="dxa"/>
            <w:tcBorders>
              <w:left w:val="single" w:sz="4" w:space="0" w:color="auto"/>
              <w:bottom w:val="single" w:sz="4" w:space="0" w:color="auto"/>
              <w:right w:val="single" w:sz="4" w:space="0" w:color="auto"/>
            </w:tcBorders>
            <w:vAlign w:val="bottom"/>
          </w:tcPr>
          <w:p w14:paraId="3FB22668" w14:textId="5B07B8C9" w:rsidR="00C8056A" w:rsidRPr="000854C3" w:rsidRDefault="00C8056A" w:rsidP="00C8056A">
            <w:pPr>
              <w:pStyle w:val="Tabelltext"/>
              <w:keepNext/>
              <w:jc w:val="center"/>
              <w:rPr>
                <w:b/>
              </w:rPr>
            </w:pPr>
            <w:r w:rsidRPr="000854C3">
              <w:rPr>
                <w:b/>
              </w:rPr>
              <w:t>20</w:t>
            </w:r>
            <w:r>
              <w:rPr>
                <w:b/>
              </w:rPr>
              <w:t>20</w:t>
            </w:r>
          </w:p>
        </w:tc>
        <w:tc>
          <w:tcPr>
            <w:tcW w:w="673" w:type="dxa"/>
            <w:tcBorders>
              <w:left w:val="single" w:sz="4" w:space="0" w:color="auto"/>
              <w:bottom w:val="single" w:sz="4" w:space="0" w:color="auto"/>
              <w:right w:val="single" w:sz="4" w:space="0" w:color="auto"/>
            </w:tcBorders>
            <w:vAlign w:val="bottom"/>
          </w:tcPr>
          <w:p w14:paraId="0E1AA2DF" w14:textId="64254031" w:rsidR="00C8056A" w:rsidRPr="000854C3" w:rsidRDefault="00C8056A" w:rsidP="00C8056A">
            <w:pPr>
              <w:pStyle w:val="Tabelltext"/>
              <w:keepNext/>
              <w:jc w:val="center"/>
              <w:rPr>
                <w:b/>
              </w:rPr>
            </w:pPr>
            <w:r w:rsidRPr="000854C3">
              <w:rPr>
                <w:b/>
              </w:rPr>
              <w:t>20</w:t>
            </w:r>
            <w:r>
              <w:rPr>
                <w:b/>
              </w:rPr>
              <w:t>21</w:t>
            </w:r>
          </w:p>
        </w:tc>
        <w:tc>
          <w:tcPr>
            <w:tcW w:w="674" w:type="dxa"/>
            <w:tcBorders>
              <w:left w:val="single" w:sz="4" w:space="0" w:color="auto"/>
              <w:bottom w:val="single" w:sz="4" w:space="0" w:color="auto"/>
              <w:right w:val="single" w:sz="4" w:space="0" w:color="auto"/>
            </w:tcBorders>
            <w:vAlign w:val="bottom"/>
          </w:tcPr>
          <w:p w14:paraId="6D9E27AB" w14:textId="589CB100" w:rsidR="00C8056A" w:rsidRPr="000854C3" w:rsidRDefault="00C8056A" w:rsidP="00C8056A">
            <w:pPr>
              <w:pStyle w:val="Tabelltext"/>
              <w:keepNext/>
              <w:jc w:val="center"/>
              <w:rPr>
                <w:b/>
              </w:rPr>
            </w:pPr>
            <w:r w:rsidRPr="000854C3">
              <w:rPr>
                <w:b/>
              </w:rPr>
              <w:t>20</w:t>
            </w:r>
            <w:r>
              <w:rPr>
                <w:b/>
              </w:rPr>
              <w:t>22</w:t>
            </w:r>
          </w:p>
        </w:tc>
        <w:tc>
          <w:tcPr>
            <w:tcW w:w="673" w:type="dxa"/>
            <w:tcBorders>
              <w:left w:val="single" w:sz="4" w:space="0" w:color="auto"/>
              <w:bottom w:val="single" w:sz="4" w:space="0" w:color="auto"/>
              <w:right w:val="single" w:sz="4" w:space="0" w:color="auto"/>
            </w:tcBorders>
            <w:vAlign w:val="bottom"/>
          </w:tcPr>
          <w:p w14:paraId="1BE27A10" w14:textId="462860C9" w:rsidR="00C8056A" w:rsidRPr="000854C3" w:rsidRDefault="00C8056A" w:rsidP="00C8056A">
            <w:pPr>
              <w:pStyle w:val="Tabelltext"/>
              <w:keepNext/>
              <w:jc w:val="center"/>
              <w:rPr>
                <w:b/>
              </w:rPr>
            </w:pPr>
            <w:r w:rsidRPr="000854C3">
              <w:rPr>
                <w:b/>
              </w:rPr>
              <w:t>20</w:t>
            </w:r>
            <w:r>
              <w:rPr>
                <w:b/>
              </w:rPr>
              <w:t>23</w:t>
            </w:r>
          </w:p>
        </w:tc>
        <w:tc>
          <w:tcPr>
            <w:tcW w:w="673" w:type="dxa"/>
            <w:tcBorders>
              <w:left w:val="single" w:sz="4" w:space="0" w:color="auto"/>
              <w:bottom w:val="single" w:sz="4" w:space="0" w:color="auto"/>
              <w:right w:val="single" w:sz="4" w:space="0" w:color="auto"/>
            </w:tcBorders>
            <w:vAlign w:val="bottom"/>
          </w:tcPr>
          <w:p w14:paraId="4FEAFC7D" w14:textId="0595E9BF" w:rsidR="00C8056A" w:rsidRPr="000854C3" w:rsidRDefault="00C8056A" w:rsidP="00C8056A">
            <w:pPr>
              <w:pStyle w:val="Tabelltext"/>
              <w:keepNext/>
              <w:jc w:val="center"/>
              <w:rPr>
                <w:b/>
              </w:rPr>
            </w:pPr>
            <w:r w:rsidRPr="000854C3">
              <w:rPr>
                <w:b/>
              </w:rPr>
              <w:t>20</w:t>
            </w:r>
            <w:r>
              <w:rPr>
                <w:b/>
              </w:rPr>
              <w:t>24</w:t>
            </w:r>
          </w:p>
        </w:tc>
        <w:tc>
          <w:tcPr>
            <w:tcW w:w="674" w:type="dxa"/>
            <w:tcBorders>
              <w:left w:val="single" w:sz="4" w:space="0" w:color="auto"/>
              <w:bottom w:val="single" w:sz="4" w:space="0" w:color="auto"/>
              <w:right w:val="single" w:sz="4" w:space="0" w:color="auto"/>
            </w:tcBorders>
            <w:vAlign w:val="bottom"/>
          </w:tcPr>
          <w:p w14:paraId="66787791" w14:textId="5F0A4CC2" w:rsidR="00C8056A" w:rsidRPr="000854C3" w:rsidRDefault="00C8056A" w:rsidP="00C8056A">
            <w:pPr>
              <w:pStyle w:val="Tabelltext"/>
              <w:keepNext/>
              <w:jc w:val="center"/>
              <w:rPr>
                <w:b/>
              </w:rPr>
            </w:pPr>
            <w:r w:rsidRPr="000854C3">
              <w:rPr>
                <w:b/>
              </w:rPr>
              <w:t>20</w:t>
            </w:r>
            <w:r>
              <w:rPr>
                <w:b/>
              </w:rPr>
              <w:t>25</w:t>
            </w:r>
          </w:p>
        </w:tc>
        <w:tc>
          <w:tcPr>
            <w:tcW w:w="673" w:type="dxa"/>
            <w:tcBorders>
              <w:left w:val="single" w:sz="4" w:space="0" w:color="auto"/>
              <w:bottom w:val="single" w:sz="4" w:space="0" w:color="auto"/>
              <w:right w:val="single" w:sz="4" w:space="0" w:color="auto"/>
            </w:tcBorders>
            <w:vAlign w:val="bottom"/>
          </w:tcPr>
          <w:p w14:paraId="5CEE7EAC" w14:textId="55F08A6F" w:rsidR="00C8056A" w:rsidRPr="000854C3" w:rsidRDefault="00C8056A" w:rsidP="006566B1">
            <w:pPr>
              <w:pStyle w:val="Tabelltext"/>
              <w:keepNext/>
              <w:jc w:val="right"/>
              <w:rPr>
                <w:b/>
              </w:rPr>
            </w:pPr>
            <w:r>
              <w:rPr>
                <w:b/>
              </w:rPr>
              <w:t>2026</w:t>
            </w:r>
          </w:p>
        </w:tc>
        <w:tc>
          <w:tcPr>
            <w:tcW w:w="674" w:type="dxa"/>
            <w:tcBorders>
              <w:left w:val="single" w:sz="4" w:space="0" w:color="auto"/>
              <w:bottom w:val="single" w:sz="4" w:space="0" w:color="auto"/>
              <w:right w:val="single" w:sz="4" w:space="0" w:color="auto"/>
            </w:tcBorders>
            <w:vAlign w:val="bottom"/>
          </w:tcPr>
          <w:p w14:paraId="1ABAF521" w14:textId="3DBBB6C1" w:rsidR="00C8056A" w:rsidRPr="000854C3" w:rsidRDefault="00C8056A" w:rsidP="006566B1">
            <w:pPr>
              <w:pStyle w:val="Tabelltext"/>
              <w:keepNext/>
              <w:jc w:val="right"/>
              <w:rPr>
                <w:b/>
              </w:rPr>
            </w:pPr>
            <w:r>
              <w:rPr>
                <w:b/>
              </w:rPr>
              <w:t>2027</w:t>
            </w:r>
          </w:p>
        </w:tc>
      </w:tr>
      <w:tr w:rsidR="00C8056A" w14:paraId="61121D23" w14:textId="115AB7C7" w:rsidTr="00F42E2D">
        <w:trPr>
          <w:trHeight w:val="304"/>
        </w:trPr>
        <w:tc>
          <w:tcPr>
            <w:tcW w:w="1276" w:type="dxa"/>
            <w:tcBorders>
              <w:top w:val="single" w:sz="4" w:space="0" w:color="auto"/>
              <w:left w:val="single" w:sz="4" w:space="0" w:color="auto"/>
              <w:right w:val="single" w:sz="4" w:space="0" w:color="auto"/>
            </w:tcBorders>
            <w:vAlign w:val="bottom"/>
          </w:tcPr>
          <w:p w14:paraId="4677A85B" w14:textId="7FC2669B" w:rsidR="00C8056A" w:rsidRDefault="00C8056A" w:rsidP="00131298">
            <w:pPr>
              <w:pStyle w:val="Tabelltext"/>
              <w:keepNext/>
            </w:pPr>
            <w:r>
              <w:t>Stat</w:t>
            </w:r>
            <w:r w:rsidR="0087261C">
              <w:t>en</w:t>
            </w:r>
          </w:p>
        </w:tc>
        <w:tc>
          <w:tcPr>
            <w:tcW w:w="673" w:type="dxa"/>
            <w:tcBorders>
              <w:top w:val="single" w:sz="4" w:space="0" w:color="auto"/>
              <w:left w:val="single" w:sz="4" w:space="0" w:color="auto"/>
              <w:right w:val="single" w:sz="4" w:space="0" w:color="auto"/>
            </w:tcBorders>
            <w:vAlign w:val="bottom"/>
          </w:tcPr>
          <w:p w14:paraId="778295E7" w14:textId="76FC23B1" w:rsidR="00C8056A" w:rsidRDefault="00C8056A" w:rsidP="00131298">
            <w:pPr>
              <w:pStyle w:val="Tabelltext"/>
              <w:keepNext/>
              <w:jc w:val="right"/>
            </w:pPr>
            <w:r>
              <w:t>67,87</w:t>
            </w:r>
          </w:p>
        </w:tc>
        <w:tc>
          <w:tcPr>
            <w:tcW w:w="673" w:type="dxa"/>
            <w:tcBorders>
              <w:top w:val="single" w:sz="4" w:space="0" w:color="auto"/>
              <w:left w:val="single" w:sz="4" w:space="0" w:color="auto"/>
              <w:right w:val="single" w:sz="4" w:space="0" w:color="auto"/>
            </w:tcBorders>
            <w:vAlign w:val="bottom"/>
          </w:tcPr>
          <w:p w14:paraId="67BDBFDE" w14:textId="5CFA2E5E" w:rsidR="00C8056A" w:rsidRDefault="0087261C" w:rsidP="00131298">
            <w:pPr>
              <w:pStyle w:val="Tabelltext"/>
              <w:keepNext/>
              <w:jc w:val="right"/>
            </w:pPr>
            <w:r>
              <w:t>67,76</w:t>
            </w:r>
          </w:p>
        </w:tc>
        <w:tc>
          <w:tcPr>
            <w:tcW w:w="674" w:type="dxa"/>
            <w:tcBorders>
              <w:top w:val="single" w:sz="4" w:space="0" w:color="auto"/>
              <w:left w:val="single" w:sz="4" w:space="0" w:color="auto"/>
              <w:right w:val="single" w:sz="4" w:space="0" w:color="auto"/>
            </w:tcBorders>
            <w:vAlign w:val="bottom"/>
          </w:tcPr>
          <w:p w14:paraId="757698B6" w14:textId="33BF9E4D" w:rsidR="00C8056A" w:rsidRDefault="0087261C" w:rsidP="00131298">
            <w:pPr>
              <w:pStyle w:val="Tabelltext"/>
              <w:keepNext/>
              <w:jc w:val="right"/>
            </w:pPr>
            <w:r>
              <w:t>67,82</w:t>
            </w:r>
          </w:p>
        </w:tc>
        <w:tc>
          <w:tcPr>
            <w:tcW w:w="673" w:type="dxa"/>
            <w:tcBorders>
              <w:top w:val="single" w:sz="4" w:space="0" w:color="auto"/>
              <w:left w:val="single" w:sz="4" w:space="0" w:color="auto"/>
              <w:right w:val="single" w:sz="4" w:space="0" w:color="auto"/>
            </w:tcBorders>
            <w:vAlign w:val="bottom"/>
          </w:tcPr>
          <w:p w14:paraId="61CD81FD" w14:textId="1D8B3F8A" w:rsidR="00C8056A" w:rsidRDefault="0087261C" w:rsidP="00131298">
            <w:pPr>
              <w:pStyle w:val="Tabelltext"/>
              <w:keepNext/>
              <w:jc w:val="right"/>
            </w:pPr>
            <w:r>
              <w:t>67,94</w:t>
            </w:r>
          </w:p>
        </w:tc>
        <w:tc>
          <w:tcPr>
            <w:tcW w:w="673" w:type="dxa"/>
            <w:tcBorders>
              <w:top w:val="single" w:sz="4" w:space="0" w:color="auto"/>
              <w:left w:val="single" w:sz="4" w:space="0" w:color="auto"/>
              <w:right w:val="single" w:sz="4" w:space="0" w:color="auto"/>
            </w:tcBorders>
            <w:vAlign w:val="bottom"/>
          </w:tcPr>
          <w:p w14:paraId="2400BB20" w14:textId="2C638C04" w:rsidR="00C8056A" w:rsidRDefault="0087261C" w:rsidP="00131298">
            <w:pPr>
              <w:pStyle w:val="Tabelltext"/>
              <w:keepNext/>
              <w:jc w:val="right"/>
            </w:pPr>
            <w:r>
              <w:t>69,47</w:t>
            </w:r>
          </w:p>
        </w:tc>
        <w:tc>
          <w:tcPr>
            <w:tcW w:w="674" w:type="dxa"/>
            <w:tcBorders>
              <w:top w:val="single" w:sz="4" w:space="0" w:color="auto"/>
              <w:left w:val="single" w:sz="4" w:space="0" w:color="auto"/>
              <w:right w:val="single" w:sz="4" w:space="0" w:color="auto"/>
            </w:tcBorders>
            <w:vAlign w:val="bottom"/>
          </w:tcPr>
          <w:p w14:paraId="4B1789E6" w14:textId="4355CD44" w:rsidR="00C8056A" w:rsidRDefault="0087261C" w:rsidP="00131298">
            <w:pPr>
              <w:pStyle w:val="Tabelltext"/>
              <w:keepNext/>
              <w:jc w:val="right"/>
            </w:pPr>
            <w:r>
              <w:t>69,28</w:t>
            </w:r>
          </w:p>
        </w:tc>
        <w:tc>
          <w:tcPr>
            <w:tcW w:w="673" w:type="dxa"/>
            <w:tcBorders>
              <w:top w:val="single" w:sz="4" w:space="0" w:color="auto"/>
              <w:left w:val="single" w:sz="4" w:space="0" w:color="auto"/>
              <w:right w:val="single" w:sz="4" w:space="0" w:color="auto"/>
            </w:tcBorders>
            <w:vAlign w:val="bottom"/>
          </w:tcPr>
          <w:p w14:paraId="445B5F75" w14:textId="4AB2E5C8" w:rsidR="00C8056A" w:rsidRDefault="0087261C" w:rsidP="0087261C">
            <w:pPr>
              <w:pStyle w:val="Tabelltext"/>
              <w:keepNext/>
              <w:jc w:val="right"/>
            </w:pPr>
            <w:r>
              <w:t>69,14</w:t>
            </w:r>
          </w:p>
        </w:tc>
        <w:tc>
          <w:tcPr>
            <w:tcW w:w="674" w:type="dxa"/>
            <w:tcBorders>
              <w:top w:val="single" w:sz="4" w:space="0" w:color="auto"/>
              <w:left w:val="single" w:sz="4" w:space="0" w:color="auto"/>
              <w:right w:val="single" w:sz="4" w:space="0" w:color="auto"/>
            </w:tcBorders>
            <w:vAlign w:val="bottom"/>
          </w:tcPr>
          <w:p w14:paraId="6048F707" w14:textId="7FA04F72" w:rsidR="00C8056A" w:rsidRDefault="0087261C" w:rsidP="0087261C">
            <w:pPr>
              <w:pStyle w:val="Tabelltext"/>
              <w:keepNext/>
              <w:jc w:val="right"/>
            </w:pPr>
            <w:r>
              <w:t>69,03</w:t>
            </w:r>
          </w:p>
        </w:tc>
      </w:tr>
      <w:tr w:rsidR="00C8056A" w14:paraId="5215DBBF" w14:textId="6A39A80C" w:rsidTr="00F42E2D">
        <w:trPr>
          <w:trHeight w:val="304"/>
        </w:trPr>
        <w:tc>
          <w:tcPr>
            <w:tcW w:w="1276" w:type="dxa"/>
            <w:tcBorders>
              <w:left w:val="single" w:sz="4" w:space="0" w:color="auto"/>
              <w:right w:val="single" w:sz="4" w:space="0" w:color="auto"/>
            </w:tcBorders>
            <w:vAlign w:val="bottom"/>
          </w:tcPr>
          <w:p w14:paraId="0EF4A6BA" w14:textId="28F8BF7F" w:rsidR="00C8056A" w:rsidRDefault="00C8056A" w:rsidP="00131298">
            <w:pPr>
              <w:pStyle w:val="Tabelltext"/>
              <w:keepNext/>
            </w:pPr>
            <w:r>
              <w:t>Kommuner</w:t>
            </w:r>
          </w:p>
        </w:tc>
        <w:tc>
          <w:tcPr>
            <w:tcW w:w="673" w:type="dxa"/>
            <w:tcBorders>
              <w:left w:val="single" w:sz="4" w:space="0" w:color="auto"/>
              <w:right w:val="single" w:sz="4" w:space="0" w:color="auto"/>
            </w:tcBorders>
            <w:vAlign w:val="bottom"/>
          </w:tcPr>
          <w:p w14:paraId="5AACED55" w14:textId="11828651" w:rsidR="00C8056A" w:rsidRDefault="0087261C" w:rsidP="00131298">
            <w:pPr>
              <w:pStyle w:val="Tabelltext"/>
              <w:keepNext/>
              <w:jc w:val="right"/>
            </w:pPr>
            <w:r>
              <w:t>32,13</w:t>
            </w:r>
          </w:p>
        </w:tc>
        <w:tc>
          <w:tcPr>
            <w:tcW w:w="673" w:type="dxa"/>
            <w:tcBorders>
              <w:left w:val="single" w:sz="4" w:space="0" w:color="auto"/>
              <w:right w:val="single" w:sz="4" w:space="0" w:color="auto"/>
            </w:tcBorders>
            <w:vAlign w:val="bottom"/>
          </w:tcPr>
          <w:p w14:paraId="3719C5D3" w14:textId="227246BB" w:rsidR="00C8056A" w:rsidRDefault="0087261C" w:rsidP="00131298">
            <w:pPr>
              <w:pStyle w:val="Tabelltext"/>
              <w:keepNext/>
              <w:jc w:val="right"/>
            </w:pPr>
            <w:r>
              <w:t>32,24</w:t>
            </w:r>
          </w:p>
        </w:tc>
        <w:tc>
          <w:tcPr>
            <w:tcW w:w="674" w:type="dxa"/>
            <w:tcBorders>
              <w:left w:val="single" w:sz="4" w:space="0" w:color="auto"/>
              <w:right w:val="single" w:sz="4" w:space="0" w:color="auto"/>
            </w:tcBorders>
            <w:vAlign w:val="bottom"/>
          </w:tcPr>
          <w:p w14:paraId="72C6F15D" w14:textId="07B91650" w:rsidR="00C8056A" w:rsidRDefault="0087261C" w:rsidP="00131298">
            <w:pPr>
              <w:pStyle w:val="Tabelltext"/>
              <w:keepNext/>
              <w:jc w:val="right"/>
            </w:pPr>
            <w:r>
              <w:t>32,18</w:t>
            </w:r>
          </w:p>
        </w:tc>
        <w:tc>
          <w:tcPr>
            <w:tcW w:w="673" w:type="dxa"/>
            <w:tcBorders>
              <w:left w:val="single" w:sz="4" w:space="0" w:color="auto"/>
              <w:right w:val="single" w:sz="4" w:space="0" w:color="auto"/>
            </w:tcBorders>
            <w:vAlign w:val="bottom"/>
          </w:tcPr>
          <w:p w14:paraId="55266216" w14:textId="2B00A5AD" w:rsidR="00C8056A" w:rsidRDefault="0087261C" w:rsidP="00131298">
            <w:pPr>
              <w:pStyle w:val="Tabelltext"/>
              <w:keepNext/>
              <w:jc w:val="right"/>
            </w:pPr>
            <w:r>
              <w:t>32,06</w:t>
            </w:r>
          </w:p>
        </w:tc>
        <w:tc>
          <w:tcPr>
            <w:tcW w:w="673" w:type="dxa"/>
            <w:tcBorders>
              <w:left w:val="single" w:sz="4" w:space="0" w:color="auto"/>
              <w:right w:val="single" w:sz="4" w:space="0" w:color="auto"/>
            </w:tcBorders>
            <w:vAlign w:val="bottom"/>
          </w:tcPr>
          <w:p w14:paraId="3C8DD603" w14:textId="19751B7D" w:rsidR="00C8056A" w:rsidRDefault="0087261C" w:rsidP="00131298">
            <w:pPr>
              <w:pStyle w:val="Tabelltext"/>
              <w:keepNext/>
              <w:jc w:val="right"/>
            </w:pPr>
            <w:r>
              <w:t>30,53</w:t>
            </w:r>
          </w:p>
        </w:tc>
        <w:tc>
          <w:tcPr>
            <w:tcW w:w="674" w:type="dxa"/>
            <w:tcBorders>
              <w:left w:val="single" w:sz="4" w:space="0" w:color="auto"/>
              <w:right w:val="single" w:sz="4" w:space="0" w:color="auto"/>
            </w:tcBorders>
            <w:vAlign w:val="bottom"/>
          </w:tcPr>
          <w:p w14:paraId="2857F9C6" w14:textId="2D79339A" w:rsidR="00C8056A" w:rsidRDefault="0087261C" w:rsidP="00131298">
            <w:pPr>
              <w:pStyle w:val="Tabelltext"/>
              <w:keepNext/>
              <w:jc w:val="right"/>
            </w:pPr>
            <w:r>
              <w:t>30,72</w:t>
            </w:r>
          </w:p>
        </w:tc>
        <w:tc>
          <w:tcPr>
            <w:tcW w:w="673" w:type="dxa"/>
            <w:tcBorders>
              <w:left w:val="single" w:sz="4" w:space="0" w:color="auto"/>
              <w:right w:val="single" w:sz="4" w:space="0" w:color="auto"/>
            </w:tcBorders>
            <w:vAlign w:val="bottom"/>
          </w:tcPr>
          <w:p w14:paraId="787C3F0E" w14:textId="00EDCBFD" w:rsidR="00C8056A" w:rsidRDefault="0087261C" w:rsidP="0087261C">
            <w:pPr>
              <w:pStyle w:val="Tabelltext"/>
              <w:keepNext/>
              <w:jc w:val="right"/>
            </w:pPr>
            <w:r>
              <w:t>30,86</w:t>
            </w:r>
          </w:p>
        </w:tc>
        <w:tc>
          <w:tcPr>
            <w:tcW w:w="674" w:type="dxa"/>
            <w:tcBorders>
              <w:left w:val="single" w:sz="4" w:space="0" w:color="auto"/>
              <w:right w:val="single" w:sz="4" w:space="0" w:color="auto"/>
            </w:tcBorders>
            <w:vAlign w:val="bottom"/>
          </w:tcPr>
          <w:p w14:paraId="40F0D2C3" w14:textId="4DF32F8D" w:rsidR="00C8056A" w:rsidRDefault="0087261C" w:rsidP="0087261C">
            <w:pPr>
              <w:pStyle w:val="Tabelltext"/>
              <w:keepNext/>
              <w:jc w:val="right"/>
            </w:pPr>
            <w:r>
              <w:t>30,97</w:t>
            </w:r>
          </w:p>
        </w:tc>
      </w:tr>
      <w:tr w:rsidR="00C8056A" w14:paraId="50253568" w14:textId="647A5D9F" w:rsidTr="00F42E2D">
        <w:trPr>
          <w:trHeight w:val="304"/>
        </w:trPr>
        <w:tc>
          <w:tcPr>
            <w:tcW w:w="1276" w:type="dxa"/>
            <w:tcBorders>
              <w:top w:val="single" w:sz="4" w:space="0" w:color="auto"/>
              <w:left w:val="single" w:sz="4" w:space="0" w:color="auto"/>
              <w:right w:val="single" w:sz="4" w:space="0" w:color="auto"/>
            </w:tcBorders>
            <w:vAlign w:val="bottom"/>
          </w:tcPr>
          <w:p w14:paraId="0981120D" w14:textId="77777777" w:rsidR="00C8056A" w:rsidRDefault="00C8056A" w:rsidP="00131298">
            <w:pPr>
              <w:pStyle w:val="Tabelltext"/>
              <w:keepNext/>
            </w:pPr>
            <w:r>
              <w:t>Totalt</w:t>
            </w:r>
          </w:p>
        </w:tc>
        <w:tc>
          <w:tcPr>
            <w:tcW w:w="673" w:type="dxa"/>
            <w:tcBorders>
              <w:top w:val="single" w:sz="4" w:space="0" w:color="auto"/>
              <w:left w:val="single" w:sz="4" w:space="0" w:color="auto"/>
              <w:right w:val="single" w:sz="4" w:space="0" w:color="auto"/>
            </w:tcBorders>
            <w:vAlign w:val="bottom"/>
          </w:tcPr>
          <w:p w14:paraId="379E3418" w14:textId="77777777" w:rsidR="00C8056A" w:rsidRDefault="00C8056A" w:rsidP="00131298">
            <w:pPr>
              <w:pStyle w:val="Tabelltext"/>
              <w:keepNext/>
              <w:jc w:val="right"/>
            </w:pPr>
            <w:r>
              <w:t>100</w:t>
            </w:r>
          </w:p>
        </w:tc>
        <w:tc>
          <w:tcPr>
            <w:tcW w:w="673" w:type="dxa"/>
            <w:tcBorders>
              <w:top w:val="single" w:sz="4" w:space="0" w:color="auto"/>
              <w:left w:val="single" w:sz="4" w:space="0" w:color="auto"/>
              <w:right w:val="single" w:sz="4" w:space="0" w:color="auto"/>
            </w:tcBorders>
            <w:vAlign w:val="bottom"/>
          </w:tcPr>
          <w:p w14:paraId="4B415F79" w14:textId="77777777" w:rsidR="00C8056A" w:rsidRDefault="00C8056A" w:rsidP="00131298">
            <w:pPr>
              <w:pStyle w:val="Tabelltext"/>
              <w:keepNext/>
              <w:jc w:val="right"/>
            </w:pPr>
            <w:r>
              <w:t>100</w:t>
            </w:r>
          </w:p>
        </w:tc>
        <w:tc>
          <w:tcPr>
            <w:tcW w:w="674" w:type="dxa"/>
            <w:tcBorders>
              <w:top w:val="single" w:sz="4" w:space="0" w:color="auto"/>
              <w:left w:val="single" w:sz="4" w:space="0" w:color="auto"/>
              <w:right w:val="single" w:sz="4" w:space="0" w:color="auto"/>
            </w:tcBorders>
            <w:vAlign w:val="bottom"/>
          </w:tcPr>
          <w:p w14:paraId="25F88E3C" w14:textId="77777777" w:rsidR="00C8056A" w:rsidRDefault="00C8056A" w:rsidP="00131298">
            <w:pPr>
              <w:pStyle w:val="Tabelltext"/>
              <w:keepNext/>
              <w:jc w:val="right"/>
            </w:pPr>
            <w:r>
              <w:t>100</w:t>
            </w:r>
          </w:p>
        </w:tc>
        <w:tc>
          <w:tcPr>
            <w:tcW w:w="673" w:type="dxa"/>
            <w:tcBorders>
              <w:top w:val="single" w:sz="4" w:space="0" w:color="auto"/>
              <w:left w:val="single" w:sz="4" w:space="0" w:color="auto"/>
              <w:right w:val="single" w:sz="4" w:space="0" w:color="auto"/>
            </w:tcBorders>
            <w:vAlign w:val="bottom"/>
          </w:tcPr>
          <w:p w14:paraId="4B754F24" w14:textId="77777777" w:rsidR="00C8056A" w:rsidRDefault="00C8056A" w:rsidP="00131298">
            <w:pPr>
              <w:pStyle w:val="Tabelltext"/>
              <w:keepNext/>
              <w:jc w:val="right"/>
            </w:pPr>
            <w:r>
              <w:t>100</w:t>
            </w:r>
          </w:p>
        </w:tc>
        <w:tc>
          <w:tcPr>
            <w:tcW w:w="673" w:type="dxa"/>
            <w:tcBorders>
              <w:top w:val="single" w:sz="4" w:space="0" w:color="auto"/>
              <w:left w:val="single" w:sz="4" w:space="0" w:color="auto"/>
              <w:right w:val="single" w:sz="4" w:space="0" w:color="auto"/>
            </w:tcBorders>
            <w:vAlign w:val="bottom"/>
          </w:tcPr>
          <w:p w14:paraId="6E69EC85" w14:textId="77777777" w:rsidR="00C8056A" w:rsidRDefault="00C8056A" w:rsidP="00131298">
            <w:pPr>
              <w:pStyle w:val="Tabelltext"/>
              <w:keepNext/>
              <w:jc w:val="right"/>
            </w:pPr>
            <w:r>
              <w:t>100</w:t>
            </w:r>
          </w:p>
        </w:tc>
        <w:tc>
          <w:tcPr>
            <w:tcW w:w="674" w:type="dxa"/>
            <w:tcBorders>
              <w:top w:val="single" w:sz="4" w:space="0" w:color="auto"/>
              <w:left w:val="single" w:sz="4" w:space="0" w:color="auto"/>
              <w:right w:val="single" w:sz="4" w:space="0" w:color="auto"/>
            </w:tcBorders>
            <w:vAlign w:val="bottom"/>
          </w:tcPr>
          <w:p w14:paraId="70A39F5A" w14:textId="77777777" w:rsidR="00C8056A" w:rsidRDefault="00C8056A" w:rsidP="00131298">
            <w:pPr>
              <w:pStyle w:val="Tabelltext"/>
              <w:keepNext/>
              <w:jc w:val="right"/>
            </w:pPr>
            <w:r>
              <w:t>100</w:t>
            </w:r>
          </w:p>
        </w:tc>
        <w:tc>
          <w:tcPr>
            <w:tcW w:w="673" w:type="dxa"/>
            <w:tcBorders>
              <w:top w:val="single" w:sz="4" w:space="0" w:color="auto"/>
              <w:left w:val="single" w:sz="4" w:space="0" w:color="auto"/>
              <w:right w:val="single" w:sz="4" w:space="0" w:color="auto"/>
            </w:tcBorders>
            <w:vAlign w:val="bottom"/>
          </w:tcPr>
          <w:p w14:paraId="3A5EA55B" w14:textId="56CF7FCE" w:rsidR="00C8056A" w:rsidRDefault="0087261C" w:rsidP="0087261C">
            <w:pPr>
              <w:pStyle w:val="Tabelltext"/>
              <w:keepNext/>
              <w:jc w:val="right"/>
            </w:pPr>
            <w:r>
              <w:t>100</w:t>
            </w:r>
          </w:p>
        </w:tc>
        <w:tc>
          <w:tcPr>
            <w:tcW w:w="674" w:type="dxa"/>
            <w:tcBorders>
              <w:top w:val="single" w:sz="4" w:space="0" w:color="auto"/>
              <w:left w:val="single" w:sz="4" w:space="0" w:color="auto"/>
              <w:right w:val="single" w:sz="4" w:space="0" w:color="auto"/>
            </w:tcBorders>
            <w:vAlign w:val="bottom"/>
          </w:tcPr>
          <w:p w14:paraId="45667746" w14:textId="67418D9C" w:rsidR="00C8056A" w:rsidRDefault="0087261C" w:rsidP="0087261C">
            <w:pPr>
              <w:pStyle w:val="Tabelltext"/>
              <w:keepNext/>
              <w:jc w:val="right"/>
            </w:pPr>
            <w:r>
              <w:t>100</w:t>
            </w:r>
          </w:p>
        </w:tc>
      </w:tr>
      <w:bookmarkEnd w:id="8"/>
    </w:tbl>
    <w:p w14:paraId="3E7EBE68" w14:textId="77777777" w:rsidR="00C8056A" w:rsidRDefault="00C8056A" w:rsidP="00C8056A">
      <w:pPr>
        <w:pStyle w:val="ANormal"/>
      </w:pPr>
    </w:p>
    <w:p w14:paraId="0109CB5C" w14:textId="6FCB3EBE" w:rsidR="00B53F8D" w:rsidRDefault="00B53F8D" w:rsidP="00B53F8D">
      <w:pPr>
        <w:pStyle w:val="ANormal"/>
      </w:pPr>
    </w:p>
    <w:p w14:paraId="6332F350" w14:textId="42312B17" w:rsidR="00B53F8D" w:rsidRDefault="00B53F8D" w:rsidP="00B53F8D">
      <w:pPr>
        <w:pStyle w:val="RubrikB"/>
      </w:pPr>
      <w:bookmarkStart w:id="9" w:name="_Toc34912539"/>
      <w:r>
        <w:t>3. Överväganden och landskapsregeringens förslag</w:t>
      </w:r>
      <w:bookmarkEnd w:id="9"/>
    </w:p>
    <w:p w14:paraId="734EE1AD" w14:textId="3434ADA6" w:rsidR="00B53F8D" w:rsidRDefault="00B53F8D" w:rsidP="00B53F8D">
      <w:pPr>
        <w:pStyle w:val="Rubrikmellanrum"/>
      </w:pPr>
    </w:p>
    <w:p w14:paraId="63F68043" w14:textId="151E0236" w:rsidR="00B53F8D" w:rsidRDefault="00B53F8D" w:rsidP="00B53F8D">
      <w:pPr>
        <w:pStyle w:val="RubrikC"/>
      </w:pPr>
      <w:bookmarkStart w:id="10" w:name="_Toc34912540"/>
      <w:r>
        <w:t xml:space="preserve">3.1. </w:t>
      </w:r>
      <w:r w:rsidR="00822131">
        <w:t>Lagstiftning om höjda avskrivningar</w:t>
      </w:r>
      <w:bookmarkEnd w:id="10"/>
    </w:p>
    <w:p w14:paraId="789CB0C8" w14:textId="2E36D59A" w:rsidR="00B53F8D" w:rsidRDefault="00B53F8D" w:rsidP="00B53F8D">
      <w:pPr>
        <w:pStyle w:val="Rubrikmellanrum"/>
      </w:pPr>
    </w:p>
    <w:p w14:paraId="6279116C" w14:textId="17DE7F2D" w:rsidR="008C6C64" w:rsidRDefault="004D27C7" w:rsidP="006D6214">
      <w:pPr>
        <w:pStyle w:val="ANormal"/>
      </w:pPr>
      <w:r>
        <w:t>Enligt den lag om höjda avskrivningar som införts i riket får en skattskyldig som bedriver näringsverksamhet eller jordbruk göra en avskrivning som är dubbelt så stor som den ordinarie avskrivningen på anskaffningsutgifterna för maskiner, inventarier och anläggningar som hör till lösa anläggningstillgångar och som tagits i bruk under kalenderåren 2020–2023. E</w:t>
      </w:r>
      <w:r w:rsidR="00F95A96">
        <w:t xml:space="preserve">n </w:t>
      </w:r>
      <w:r w:rsidR="008C6C64">
        <w:t xml:space="preserve">förutsättning för att få göra den höjda avskrivningen </w:t>
      </w:r>
      <w:r>
        <w:t xml:space="preserve">är </w:t>
      </w:r>
      <w:r w:rsidR="008C6C64">
        <w:t>att maskinen eller anläggningen är ny.</w:t>
      </w:r>
      <w:r w:rsidR="008C6C64" w:rsidRPr="008C6C64">
        <w:t xml:space="preserve"> </w:t>
      </w:r>
      <w:r w:rsidR="008C6C64">
        <w:t>Höjd avskrivning får således inte göras på anskaffningsutgifterna för nyttigheter som är begagnade. H</w:t>
      </w:r>
      <w:r w:rsidR="00CD0D2A">
        <w:t>öjd avskrivning</w:t>
      </w:r>
      <w:r w:rsidR="008C6C64">
        <w:t xml:space="preserve"> får</w:t>
      </w:r>
      <w:r w:rsidR="00CD0D2A">
        <w:t xml:space="preserve"> göras under högst fyra på varandra följande skatteår under den tid lagen är i kraft. </w:t>
      </w:r>
      <w:r w:rsidR="008C6C64">
        <w:t xml:space="preserve">På en maskin som tas i bruk 2020 får alltså den höjda avskrivningen göras 2020–2023, medan den på en anläggning som tas i bruk 2023 bara får göras 2023. En sådan maskin eller anläggning som de höjda avskrivningarna tillämpas på utgör ett separat avskrivningsobjekt. Lagen förutsätter också att </w:t>
      </w:r>
      <w:r w:rsidR="00F95A96">
        <w:t>den höjda avskrivningen dras av som kostnad i bokföringen för att få dras av i näringsbeskattningen. Samma krav finns inte när det gäller beskattningen av inkomst från jordbruk, eftersom inte alla jordbrukare är bokföringsskyldiga.</w:t>
      </w:r>
    </w:p>
    <w:p w14:paraId="4BDDEB82" w14:textId="34338AA3" w:rsidR="00F95A96" w:rsidRDefault="00F95A96" w:rsidP="00F95A96">
      <w:pPr>
        <w:pStyle w:val="ANormal"/>
      </w:pPr>
      <w:r>
        <w:lastRenderedPageBreak/>
        <w:tab/>
        <w:t xml:space="preserve">Lagen om höjda avskrivningar på maskiner, inventarier och andra därmed jämförbara lösa anläggningstillgångar skatteåren 2020–2023 är inte tillämplig vid kommunalbeskattningen på Åland. </w:t>
      </w:r>
      <w:r w:rsidR="00902DBF">
        <w:t>Men d</w:t>
      </w:r>
      <w:r>
        <w:t xml:space="preserve">en delade lagstiftningsbehörigheten på skatteområdet </w:t>
      </w:r>
      <w:r w:rsidR="00C22C30">
        <w:t xml:space="preserve">gör </w:t>
      </w:r>
      <w:r>
        <w:t>det</w:t>
      </w:r>
      <w:r w:rsidR="00902DBF">
        <w:t xml:space="preserve"> </w:t>
      </w:r>
      <w:r>
        <w:t xml:space="preserve">krångligt för åländska företag </w:t>
      </w:r>
      <w:r w:rsidR="00902DBF">
        <w:t xml:space="preserve">och </w:t>
      </w:r>
      <w:r>
        <w:t>näringsidkare att utnyttja rätten till höjda avskrivningar</w:t>
      </w:r>
      <w:r w:rsidR="00C22C30" w:rsidRPr="00C22C30">
        <w:t xml:space="preserve"> </w:t>
      </w:r>
      <w:r w:rsidR="00C22C30">
        <w:t>vid statsbeskattningen</w:t>
      </w:r>
      <w:r>
        <w:t>. Kravet på avskrivningarnas bokföringsbundenhet i näringsverksamheten skulle i praktiken innebära att en skattskyldig skulle vara tvungen att ha en bokföring som underlag för statsbeskattningen och en annan för kommunalbeskattningen.</w:t>
      </w:r>
    </w:p>
    <w:p w14:paraId="1FEC78BB" w14:textId="7F9B3321" w:rsidR="006D6214" w:rsidRDefault="006D6214" w:rsidP="006D6214">
      <w:pPr>
        <w:pStyle w:val="ANormal"/>
      </w:pPr>
      <w:r>
        <w:tab/>
        <w:t xml:space="preserve">När lagen om höjda avskrivningar </w:t>
      </w:r>
      <w:r w:rsidR="00944F2F">
        <w:t xml:space="preserve">på maskiner, inventarier och andra därmed jämförbara lösa anläggningstillgångar skatteåren 2020–2023 </w:t>
      </w:r>
      <w:r>
        <w:t xml:space="preserve">antogs </w:t>
      </w:r>
      <w:r w:rsidR="00131298">
        <w:t>av</w:t>
      </w:r>
      <w:r>
        <w:t xml:space="preserve"> rik</w:t>
      </w:r>
      <w:r w:rsidR="00131298">
        <w:t>sdagen</w:t>
      </w:r>
      <w:r>
        <w:t xml:space="preserve"> var det en åtgärd för att stödja tillväxten </w:t>
      </w:r>
      <w:r w:rsidR="00944F2F">
        <w:t xml:space="preserve">och sysselsättningen </w:t>
      </w:r>
      <w:r>
        <w:t>med skatteincitament</w:t>
      </w:r>
      <w:r w:rsidR="00944F2F">
        <w:t>.</w:t>
      </w:r>
      <w:r>
        <w:t xml:space="preserve"> Landskapsregeringen anser att åländska företag</w:t>
      </w:r>
      <w:r w:rsidR="00131298">
        <w:t>,</w:t>
      </w:r>
      <w:r w:rsidR="00944F2F">
        <w:t xml:space="preserve"> näringsidkare</w:t>
      </w:r>
      <w:r>
        <w:t xml:space="preserve"> </w:t>
      </w:r>
      <w:r w:rsidR="00131298">
        <w:t xml:space="preserve">och jordbrukare </w:t>
      </w:r>
      <w:r>
        <w:t>bör ha samma möjligheter att göra avskrivningar som företag</w:t>
      </w:r>
      <w:r w:rsidR="00003B49">
        <w:t>are</w:t>
      </w:r>
      <w:r>
        <w:t xml:space="preserve"> i riket. Samtidigt finns också behov av att stödja företag</w:t>
      </w:r>
      <w:r w:rsidR="00131298">
        <w:t>arna</w:t>
      </w:r>
      <w:r>
        <w:t xml:space="preserve"> och </w:t>
      </w:r>
      <w:r w:rsidR="00131298">
        <w:t xml:space="preserve">att öka </w:t>
      </w:r>
      <w:r>
        <w:t>tillväxten</w:t>
      </w:r>
      <w:r w:rsidR="00131298">
        <w:t xml:space="preserve"> </w:t>
      </w:r>
      <w:r w:rsidR="002C4E91">
        <w:t>på Åland</w:t>
      </w:r>
      <w:r>
        <w:t>. Landskapsregeringen föreslår därför att lag</w:t>
      </w:r>
      <w:r w:rsidR="00944F2F">
        <w:t>e</w:t>
      </w:r>
      <w:r>
        <w:t xml:space="preserve">n om </w:t>
      </w:r>
      <w:r w:rsidR="00944F2F">
        <w:t>höjda avskrivningar</w:t>
      </w:r>
      <w:r>
        <w:t xml:space="preserve"> under åren 20</w:t>
      </w:r>
      <w:r w:rsidR="00944F2F">
        <w:t>20</w:t>
      </w:r>
      <w:r>
        <w:t>–20</w:t>
      </w:r>
      <w:r w:rsidR="00944F2F">
        <w:t>23</w:t>
      </w:r>
      <w:r>
        <w:t xml:space="preserve"> görs tillämplig här genom blankettlagstiftning</w:t>
      </w:r>
      <w:r w:rsidR="00944F2F">
        <w:t xml:space="preserve"> </w:t>
      </w:r>
      <w:r>
        <w:t>under samma tidsperiod</w:t>
      </w:r>
      <w:r w:rsidR="00944F2F">
        <w:t xml:space="preserve"> som i riket.</w:t>
      </w:r>
    </w:p>
    <w:p w14:paraId="4FCB0D3D" w14:textId="361F754D" w:rsidR="004C431B" w:rsidRDefault="004C431B" w:rsidP="00117E0E">
      <w:pPr>
        <w:pStyle w:val="ANormal"/>
      </w:pPr>
      <w:r>
        <w:tab/>
        <w:t>Lagstiftning om</w:t>
      </w:r>
      <w:r w:rsidR="002C4E91">
        <w:t xml:space="preserve"> avdrag för</w:t>
      </w:r>
      <w:r>
        <w:t xml:space="preserve"> höjda avskrivningar är en typ av skattelättnad som skulle kunna strida mot EU:s regler om statligt stöd. I samband med införandet av tidigare lagstiftning </w:t>
      </w:r>
      <w:r w:rsidR="002C4E91">
        <w:t xml:space="preserve">i riket </w:t>
      </w:r>
      <w:r>
        <w:t xml:space="preserve">om höjda avskrivningar på produktiva investeringar gjordes därför en rättssäkerhetsanmälan om skattelättnaden till Europeiska kommissionen. Kommissionen ansåg då i sitt beslut att den anmälda åtgärden betraktades som allmän och att den därför inte var ett sådant statligt stöd som </w:t>
      </w:r>
      <w:r w:rsidR="004F5E38">
        <w:t>avsågs i EG-fördragets artikel 87.1</w:t>
      </w:r>
      <w:r>
        <w:t xml:space="preserve"> </w:t>
      </w:r>
      <w:r w:rsidR="004F5E38">
        <w:t xml:space="preserve">(artikel 107.1 i det nuvarande fördraget om Europeiska unionens funktionssätt). Eftersom den nu aktuella lagstiftningen är att betrakta som ännu mer allmän </w:t>
      </w:r>
      <w:r w:rsidR="002C4E91">
        <w:t>ansågs</w:t>
      </w:r>
      <w:r w:rsidR="004F5E38">
        <w:t xml:space="preserve"> det inte nödvändigt att göra någon anmälan om statligt stöd när den infördes i riket.</w:t>
      </w:r>
    </w:p>
    <w:p w14:paraId="4D4FAC90" w14:textId="049BEFED" w:rsidR="00B53F8D" w:rsidRDefault="00B53F8D" w:rsidP="00B53F8D">
      <w:pPr>
        <w:pStyle w:val="ANormal"/>
      </w:pPr>
    </w:p>
    <w:p w14:paraId="527952B0" w14:textId="4A43262A" w:rsidR="00B53F8D" w:rsidRDefault="00B53F8D" w:rsidP="00B53F8D">
      <w:pPr>
        <w:pStyle w:val="RubrikC"/>
      </w:pPr>
      <w:bookmarkStart w:id="11" w:name="_Toc34912541"/>
      <w:r>
        <w:t>3.</w:t>
      </w:r>
      <w:r w:rsidR="004C431B">
        <w:t>2</w:t>
      </w:r>
      <w:r>
        <w:t>. Kommunalskattesatsen för samfund och samfällda förmåner</w:t>
      </w:r>
      <w:bookmarkEnd w:id="11"/>
    </w:p>
    <w:p w14:paraId="57CFFFAF" w14:textId="6190BF8E" w:rsidR="00B53F8D" w:rsidRDefault="00B53F8D" w:rsidP="00B53F8D">
      <w:pPr>
        <w:pStyle w:val="Rubrikmellanrum"/>
      </w:pPr>
    </w:p>
    <w:p w14:paraId="206DA594" w14:textId="5E1C57D1" w:rsidR="00300A3E" w:rsidRDefault="00300A3E" w:rsidP="00300A3E">
      <w:pPr>
        <w:pStyle w:val="ANormal"/>
      </w:pPr>
      <w:r>
        <w:t>För att dämpa effekterna som den nya lagstiftningen om skattelättnader skulle ha på kommunernas samfundsskattein</w:t>
      </w:r>
      <w:r w:rsidR="00686DC6">
        <w:t>täk</w:t>
      </w:r>
      <w:r>
        <w:t>ter har man som tidigare nämndes</w:t>
      </w:r>
      <w:r w:rsidR="003B1EAE">
        <w:t xml:space="preserve"> </w:t>
      </w:r>
      <w:r>
        <w:t>ändrat fördelningen av samfundsskatten mellan skattetagarna</w:t>
      </w:r>
      <w:r w:rsidRPr="00300A3E">
        <w:t xml:space="preserve"> </w:t>
      </w:r>
      <w:r>
        <w:t xml:space="preserve">i riket. Eftersom </w:t>
      </w:r>
      <w:r w:rsidR="003B1EAE">
        <w:t>bestämmelserna om</w:t>
      </w:r>
      <w:r>
        <w:t xml:space="preserve"> staten</w:t>
      </w:r>
      <w:r w:rsidR="003B1EAE">
        <w:t>s andel</w:t>
      </w:r>
      <w:r>
        <w:t xml:space="preserve"> är direkt tillämpliga </w:t>
      </w:r>
      <w:r w:rsidR="00686DC6">
        <w:t xml:space="preserve">för åländska företag och samfälligheter </w:t>
      </w:r>
      <w:r>
        <w:t>betyder det att de totala skattesatserna för samfund och samfällda förmåner sänktes här den 1 januari 20</w:t>
      </w:r>
      <w:r w:rsidR="003B1EAE">
        <w:t>20</w:t>
      </w:r>
      <w:r>
        <w:t>. Om inga ändringar görs av de kommunala skattesatserna kommer de att sänkas ytterligare 20</w:t>
      </w:r>
      <w:r w:rsidR="007A6E9F">
        <w:t>21</w:t>
      </w:r>
      <w:r>
        <w:t xml:space="preserve"> för att sedan stiga något </w:t>
      </w:r>
      <w:r w:rsidR="007A6E9F">
        <w:t>2022 och 2023</w:t>
      </w:r>
      <w:r>
        <w:t xml:space="preserve"> </w:t>
      </w:r>
      <w:r w:rsidR="007A6E9F">
        <w:t>för att</w:t>
      </w:r>
      <w:r>
        <w:t xml:space="preserve"> från och med 20</w:t>
      </w:r>
      <w:r w:rsidR="007A6E9F">
        <w:t>24</w:t>
      </w:r>
      <w:r>
        <w:t xml:space="preserve"> </w:t>
      </w:r>
      <w:r w:rsidR="009C1469">
        <w:t>till och med 2027</w:t>
      </w:r>
      <w:r>
        <w:t xml:space="preserve"> ligga högre än i riket. Av följande tabeller framgår de totala skattesatserna</w:t>
      </w:r>
      <w:r w:rsidR="0033123C">
        <w:t xml:space="preserve"> (avrundade till två decimaler)</w:t>
      </w:r>
      <w:r>
        <w:t xml:space="preserve"> för </w:t>
      </w:r>
      <w:r w:rsidR="00686DC6">
        <w:t xml:space="preserve">åländska </w:t>
      </w:r>
      <w:r>
        <w:t>samfund respektive samfällda förmåner om ingen ändring av kommunalskattesatsen görs</w:t>
      </w:r>
      <w:r w:rsidR="0033123C">
        <w:t>.</w:t>
      </w:r>
    </w:p>
    <w:p w14:paraId="1ADD13CE" w14:textId="77777777" w:rsidR="007A6E9F" w:rsidRDefault="007A6E9F" w:rsidP="00300A3E">
      <w:pPr>
        <w:pStyle w:val="ANormal"/>
      </w:pPr>
    </w:p>
    <w:p w14:paraId="20844832" w14:textId="2D63218D" w:rsidR="007A6E9F" w:rsidRDefault="007A6E9F" w:rsidP="007A6E9F">
      <w:pPr>
        <w:pStyle w:val="RubrikD"/>
      </w:pPr>
      <w:r>
        <w:t>Total skattesats för samfund:</w:t>
      </w:r>
    </w:p>
    <w:p w14:paraId="71C2CF3A" w14:textId="77777777" w:rsidR="007A6E9F" w:rsidRPr="007A6E9F" w:rsidRDefault="007A6E9F" w:rsidP="007A6E9F">
      <w:pPr>
        <w:pStyle w:val="Rubrikmellanrum"/>
      </w:pPr>
    </w:p>
    <w:tbl>
      <w:tblPr>
        <w:tblStyle w:val="Tabellrutnt"/>
        <w:tblW w:w="6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673"/>
        <w:gridCol w:w="673"/>
        <w:gridCol w:w="674"/>
        <w:gridCol w:w="673"/>
        <w:gridCol w:w="673"/>
        <w:gridCol w:w="674"/>
        <w:gridCol w:w="673"/>
        <w:gridCol w:w="674"/>
      </w:tblGrid>
      <w:tr w:rsidR="007A6E9F" w:rsidRPr="000854C3" w14:paraId="0EF95AD4" w14:textId="77777777" w:rsidTr="006126D6">
        <w:trPr>
          <w:trHeight w:val="304"/>
        </w:trPr>
        <w:tc>
          <w:tcPr>
            <w:tcW w:w="1276" w:type="dxa"/>
            <w:tcBorders>
              <w:left w:val="single" w:sz="4" w:space="0" w:color="auto"/>
              <w:bottom w:val="single" w:sz="4" w:space="0" w:color="auto"/>
              <w:right w:val="single" w:sz="4" w:space="0" w:color="auto"/>
            </w:tcBorders>
            <w:vAlign w:val="bottom"/>
          </w:tcPr>
          <w:p w14:paraId="447F1B3A" w14:textId="74C1C32C" w:rsidR="007A6E9F" w:rsidRPr="007A6E9F" w:rsidRDefault="007A6E9F" w:rsidP="00131298">
            <w:pPr>
              <w:pStyle w:val="Tabelltext"/>
              <w:keepNext/>
              <w:rPr>
                <w:bCs/>
              </w:rPr>
            </w:pPr>
            <w:r w:rsidRPr="007A6E9F">
              <w:rPr>
                <w:bCs/>
              </w:rPr>
              <w:t>Skattesats (%)</w:t>
            </w:r>
          </w:p>
        </w:tc>
        <w:tc>
          <w:tcPr>
            <w:tcW w:w="673" w:type="dxa"/>
            <w:tcBorders>
              <w:left w:val="single" w:sz="4" w:space="0" w:color="auto"/>
              <w:bottom w:val="single" w:sz="4" w:space="0" w:color="auto"/>
              <w:right w:val="single" w:sz="4" w:space="0" w:color="auto"/>
            </w:tcBorders>
            <w:vAlign w:val="bottom"/>
          </w:tcPr>
          <w:p w14:paraId="5B4450EB" w14:textId="77777777" w:rsidR="007A6E9F" w:rsidRPr="000854C3" w:rsidRDefault="007A6E9F" w:rsidP="00131298">
            <w:pPr>
              <w:pStyle w:val="Tabelltext"/>
              <w:keepNext/>
              <w:jc w:val="center"/>
              <w:rPr>
                <w:b/>
              </w:rPr>
            </w:pPr>
            <w:r w:rsidRPr="000854C3">
              <w:rPr>
                <w:b/>
              </w:rPr>
              <w:t>20</w:t>
            </w:r>
            <w:r>
              <w:rPr>
                <w:b/>
              </w:rPr>
              <w:t>20</w:t>
            </w:r>
          </w:p>
        </w:tc>
        <w:tc>
          <w:tcPr>
            <w:tcW w:w="673" w:type="dxa"/>
            <w:tcBorders>
              <w:left w:val="single" w:sz="4" w:space="0" w:color="auto"/>
              <w:bottom w:val="single" w:sz="4" w:space="0" w:color="auto"/>
              <w:right w:val="single" w:sz="4" w:space="0" w:color="auto"/>
            </w:tcBorders>
            <w:vAlign w:val="bottom"/>
          </w:tcPr>
          <w:p w14:paraId="66E120D5" w14:textId="77777777" w:rsidR="007A6E9F" w:rsidRPr="000854C3" w:rsidRDefault="007A6E9F" w:rsidP="00131298">
            <w:pPr>
              <w:pStyle w:val="Tabelltext"/>
              <w:keepNext/>
              <w:jc w:val="center"/>
              <w:rPr>
                <w:b/>
              </w:rPr>
            </w:pPr>
            <w:r w:rsidRPr="000854C3">
              <w:rPr>
                <w:b/>
              </w:rPr>
              <w:t>20</w:t>
            </w:r>
            <w:r>
              <w:rPr>
                <w:b/>
              </w:rPr>
              <w:t>21</w:t>
            </w:r>
          </w:p>
        </w:tc>
        <w:tc>
          <w:tcPr>
            <w:tcW w:w="674" w:type="dxa"/>
            <w:tcBorders>
              <w:left w:val="single" w:sz="4" w:space="0" w:color="auto"/>
              <w:bottom w:val="single" w:sz="4" w:space="0" w:color="auto"/>
              <w:right w:val="single" w:sz="4" w:space="0" w:color="auto"/>
            </w:tcBorders>
            <w:vAlign w:val="bottom"/>
          </w:tcPr>
          <w:p w14:paraId="65B586EF" w14:textId="77777777" w:rsidR="007A6E9F" w:rsidRPr="000854C3" w:rsidRDefault="007A6E9F" w:rsidP="00131298">
            <w:pPr>
              <w:pStyle w:val="Tabelltext"/>
              <w:keepNext/>
              <w:jc w:val="center"/>
              <w:rPr>
                <w:b/>
              </w:rPr>
            </w:pPr>
            <w:r w:rsidRPr="000854C3">
              <w:rPr>
                <w:b/>
              </w:rPr>
              <w:t>20</w:t>
            </w:r>
            <w:r>
              <w:rPr>
                <w:b/>
              </w:rPr>
              <w:t>22</w:t>
            </w:r>
          </w:p>
        </w:tc>
        <w:tc>
          <w:tcPr>
            <w:tcW w:w="673" w:type="dxa"/>
            <w:tcBorders>
              <w:left w:val="single" w:sz="4" w:space="0" w:color="auto"/>
              <w:bottom w:val="single" w:sz="4" w:space="0" w:color="auto"/>
              <w:right w:val="single" w:sz="4" w:space="0" w:color="auto"/>
            </w:tcBorders>
            <w:vAlign w:val="bottom"/>
          </w:tcPr>
          <w:p w14:paraId="00066CD3" w14:textId="77777777" w:rsidR="007A6E9F" w:rsidRPr="000854C3" w:rsidRDefault="007A6E9F" w:rsidP="00131298">
            <w:pPr>
              <w:pStyle w:val="Tabelltext"/>
              <w:keepNext/>
              <w:jc w:val="center"/>
              <w:rPr>
                <w:b/>
              </w:rPr>
            </w:pPr>
            <w:r w:rsidRPr="000854C3">
              <w:rPr>
                <w:b/>
              </w:rPr>
              <w:t>20</w:t>
            </w:r>
            <w:r>
              <w:rPr>
                <w:b/>
              </w:rPr>
              <w:t>23</w:t>
            </w:r>
          </w:p>
        </w:tc>
        <w:tc>
          <w:tcPr>
            <w:tcW w:w="673" w:type="dxa"/>
            <w:tcBorders>
              <w:left w:val="single" w:sz="4" w:space="0" w:color="auto"/>
              <w:bottom w:val="single" w:sz="4" w:space="0" w:color="auto"/>
              <w:right w:val="single" w:sz="4" w:space="0" w:color="auto"/>
            </w:tcBorders>
            <w:vAlign w:val="bottom"/>
          </w:tcPr>
          <w:p w14:paraId="118980A5" w14:textId="77777777" w:rsidR="007A6E9F" w:rsidRPr="000854C3" w:rsidRDefault="007A6E9F" w:rsidP="00131298">
            <w:pPr>
              <w:pStyle w:val="Tabelltext"/>
              <w:keepNext/>
              <w:jc w:val="center"/>
              <w:rPr>
                <w:b/>
              </w:rPr>
            </w:pPr>
            <w:r w:rsidRPr="000854C3">
              <w:rPr>
                <w:b/>
              </w:rPr>
              <w:t>20</w:t>
            </w:r>
            <w:r>
              <w:rPr>
                <w:b/>
              </w:rPr>
              <w:t>24</w:t>
            </w:r>
          </w:p>
        </w:tc>
        <w:tc>
          <w:tcPr>
            <w:tcW w:w="674" w:type="dxa"/>
            <w:tcBorders>
              <w:left w:val="single" w:sz="4" w:space="0" w:color="auto"/>
              <w:bottom w:val="single" w:sz="4" w:space="0" w:color="auto"/>
              <w:right w:val="single" w:sz="4" w:space="0" w:color="auto"/>
            </w:tcBorders>
            <w:vAlign w:val="bottom"/>
          </w:tcPr>
          <w:p w14:paraId="6318F0F0" w14:textId="77777777" w:rsidR="007A6E9F" w:rsidRPr="000854C3" w:rsidRDefault="007A6E9F" w:rsidP="00131298">
            <w:pPr>
              <w:pStyle w:val="Tabelltext"/>
              <w:keepNext/>
              <w:jc w:val="center"/>
              <w:rPr>
                <w:b/>
              </w:rPr>
            </w:pPr>
            <w:r w:rsidRPr="000854C3">
              <w:rPr>
                <w:b/>
              </w:rPr>
              <w:t>20</w:t>
            </w:r>
            <w:r>
              <w:rPr>
                <w:b/>
              </w:rPr>
              <w:t>25</w:t>
            </w:r>
          </w:p>
        </w:tc>
        <w:tc>
          <w:tcPr>
            <w:tcW w:w="673" w:type="dxa"/>
            <w:tcBorders>
              <w:left w:val="single" w:sz="4" w:space="0" w:color="auto"/>
              <w:bottom w:val="single" w:sz="4" w:space="0" w:color="auto"/>
              <w:right w:val="single" w:sz="4" w:space="0" w:color="auto"/>
            </w:tcBorders>
            <w:vAlign w:val="bottom"/>
          </w:tcPr>
          <w:p w14:paraId="4EE01B1F" w14:textId="77777777" w:rsidR="007A6E9F" w:rsidRPr="000854C3" w:rsidRDefault="007A6E9F" w:rsidP="00131298">
            <w:pPr>
              <w:pStyle w:val="Tabelltext"/>
              <w:keepNext/>
              <w:jc w:val="right"/>
              <w:rPr>
                <w:b/>
              </w:rPr>
            </w:pPr>
            <w:r>
              <w:rPr>
                <w:b/>
              </w:rPr>
              <w:t>2026</w:t>
            </w:r>
          </w:p>
        </w:tc>
        <w:tc>
          <w:tcPr>
            <w:tcW w:w="674" w:type="dxa"/>
            <w:tcBorders>
              <w:left w:val="single" w:sz="4" w:space="0" w:color="auto"/>
              <w:bottom w:val="single" w:sz="4" w:space="0" w:color="auto"/>
              <w:right w:val="single" w:sz="4" w:space="0" w:color="auto"/>
            </w:tcBorders>
            <w:vAlign w:val="bottom"/>
          </w:tcPr>
          <w:p w14:paraId="067D462A" w14:textId="77777777" w:rsidR="007A6E9F" w:rsidRPr="000854C3" w:rsidRDefault="007A6E9F" w:rsidP="00131298">
            <w:pPr>
              <w:pStyle w:val="Tabelltext"/>
              <w:keepNext/>
              <w:jc w:val="right"/>
              <w:rPr>
                <w:b/>
              </w:rPr>
            </w:pPr>
            <w:r>
              <w:rPr>
                <w:b/>
              </w:rPr>
              <w:t>2027</w:t>
            </w:r>
          </w:p>
        </w:tc>
      </w:tr>
      <w:tr w:rsidR="007A6E9F" w14:paraId="24759FA0" w14:textId="77777777" w:rsidTr="006126D6">
        <w:trPr>
          <w:trHeight w:val="344"/>
        </w:trPr>
        <w:tc>
          <w:tcPr>
            <w:tcW w:w="1276" w:type="dxa"/>
            <w:tcBorders>
              <w:top w:val="single" w:sz="4" w:space="0" w:color="auto"/>
              <w:left w:val="single" w:sz="4" w:space="0" w:color="auto"/>
              <w:right w:val="single" w:sz="4" w:space="0" w:color="auto"/>
            </w:tcBorders>
            <w:vAlign w:val="bottom"/>
          </w:tcPr>
          <w:p w14:paraId="0F1E38E2" w14:textId="56F89050" w:rsidR="007A6E9F" w:rsidRDefault="007A6E9F" w:rsidP="007A6E9F">
            <w:pPr>
              <w:pStyle w:val="Tabelltext"/>
              <w:keepNext/>
            </w:pPr>
            <w:r>
              <w:t>I landskapet</w:t>
            </w:r>
          </w:p>
        </w:tc>
        <w:tc>
          <w:tcPr>
            <w:tcW w:w="673" w:type="dxa"/>
            <w:tcBorders>
              <w:top w:val="nil"/>
              <w:left w:val="nil"/>
              <w:right w:val="nil"/>
            </w:tcBorders>
            <w:shd w:val="clear" w:color="auto" w:fill="auto"/>
            <w:vAlign w:val="bottom"/>
          </w:tcPr>
          <w:p w14:paraId="1578DC9E" w14:textId="74C1AA7D" w:rsidR="007A6E9F" w:rsidRPr="007A6E9F" w:rsidRDefault="007A6E9F" w:rsidP="007A6E9F">
            <w:pPr>
              <w:pStyle w:val="Tabelltext"/>
              <w:keepNext/>
              <w:jc w:val="right"/>
              <w:rPr>
                <w:szCs w:val="18"/>
              </w:rPr>
            </w:pPr>
            <w:r w:rsidRPr="007A6E9F">
              <w:rPr>
                <w:rFonts w:ascii="Calibri" w:hAnsi="Calibri" w:cs="Calibri"/>
                <w:color w:val="000000"/>
                <w:szCs w:val="18"/>
              </w:rPr>
              <w:t>19,83</w:t>
            </w:r>
          </w:p>
        </w:tc>
        <w:tc>
          <w:tcPr>
            <w:tcW w:w="673" w:type="dxa"/>
            <w:tcBorders>
              <w:top w:val="nil"/>
              <w:left w:val="nil"/>
              <w:right w:val="nil"/>
            </w:tcBorders>
            <w:shd w:val="clear" w:color="auto" w:fill="auto"/>
            <w:vAlign w:val="bottom"/>
          </w:tcPr>
          <w:p w14:paraId="58B45ACF" w14:textId="2945730A" w:rsidR="007A6E9F" w:rsidRPr="007A6E9F" w:rsidRDefault="007A6E9F" w:rsidP="007A6E9F">
            <w:pPr>
              <w:pStyle w:val="Tabelltext"/>
              <w:keepNext/>
              <w:jc w:val="right"/>
              <w:rPr>
                <w:szCs w:val="18"/>
              </w:rPr>
            </w:pPr>
            <w:r w:rsidRPr="007A6E9F">
              <w:rPr>
                <w:rFonts w:ascii="Calibri" w:hAnsi="Calibri" w:cs="Calibri"/>
                <w:color w:val="000000"/>
                <w:szCs w:val="18"/>
              </w:rPr>
              <w:t>19,81</w:t>
            </w:r>
          </w:p>
        </w:tc>
        <w:tc>
          <w:tcPr>
            <w:tcW w:w="674" w:type="dxa"/>
            <w:tcBorders>
              <w:top w:val="nil"/>
              <w:left w:val="nil"/>
              <w:right w:val="nil"/>
            </w:tcBorders>
            <w:shd w:val="clear" w:color="auto" w:fill="auto"/>
            <w:vAlign w:val="bottom"/>
          </w:tcPr>
          <w:p w14:paraId="1A0CA6FF" w14:textId="0A8978AD" w:rsidR="007A6E9F" w:rsidRPr="007A6E9F" w:rsidRDefault="007A6E9F" w:rsidP="007A6E9F">
            <w:pPr>
              <w:pStyle w:val="Tabelltext"/>
              <w:keepNext/>
              <w:jc w:val="right"/>
              <w:rPr>
                <w:szCs w:val="18"/>
              </w:rPr>
            </w:pPr>
            <w:r w:rsidRPr="007A6E9F">
              <w:rPr>
                <w:rFonts w:ascii="Calibri" w:hAnsi="Calibri" w:cs="Calibri"/>
                <w:color w:val="000000"/>
                <w:szCs w:val="18"/>
              </w:rPr>
              <w:t>19,82</w:t>
            </w:r>
          </w:p>
        </w:tc>
        <w:tc>
          <w:tcPr>
            <w:tcW w:w="673" w:type="dxa"/>
            <w:tcBorders>
              <w:top w:val="nil"/>
              <w:left w:val="nil"/>
              <w:right w:val="nil"/>
            </w:tcBorders>
            <w:shd w:val="clear" w:color="auto" w:fill="auto"/>
            <w:vAlign w:val="bottom"/>
          </w:tcPr>
          <w:p w14:paraId="726F3869" w14:textId="006E2E0F" w:rsidR="007A6E9F" w:rsidRPr="007A6E9F" w:rsidRDefault="007A6E9F" w:rsidP="007A6E9F">
            <w:pPr>
              <w:pStyle w:val="Tabelltext"/>
              <w:keepNext/>
              <w:jc w:val="right"/>
              <w:rPr>
                <w:szCs w:val="18"/>
              </w:rPr>
            </w:pPr>
            <w:r w:rsidRPr="007A6E9F">
              <w:rPr>
                <w:rFonts w:ascii="Calibri" w:hAnsi="Calibri" w:cs="Calibri"/>
                <w:color w:val="000000"/>
                <w:szCs w:val="18"/>
              </w:rPr>
              <w:t>19,85</w:t>
            </w:r>
          </w:p>
        </w:tc>
        <w:tc>
          <w:tcPr>
            <w:tcW w:w="673" w:type="dxa"/>
            <w:tcBorders>
              <w:top w:val="nil"/>
              <w:left w:val="nil"/>
              <w:right w:val="nil"/>
            </w:tcBorders>
            <w:shd w:val="clear" w:color="auto" w:fill="auto"/>
            <w:vAlign w:val="bottom"/>
          </w:tcPr>
          <w:p w14:paraId="2FD401B1" w14:textId="293BAFAD" w:rsidR="007A6E9F" w:rsidRPr="007A6E9F" w:rsidRDefault="007A6E9F" w:rsidP="007A6E9F">
            <w:pPr>
              <w:pStyle w:val="Tabelltext"/>
              <w:keepNext/>
              <w:jc w:val="right"/>
              <w:rPr>
                <w:szCs w:val="18"/>
              </w:rPr>
            </w:pPr>
            <w:r w:rsidRPr="007A6E9F">
              <w:rPr>
                <w:rFonts w:ascii="Calibri" w:hAnsi="Calibri" w:cs="Calibri"/>
                <w:color w:val="000000"/>
                <w:szCs w:val="18"/>
              </w:rPr>
              <w:t>20,15</w:t>
            </w:r>
          </w:p>
        </w:tc>
        <w:tc>
          <w:tcPr>
            <w:tcW w:w="674" w:type="dxa"/>
            <w:tcBorders>
              <w:top w:val="nil"/>
              <w:left w:val="nil"/>
              <w:right w:val="nil"/>
            </w:tcBorders>
            <w:shd w:val="clear" w:color="auto" w:fill="auto"/>
            <w:vAlign w:val="bottom"/>
          </w:tcPr>
          <w:p w14:paraId="7351AC5A" w14:textId="3845127B" w:rsidR="007A6E9F" w:rsidRPr="007A6E9F" w:rsidRDefault="007A6E9F" w:rsidP="007A6E9F">
            <w:pPr>
              <w:pStyle w:val="Tabelltext"/>
              <w:keepNext/>
              <w:jc w:val="right"/>
              <w:rPr>
                <w:szCs w:val="18"/>
              </w:rPr>
            </w:pPr>
            <w:r w:rsidRPr="007A6E9F">
              <w:rPr>
                <w:rFonts w:ascii="Calibri" w:hAnsi="Calibri" w:cs="Calibri"/>
                <w:color w:val="000000"/>
                <w:szCs w:val="18"/>
              </w:rPr>
              <w:t>20,12</w:t>
            </w:r>
          </w:p>
        </w:tc>
        <w:tc>
          <w:tcPr>
            <w:tcW w:w="673" w:type="dxa"/>
            <w:tcBorders>
              <w:top w:val="nil"/>
              <w:left w:val="nil"/>
              <w:right w:val="nil"/>
            </w:tcBorders>
            <w:shd w:val="clear" w:color="auto" w:fill="auto"/>
            <w:vAlign w:val="bottom"/>
          </w:tcPr>
          <w:p w14:paraId="1F4DFCB9" w14:textId="32A24826" w:rsidR="007A6E9F" w:rsidRPr="007A6E9F" w:rsidRDefault="007A6E9F" w:rsidP="007A6E9F">
            <w:pPr>
              <w:pStyle w:val="Tabelltext"/>
              <w:keepNext/>
              <w:jc w:val="right"/>
              <w:rPr>
                <w:szCs w:val="18"/>
              </w:rPr>
            </w:pPr>
            <w:r w:rsidRPr="007A6E9F">
              <w:rPr>
                <w:rFonts w:ascii="Calibri" w:hAnsi="Calibri" w:cs="Calibri"/>
                <w:color w:val="000000"/>
                <w:szCs w:val="18"/>
              </w:rPr>
              <w:t>20,09</w:t>
            </w:r>
          </w:p>
        </w:tc>
        <w:tc>
          <w:tcPr>
            <w:tcW w:w="674" w:type="dxa"/>
            <w:tcBorders>
              <w:top w:val="single" w:sz="4" w:space="0" w:color="auto"/>
              <w:left w:val="nil"/>
              <w:right w:val="single" w:sz="4" w:space="0" w:color="auto"/>
            </w:tcBorders>
            <w:shd w:val="clear" w:color="auto" w:fill="auto"/>
            <w:vAlign w:val="bottom"/>
          </w:tcPr>
          <w:p w14:paraId="0DE4FAC9" w14:textId="78AC62E8" w:rsidR="007A6E9F" w:rsidRPr="007A6E9F" w:rsidRDefault="007A6E9F" w:rsidP="007A6E9F">
            <w:pPr>
              <w:pStyle w:val="Tabelltext"/>
              <w:keepNext/>
              <w:jc w:val="right"/>
              <w:rPr>
                <w:szCs w:val="18"/>
              </w:rPr>
            </w:pPr>
            <w:r w:rsidRPr="007A6E9F">
              <w:rPr>
                <w:rFonts w:ascii="Calibri" w:hAnsi="Calibri" w:cs="Calibri"/>
                <w:color w:val="000000"/>
                <w:szCs w:val="18"/>
              </w:rPr>
              <w:t>20,07</w:t>
            </w:r>
          </w:p>
        </w:tc>
      </w:tr>
      <w:tr w:rsidR="007A6E9F" w14:paraId="7C66B686" w14:textId="77777777" w:rsidTr="006126D6">
        <w:trPr>
          <w:trHeight w:val="344"/>
        </w:trPr>
        <w:tc>
          <w:tcPr>
            <w:tcW w:w="1276" w:type="dxa"/>
            <w:tcBorders>
              <w:left w:val="single" w:sz="4" w:space="0" w:color="auto"/>
              <w:right w:val="single" w:sz="4" w:space="0" w:color="auto"/>
            </w:tcBorders>
            <w:vAlign w:val="bottom"/>
          </w:tcPr>
          <w:p w14:paraId="4F799637" w14:textId="41D68ED1" w:rsidR="007A6E9F" w:rsidRDefault="007A6E9F" w:rsidP="007A6E9F">
            <w:pPr>
              <w:pStyle w:val="Tabelltext"/>
              <w:keepNext/>
            </w:pPr>
            <w:r>
              <w:t>I riket</w:t>
            </w:r>
          </w:p>
        </w:tc>
        <w:tc>
          <w:tcPr>
            <w:tcW w:w="673" w:type="dxa"/>
            <w:tcBorders>
              <w:top w:val="nil"/>
              <w:left w:val="nil"/>
              <w:bottom w:val="single" w:sz="4" w:space="0" w:color="auto"/>
              <w:right w:val="nil"/>
            </w:tcBorders>
            <w:shd w:val="clear" w:color="auto" w:fill="auto"/>
            <w:vAlign w:val="bottom"/>
          </w:tcPr>
          <w:p w14:paraId="068494B3" w14:textId="2DCBD8EF" w:rsidR="007A6E9F" w:rsidRPr="007A6E9F" w:rsidRDefault="007A6E9F" w:rsidP="007A6E9F">
            <w:pPr>
              <w:pStyle w:val="Tabelltext"/>
              <w:keepNext/>
              <w:jc w:val="right"/>
              <w:rPr>
                <w:szCs w:val="18"/>
              </w:rPr>
            </w:pPr>
            <w:r w:rsidRPr="007A6E9F">
              <w:rPr>
                <w:rFonts w:ascii="Calibri" w:hAnsi="Calibri" w:cs="Calibri"/>
                <w:color w:val="000000"/>
                <w:szCs w:val="18"/>
              </w:rPr>
              <w:t>20</w:t>
            </w:r>
          </w:p>
        </w:tc>
        <w:tc>
          <w:tcPr>
            <w:tcW w:w="673" w:type="dxa"/>
            <w:tcBorders>
              <w:top w:val="nil"/>
              <w:left w:val="nil"/>
              <w:bottom w:val="single" w:sz="4" w:space="0" w:color="auto"/>
              <w:right w:val="nil"/>
            </w:tcBorders>
            <w:shd w:val="clear" w:color="auto" w:fill="auto"/>
            <w:vAlign w:val="bottom"/>
          </w:tcPr>
          <w:p w14:paraId="27494CE7" w14:textId="644B09E7" w:rsidR="007A6E9F" w:rsidRPr="007A6E9F" w:rsidRDefault="007A6E9F" w:rsidP="007A6E9F">
            <w:pPr>
              <w:pStyle w:val="Tabelltext"/>
              <w:keepNext/>
              <w:jc w:val="right"/>
              <w:rPr>
                <w:szCs w:val="18"/>
              </w:rPr>
            </w:pPr>
            <w:r w:rsidRPr="007A6E9F">
              <w:rPr>
                <w:rFonts w:ascii="Calibri" w:hAnsi="Calibri" w:cs="Calibri"/>
                <w:color w:val="000000"/>
                <w:szCs w:val="18"/>
              </w:rPr>
              <w:t>20</w:t>
            </w:r>
          </w:p>
        </w:tc>
        <w:tc>
          <w:tcPr>
            <w:tcW w:w="674" w:type="dxa"/>
            <w:tcBorders>
              <w:top w:val="nil"/>
              <w:left w:val="nil"/>
              <w:bottom w:val="single" w:sz="4" w:space="0" w:color="auto"/>
              <w:right w:val="nil"/>
            </w:tcBorders>
            <w:shd w:val="clear" w:color="auto" w:fill="auto"/>
            <w:vAlign w:val="bottom"/>
          </w:tcPr>
          <w:p w14:paraId="42180466" w14:textId="30D872F9" w:rsidR="007A6E9F" w:rsidRPr="007A6E9F" w:rsidRDefault="007A6E9F" w:rsidP="007A6E9F">
            <w:pPr>
              <w:pStyle w:val="Tabelltext"/>
              <w:keepNext/>
              <w:jc w:val="right"/>
              <w:rPr>
                <w:szCs w:val="18"/>
              </w:rPr>
            </w:pPr>
            <w:r w:rsidRPr="007A6E9F">
              <w:rPr>
                <w:rFonts w:ascii="Calibri" w:hAnsi="Calibri" w:cs="Calibri"/>
                <w:color w:val="000000"/>
                <w:szCs w:val="18"/>
              </w:rPr>
              <w:t>20</w:t>
            </w:r>
          </w:p>
        </w:tc>
        <w:tc>
          <w:tcPr>
            <w:tcW w:w="673" w:type="dxa"/>
            <w:tcBorders>
              <w:top w:val="nil"/>
              <w:left w:val="nil"/>
              <w:bottom w:val="single" w:sz="4" w:space="0" w:color="auto"/>
              <w:right w:val="nil"/>
            </w:tcBorders>
            <w:shd w:val="clear" w:color="auto" w:fill="auto"/>
            <w:vAlign w:val="bottom"/>
          </w:tcPr>
          <w:p w14:paraId="2E6D85A9" w14:textId="00C7FA54" w:rsidR="007A6E9F" w:rsidRPr="007A6E9F" w:rsidRDefault="007A6E9F" w:rsidP="007A6E9F">
            <w:pPr>
              <w:pStyle w:val="Tabelltext"/>
              <w:keepNext/>
              <w:jc w:val="right"/>
              <w:rPr>
                <w:szCs w:val="18"/>
              </w:rPr>
            </w:pPr>
            <w:r w:rsidRPr="007A6E9F">
              <w:rPr>
                <w:rFonts w:ascii="Calibri" w:hAnsi="Calibri" w:cs="Calibri"/>
                <w:color w:val="000000"/>
                <w:szCs w:val="18"/>
              </w:rPr>
              <w:t>20</w:t>
            </w:r>
          </w:p>
        </w:tc>
        <w:tc>
          <w:tcPr>
            <w:tcW w:w="673" w:type="dxa"/>
            <w:tcBorders>
              <w:top w:val="nil"/>
              <w:left w:val="nil"/>
              <w:bottom w:val="single" w:sz="4" w:space="0" w:color="auto"/>
              <w:right w:val="nil"/>
            </w:tcBorders>
            <w:shd w:val="clear" w:color="auto" w:fill="auto"/>
            <w:vAlign w:val="bottom"/>
          </w:tcPr>
          <w:p w14:paraId="3AAD7E9C" w14:textId="26F32CA8" w:rsidR="007A6E9F" w:rsidRPr="007A6E9F" w:rsidRDefault="007A6E9F" w:rsidP="007A6E9F">
            <w:pPr>
              <w:pStyle w:val="Tabelltext"/>
              <w:keepNext/>
              <w:jc w:val="right"/>
              <w:rPr>
                <w:szCs w:val="18"/>
              </w:rPr>
            </w:pPr>
            <w:r w:rsidRPr="007A6E9F">
              <w:rPr>
                <w:rFonts w:ascii="Calibri" w:hAnsi="Calibri" w:cs="Calibri"/>
                <w:color w:val="000000"/>
                <w:szCs w:val="18"/>
              </w:rPr>
              <w:t>20</w:t>
            </w:r>
          </w:p>
        </w:tc>
        <w:tc>
          <w:tcPr>
            <w:tcW w:w="674" w:type="dxa"/>
            <w:tcBorders>
              <w:top w:val="nil"/>
              <w:left w:val="nil"/>
              <w:bottom w:val="single" w:sz="4" w:space="0" w:color="auto"/>
              <w:right w:val="nil"/>
            </w:tcBorders>
            <w:shd w:val="clear" w:color="auto" w:fill="auto"/>
            <w:vAlign w:val="bottom"/>
          </w:tcPr>
          <w:p w14:paraId="2CDEF4D3" w14:textId="7BBF59C3" w:rsidR="007A6E9F" w:rsidRPr="007A6E9F" w:rsidRDefault="007A6E9F" w:rsidP="007A6E9F">
            <w:pPr>
              <w:pStyle w:val="Tabelltext"/>
              <w:keepNext/>
              <w:jc w:val="right"/>
              <w:rPr>
                <w:szCs w:val="18"/>
              </w:rPr>
            </w:pPr>
            <w:r w:rsidRPr="007A6E9F">
              <w:rPr>
                <w:rFonts w:ascii="Calibri" w:hAnsi="Calibri" w:cs="Calibri"/>
                <w:color w:val="000000"/>
                <w:szCs w:val="18"/>
              </w:rPr>
              <w:t>20</w:t>
            </w:r>
          </w:p>
        </w:tc>
        <w:tc>
          <w:tcPr>
            <w:tcW w:w="673" w:type="dxa"/>
            <w:tcBorders>
              <w:top w:val="nil"/>
              <w:left w:val="nil"/>
              <w:bottom w:val="single" w:sz="4" w:space="0" w:color="auto"/>
              <w:right w:val="nil"/>
            </w:tcBorders>
            <w:shd w:val="clear" w:color="auto" w:fill="auto"/>
            <w:vAlign w:val="bottom"/>
          </w:tcPr>
          <w:p w14:paraId="00630771" w14:textId="1CD6F999" w:rsidR="007A6E9F" w:rsidRPr="007A6E9F" w:rsidRDefault="007A6E9F" w:rsidP="007A6E9F">
            <w:pPr>
              <w:pStyle w:val="Tabelltext"/>
              <w:keepNext/>
              <w:jc w:val="right"/>
              <w:rPr>
                <w:szCs w:val="18"/>
              </w:rPr>
            </w:pPr>
            <w:r w:rsidRPr="007A6E9F">
              <w:rPr>
                <w:rFonts w:ascii="Calibri" w:hAnsi="Calibri" w:cs="Calibri"/>
                <w:color w:val="000000"/>
                <w:szCs w:val="18"/>
              </w:rPr>
              <w:t>20</w:t>
            </w:r>
          </w:p>
        </w:tc>
        <w:tc>
          <w:tcPr>
            <w:tcW w:w="674" w:type="dxa"/>
            <w:tcBorders>
              <w:top w:val="nil"/>
              <w:left w:val="nil"/>
              <w:bottom w:val="single" w:sz="4" w:space="0" w:color="auto"/>
              <w:right w:val="single" w:sz="4" w:space="0" w:color="auto"/>
            </w:tcBorders>
            <w:shd w:val="clear" w:color="auto" w:fill="auto"/>
            <w:vAlign w:val="bottom"/>
          </w:tcPr>
          <w:p w14:paraId="722123C8" w14:textId="3C93BF9A" w:rsidR="007A6E9F" w:rsidRPr="007A6E9F" w:rsidRDefault="007A6E9F" w:rsidP="007A6E9F">
            <w:pPr>
              <w:pStyle w:val="Tabelltext"/>
              <w:keepNext/>
              <w:jc w:val="right"/>
              <w:rPr>
                <w:szCs w:val="18"/>
              </w:rPr>
            </w:pPr>
            <w:r w:rsidRPr="007A6E9F">
              <w:rPr>
                <w:rFonts w:ascii="Calibri" w:hAnsi="Calibri" w:cs="Calibri"/>
                <w:color w:val="000000"/>
                <w:szCs w:val="18"/>
              </w:rPr>
              <w:t>20</w:t>
            </w:r>
          </w:p>
        </w:tc>
      </w:tr>
      <w:tr w:rsidR="007A6E9F" w14:paraId="2BABC2E6" w14:textId="77777777" w:rsidTr="006126D6">
        <w:trPr>
          <w:trHeight w:val="537"/>
        </w:trPr>
        <w:tc>
          <w:tcPr>
            <w:tcW w:w="1276" w:type="dxa"/>
            <w:tcBorders>
              <w:top w:val="single" w:sz="4" w:space="0" w:color="auto"/>
              <w:left w:val="single" w:sz="4" w:space="0" w:color="auto"/>
              <w:right w:val="single" w:sz="4" w:space="0" w:color="auto"/>
            </w:tcBorders>
            <w:vAlign w:val="bottom"/>
          </w:tcPr>
          <w:p w14:paraId="0B753F79" w14:textId="7EA79088" w:rsidR="007A6E9F" w:rsidRDefault="007A6E9F" w:rsidP="007A6E9F">
            <w:pPr>
              <w:pStyle w:val="Tabelltext"/>
              <w:keepNext/>
            </w:pPr>
            <w:r>
              <w:t>Skillnad (%-enheter)</w:t>
            </w:r>
          </w:p>
        </w:tc>
        <w:tc>
          <w:tcPr>
            <w:tcW w:w="673" w:type="dxa"/>
            <w:tcBorders>
              <w:top w:val="single" w:sz="4" w:space="0" w:color="auto"/>
              <w:left w:val="nil"/>
              <w:bottom w:val="nil"/>
              <w:right w:val="nil"/>
            </w:tcBorders>
            <w:shd w:val="clear" w:color="auto" w:fill="auto"/>
            <w:vAlign w:val="bottom"/>
          </w:tcPr>
          <w:p w14:paraId="2C10C420" w14:textId="16FB51F9" w:rsidR="007A6E9F" w:rsidRPr="007A6E9F" w:rsidRDefault="007A6E9F" w:rsidP="007A6E9F">
            <w:pPr>
              <w:pStyle w:val="Tabelltext"/>
              <w:keepNext/>
              <w:jc w:val="right"/>
              <w:rPr>
                <w:szCs w:val="18"/>
              </w:rPr>
            </w:pPr>
            <w:r w:rsidRPr="007A6E9F">
              <w:rPr>
                <w:rFonts w:ascii="Calibri" w:hAnsi="Calibri" w:cs="Calibri"/>
                <w:color w:val="000000"/>
                <w:szCs w:val="18"/>
              </w:rPr>
              <w:t>-0,17</w:t>
            </w:r>
          </w:p>
        </w:tc>
        <w:tc>
          <w:tcPr>
            <w:tcW w:w="673" w:type="dxa"/>
            <w:tcBorders>
              <w:top w:val="single" w:sz="4" w:space="0" w:color="auto"/>
              <w:left w:val="nil"/>
              <w:bottom w:val="nil"/>
              <w:right w:val="nil"/>
            </w:tcBorders>
            <w:shd w:val="clear" w:color="auto" w:fill="auto"/>
            <w:vAlign w:val="bottom"/>
          </w:tcPr>
          <w:p w14:paraId="1A40B7D3" w14:textId="71D8855C" w:rsidR="007A6E9F" w:rsidRPr="007A6E9F" w:rsidRDefault="007A6E9F" w:rsidP="007A6E9F">
            <w:pPr>
              <w:pStyle w:val="Tabelltext"/>
              <w:keepNext/>
              <w:jc w:val="right"/>
              <w:rPr>
                <w:szCs w:val="18"/>
              </w:rPr>
            </w:pPr>
            <w:r w:rsidRPr="007A6E9F">
              <w:rPr>
                <w:rFonts w:ascii="Calibri" w:hAnsi="Calibri" w:cs="Calibri"/>
                <w:color w:val="000000"/>
                <w:szCs w:val="18"/>
              </w:rPr>
              <w:t>-0,19</w:t>
            </w:r>
          </w:p>
        </w:tc>
        <w:tc>
          <w:tcPr>
            <w:tcW w:w="674" w:type="dxa"/>
            <w:tcBorders>
              <w:top w:val="single" w:sz="4" w:space="0" w:color="auto"/>
              <w:left w:val="nil"/>
              <w:bottom w:val="nil"/>
              <w:right w:val="nil"/>
            </w:tcBorders>
            <w:shd w:val="clear" w:color="auto" w:fill="auto"/>
            <w:vAlign w:val="bottom"/>
          </w:tcPr>
          <w:p w14:paraId="3FD8D5F8" w14:textId="63047F2E" w:rsidR="007A6E9F" w:rsidRPr="007A6E9F" w:rsidRDefault="007A6E9F" w:rsidP="007A6E9F">
            <w:pPr>
              <w:pStyle w:val="Tabelltext"/>
              <w:keepNext/>
              <w:jc w:val="right"/>
              <w:rPr>
                <w:szCs w:val="18"/>
              </w:rPr>
            </w:pPr>
            <w:r w:rsidRPr="007A6E9F">
              <w:rPr>
                <w:rFonts w:ascii="Calibri" w:hAnsi="Calibri" w:cs="Calibri"/>
                <w:color w:val="000000"/>
                <w:szCs w:val="18"/>
              </w:rPr>
              <w:t>-0,18</w:t>
            </w:r>
          </w:p>
        </w:tc>
        <w:tc>
          <w:tcPr>
            <w:tcW w:w="673" w:type="dxa"/>
            <w:tcBorders>
              <w:top w:val="single" w:sz="4" w:space="0" w:color="auto"/>
              <w:left w:val="nil"/>
              <w:bottom w:val="nil"/>
              <w:right w:val="nil"/>
            </w:tcBorders>
            <w:shd w:val="clear" w:color="auto" w:fill="auto"/>
            <w:vAlign w:val="bottom"/>
          </w:tcPr>
          <w:p w14:paraId="7C956D65" w14:textId="36501065" w:rsidR="007A6E9F" w:rsidRPr="007A6E9F" w:rsidRDefault="007A6E9F" w:rsidP="007A6E9F">
            <w:pPr>
              <w:pStyle w:val="Tabelltext"/>
              <w:keepNext/>
              <w:jc w:val="right"/>
              <w:rPr>
                <w:szCs w:val="18"/>
              </w:rPr>
            </w:pPr>
            <w:r w:rsidRPr="007A6E9F">
              <w:rPr>
                <w:rFonts w:ascii="Calibri" w:hAnsi="Calibri" w:cs="Calibri"/>
                <w:color w:val="000000"/>
                <w:szCs w:val="18"/>
              </w:rPr>
              <w:t>-0,15</w:t>
            </w:r>
          </w:p>
        </w:tc>
        <w:tc>
          <w:tcPr>
            <w:tcW w:w="673" w:type="dxa"/>
            <w:tcBorders>
              <w:top w:val="single" w:sz="4" w:space="0" w:color="auto"/>
              <w:left w:val="nil"/>
              <w:bottom w:val="nil"/>
              <w:right w:val="nil"/>
            </w:tcBorders>
            <w:shd w:val="clear" w:color="auto" w:fill="auto"/>
            <w:vAlign w:val="bottom"/>
          </w:tcPr>
          <w:p w14:paraId="0B92C7E3" w14:textId="4DC79EE9" w:rsidR="007A6E9F" w:rsidRPr="007A6E9F" w:rsidRDefault="007A6E9F" w:rsidP="007A6E9F">
            <w:pPr>
              <w:pStyle w:val="Tabelltext"/>
              <w:keepNext/>
              <w:jc w:val="right"/>
              <w:rPr>
                <w:szCs w:val="18"/>
              </w:rPr>
            </w:pPr>
            <w:r w:rsidRPr="007A6E9F">
              <w:rPr>
                <w:rFonts w:ascii="Calibri" w:hAnsi="Calibri" w:cs="Calibri"/>
                <w:color w:val="000000"/>
                <w:szCs w:val="18"/>
              </w:rPr>
              <w:t>0,15</w:t>
            </w:r>
          </w:p>
        </w:tc>
        <w:tc>
          <w:tcPr>
            <w:tcW w:w="674" w:type="dxa"/>
            <w:tcBorders>
              <w:top w:val="single" w:sz="4" w:space="0" w:color="auto"/>
              <w:left w:val="nil"/>
              <w:bottom w:val="nil"/>
              <w:right w:val="nil"/>
            </w:tcBorders>
            <w:shd w:val="clear" w:color="auto" w:fill="auto"/>
            <w:vAlign w:val="bottom"/>
          </w:tcPr>
          <w:p w14:paraId="190AFD40" w14:textId="692BA39A" w:rsidR="007A6E9F" w:rsidRPr="007A6E9F" w:rsidRDefault="007A6E9F" w:rsidP="007A6E9F">
            <w:pPr>
              <w:pStyle w:val="Tabelltext"/>
              <w:keepNext/>
              <w:jc w:val="right"/>
              <w:rPr>
                <w:szCs w:val="18"/>
              </w:rPr>
            </w:pPr>
            <w:r w:rsidRPr="007A6E9F">
              <w:rPr>
                <w:rFonts w:ascii="Calibri" w:hAnsi="Calibri" w:cs="Calibri"/>
                <w:color w:val="000000"/>
                <w:szCs w:val="18"/>
              </w:rPr>
              <w:t>0,12</w:t>
            </w:r>
          </w:p>
        </w:tc>
        <w:tc>
          <w:tcPr>
            <w:tcW w:w="673" w:type="dxa"/>
            <w:tcBorders>
              <w:top w:val="single" w:sz="4" w:space="0" w:color="auto"/>
              <w:left w:val="nil"/>
              <w:bottom w:val="nil"/>
              <w:right w:val="nil"/>
            </w:tcBorders>
            <w:shd w:val="clear" w:color="auto" w:fill="auto"/>
            <w:vAlign w:val="bottom"/>
          </w:tcPr>
          <w:p w14:paraId="55A2330D" w14:textId="34EBBA16" w:rsidR="007A6E9F" w:rsidRPr="007A6E9F" w:rsidRDefault="007A6E9F" w:rsidP="007A6E9F">
            <w:pPr>
              <w:pStyle w:val="Tabelltext"/>
              <w:keepNext/>
              <w:jc w:val="right"/>
              <w:rPr>
                <w:szCs w:val="18"/>
              </w:rPr>
            </w:pPr>
            <w:r w:rsidRPr="007A6E9F">
              <w:rPr>
                <w:rFonts w:ascii="Calibri" w:hAnsi="Calibri" w:cs="Calibri"/>
                <w:color w:val="000000"/>
                <w:szCs w:val="18"/>
              </w:rPr>
              <w:t>0,09</w:t>
            </w:r>
          </w:p>
        </w:tc>
        <w:tc>
          <w:tcPr>
            <w:tcW w:w="674" w:type="dxa"/>
            <w:tcBorders>
              <w:top w:val="single" w:sz="4" w:space="0" w:color="auto"/>
              <w:left w:val="nil"/>
              <w:bottom w:val="nil"/>
              <w:right w:val="single" w:sz="4" w:space="0" w:color="auto"/>
            </w:tcBorders>
            <w:shd w:val="clear" w:color="auto" w:fill="auto"/>
            <w:vAlign w:val="bottom"/>
          </w:tcPr>
          <w:p w14:paraId="4A8D5968" w14:textId="31F7AC27" w:rsidR="007A6E9F" w:rsidRPr="007A6E9F" w:rsidRDefault="007A6E9F" w:rsidP="007A6E9F">
            <w:pPr>
              <w:pStyle w:val="Tabelltext"/>
              <w:keepNext/>
              <w:jc w:val="right"/>
              <w:rPr>
                <w:szCs w:val="18"/>
              </w:rPr>
            </w:pPr>
            <w:r w:rsidRPr="007A6E9F">
              <w:rPr>
                <w:rFonts w:ascii="Calibri" w:hAnsi="Calibri" w:cs="Calibri"/>
                <w:color w:val="000000"/>
                <w:szCs w:val="18"/>
              </w:rPr>
              <w:t>0,07</w:t>
            </w:r>
          </w:p>
        </w:tc>
      </w:tr>
    </w:tbl>
    <w:p w14:paraId="3D966559" w14:textId="77777777" w:rsidR="00B86626" w:rsidRDefault="00B86626" w:rsidP="00B86626">
      <w:pPr>
        <w:pStyle w:val="ANormal"/>
      </w:pPr>
    </w:p>
    <w:p w14:paraId="4DBACE10" w14:textId="49E1FCAE" w:rsidR="00B86626" w:rsidRDefault="00B86626" w:rsidP="00B86626">
      <w:pPr>
        <w:pStyle w:val="RubrikD"/>
      </w:pPr>
      <w:r>
        <w:lastRenderedPageBreak/>
        <w:t>Total skattesats för samfällda förmåner:</w:t>
      </w:r>
    </w:p>
    <w:p w14:paraId="128027A3" w14:textId="77777777" w:rsidR="00B86626" w:rsidRPr="007A6E9F" w:rsidRDefault="00B86626" w:rsidP="00B86626">
      <w:pPr>
        <w:pStyle w:val="Rubrikmellanrum"/>
      </w:pPr>
    </w:p>
    <w:tbl>
      <w:tblPr>
        <w:tblStyle w:val="Tabellrutnt"/>
        <w:tblW w:w="6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673"/>
        <w:gridCol w:w="673"/>
        <w:gridCol w:w="674"/>
        <w:gridCol w:w="673"/>
        <w:gridCol w:w="673"/>
        <w:gridCol w:w="674"/>
        <w:gridCol w:w="673"/>
        <w:gridCol w:w="674"/>
      </w:tblGrid>
      <w:tr w:rsidR="00B86626" w:rsidRPr="000854C3" w14:paraId="040522D0" w14:textId="77777777" w:rsidTr="006126D6">
        <w:trPr>
          <w:trHeight w:val="304"/>
        </w:trPr>
        <w:tc>
          <w:tcPr>
            <w:tcW w:w="1276" w:type="dxa"/>
            <w:tcBorders>
              <w:left w:val="single" w:sz="4" w:space="0" w:color="auto"/>
              <w:bottom w:val="single" w:sz="4" w:space="0" w:color="auto"/>
              <w:right w:val="single" w:sz="4" w:space="0" w:color="auto"/>
            </w:tcBorders>
            <w:vAlign w:val="bottom"/>
          </w:tcPr>
          <w:p w14:paraId="597D5A4D" w14:textId="77777777" w:rsidR="00B86626" w:rsidRPr="007A6E9F" w:rsidRDefault="00B86626" w:rsidP="00131298">
            <w:pPr>
              <w:pStyle w:val="Tabelltext"/>
              <w:keepNext/>
              <w:rPr>
                <w:bCs/>
              </w:rPr>
            </w:pPr>
            <w:r w:rsidRPr="007A6E9F">
              <w:rPr>
                <w:bCs/>
              </w:rPr>
              <w:t>Skattesats (%)</w:t>
            </w:r>
          </w:p>
        </w:tc>
        <w:tc>
          <w:tcPr>
            <w:tcW w:w="673" w:type="dxa"/>
            <w:tcBorders>
              <w:left w:val="single" w:sz="4" w:space="0" w:color="auto"/>
              <w:bottom w:val="single" w:sz="4" w:space="0" w:color="auto"/>
              <w:right w:val="single" w:sz="4" w:space="0" w:color="auto"/>
            </w:tcBorders>
            <w:vAlign w:val="bottom"/>
          </w:tcPr>
          <w:p w14:paraId="38FE1DC1" w14:textId="77777777" w:rsidR="00B86626" w:rsidRPr="000854C3" w:rsidRDefault="00B86626" w:rsidP="00131298">
            <w:pPr>
              <w:pStyle w:val="Tabelltext"/>
              <w:keepNext/>
              <w:jc w:val="center"/>
              <w:rPr>
                <w:b/>
              </w:rPr>
            </w:pPr>
            <w:r w:rsidRPr="000854C3">
              <w:rPr>
                <w:b/>
              </w:rPr>
              <w:t>20</w:t>
            </w:r>
            <w:r>
              <w:rPr>
                <w:b/>
              </w:rPr>
              <w:t>20</w:t>
            </w:r>
          </w:p>
        </w:tc>
        <w:tc>
          <w:tcPr>
            <w:tcW w:w="673" w:type="dxa"/>
            <w:tcBorders>
              <w:left w:val="single" w:sz="4" w:space="0" w:color="auto"/>
              <w:bottom w:val="single" w:sz="4" w:space="0" w:color="auto"/>
              <w:right w:val="single" w:sz="4" w:space="0" w:color="auto"/>
            </w:tcBorders>
            <w:vAlign w:val="bottom"/>
          </w:tcPr>
          <w:p w14:paraId="07C85088" w14:textId="77777777" w:rsidR="00B86626" w:rsidRPr="000854C3" w:rsidRDefault="00B86626" w:rsidP="00131298">
            <w:pPr>
              <w:pStyle w:val="Tabelltext"/>
              <w:keepNext/>
              <w:jc w:val="center"/>
              <w:rPr>
                <w:b/>
              </w:rPr>
            </w:pPr>
            <w:r w:rsidRPr="000854C3">
              <w:rPr>
                <w:b/>
              </w:rPr>
              <w:t>20</w:t>
            </w:r>
            <w:r>
              <w:rPr>
                <w:b/>
              </w:rPr>
              <w:t>21</w:t>
            </w:r>
          </w:p>
        </w:tc>
        <w:tc>
          <w:tcPr>
            <w:tcW w:w="674" w:type="dxa"/>
            <w:tcBorders>
              <w:left w:val="single" w:sz="4" w:space="0" w:color="auto"/>
              <w:bottom w:val="single" w:sz="4" w:space="0" w:color="auto"/>
              <w:right w:val="single" w:sz="4" w:space="0" w:color="auto"/>
            </w:tcBorders>
            <w:vAlign w:val="bottom"/>
          </w:tcPr>
          <w:p w14:paraId="2AC61599" w14:textId="77777777" w:rsidR="00B86626" w:rsidRPr="000854C3" w:rsidRDefault="00B86626" w:rsidP="00131298">
            <w:pPr>
              <w:pStyle w:val="Tabelltext"/>
              <w:keepNext/>
              <w:jc w:val="center"/>
              <w:rPr>
                <w:b/>
              </w:rPr>
            </w:pPr>
            <w:r w:rsidRPr="000854C3">
              <w:rPr>
                <w:b/>
              </w:rPr>
              <w:t>20</w:t>
            </w:r>
            <w:r>
              <w:rPr>
                <w:b/>
              </w:rPr>
              <w:t>22</w:t>
            </w:r>
          </w:p>
        </w:tc>
        <w:tc>
          <w:tcPr>
            <w:tcW w:w="673" w:type="dxa"/>
            <w:tcBorders>
              <w:left w:val="single" w:sz="4" w:space="0" w:color="auto"/>
              <w:bottom w:val="single" w:sz="4" w:space="0" w:color="auto"/>
              <w:right w:val="single" w:sz="4" w:space="0" w:color="auto"/>
            </w:tcBorders>
            <w:vAlign w:val="bottom"/>
          </w:tcPr>
          <w:p w14:paraId="0C375E29" w14:textId="77777777" w:rsidR="00B86626" w:rsidRPr="000854C3" w:rsidRDefault="00B86626" w:rsidP="00131298">
            <w:pPr>
              <w:pStyle w:val="Tabelltext"/>
              <w:keepNext/>
              <w:jc w:val="center"/>
              <w:rPr>
                <w:b/>
              </w:rPr>
            </w:pPr>
            <w:r w:rsidRPr="000854C3">
              <w:rPr>
                <w:b/>
              </w:rPr>
              <w:t>20</w:t>
            </w:r>
            <w:r>
              <w:rPr>
                <w:b/>
              </w:rPr>
              <w:t>23</w:t>
            </w:r>
          </w:p>
        </w:tc>
        <w:tc>
          <w:tcPr>
            <w:tcW w:w="673" w:type="dxa"/>
            <w:tcBorders>
              <w:left w:val="single" w:sz="4" w:space="0" w:color="auto"/>
              <w:bottom w:val="single" w:sz="4" w:space="0" w:color="auto"/>
              <w:right w:val="single" w:sz="4" w:space="0" w:color="auto"/>
            </w:tcBorders>
            <w:vAlign w:val="bottom"/>
          </w:tcPr>
          <w:p w14:paraId="4323FAA0" w14:textId="77777777" w:rsidR="00B86626" w:rsidRPr="000854C3" w:rsidRDefault="00B86626" w:rsidP="00131298">
            <w:pPr>
              <w:pStyle w:val="Tabelltext"/>
              <w:keepNext/>
              <w:jc w:val="center"/>
              <w:rPr>
                <w:b/>
              </w:rPr>
            </w:pPr>
            <w:r w:rsidRPr="000854C3">
              <w:rPr>
                <w:b/>
              </w:rPr>
              <w:t>20</w:t>
            </w:r>
            <w:r>
              <w:rPr>
                <w:b/>
              </w:rPr>
              <w:t>24</w:t>
            </w:r>
          </w:p>
        </w:tc>
        <w:tc>
          <w:tcPr>
            <w:tcW w:w="674" w:type="dxa"/>
            <w:tcBorders>
              <w:left w:val="single" w:sz="4" w:space="0" w:color="auto"/>
              <w:bottom w:val="single" w:sz="4" w:space="0" w:color="auto"/>
              <w:right w:val="single" w:sz="4" w:space="0" w:color="auto"/>
            </w:tcBorders>
            <w:vAlign w:val="bottom"/>
          </w:tcPr>
          <w:p w14:paraId="56529AA6" w14:textId="77777777" w:rsidR="00B86626" w:rsidRPr="000854C3" w:rsidRDefault="00B86626" w:rsidP="00131298">
            <w:pPr>
              <w:pStyle w:val="Tabelltext"/>
              <w:keepNext/>
              <w:jc w:val="center"/>
              <w:rPr>
                <w:b/>
              </w:rPr>
            </w:pPr>
            <w:r w:rsidRPr="000854C3">
              <w:rPr>
                <w:b/>
              </w:rPr>
              <w:t>20</w:t>
            </w:r>
            <w:r>
              <w:rPr>
                <w:b/>
              </w:rPr>
              <w:t>25</w:t>
            </w:r>
          </w:p>
        </w:tc>
        <w:tc>
          <w:tcPr>
            <w:tcW w:w="673" w:type="dxa"/>
            <w:tcBorders>
              <w:left w:val="single" w:sz="4" w:space="0" w:color="auto"/>
              <w:bottom w:val="single" w:sz="4" w:space="0" w:color="auto"/>
              <w:right w:val="single" w:sz="4" w:space="0" w:color="auto"/>
            </w:tcBorders>
            <w:vAlign w:val="bottom"/>
          </w:tcPr>
          <w:p w14:paraId="3A03B9EE" w14:textId="77777777" w:rsidR="00B86626" w:rsidRPr="000854C3" w:rsidRDefault="00B86626" w:rsidP="00131298">
            <w:pPr>
              <w:pStyle w:val="Tabelltext"/>
              <w:keepNext/>
              <w:jc w:val="right"/>
              <w:rPr>
                <w:b/>
              </w:rPr>
            </w:pPr>
            <w:r>
              <w:rPr>
                <w:b/>
              </w:rPr>
              <w:t>2026</w:t>
            </w:r>
          </w:p>
        </w:tc>
        <w:tc>
          <w:tcPr>
            <w:tcW w:w="674" w:type="dxa"/>
            <w:tcBorders>
              <w:left w:val="single" w:sz="4" w:space="0" w:color="auto"/>
              <w:bottom w:val="single" w:sz="4" w:space="0" w:color="auto"/>
              <w:right w:val="single" w:sz="4" w:space="0" w:color="auto"/>
            </w:tcBorders>
            <w:vAlign w:val="bottom"/>
          </w:tcPr>
          <w:p w14:paraId="3C00C151" w14:textId="77777777" w:rsidR="00B86626" w:rsidRPr="000854C3" w:rsidRDefault="00B86626" w:rsidP="00131298">
            <w:pPr>
              <w:pStyle w:val="Tabelltext"/>
              <w:keepNext/>
              <w:jc w:val="right"/>
              <w:rPr>
                <w:b/>
              </w:rPr>
            </w:pPr>
            <w:r>
              <w:rPr>
                <w:b/>
              </w:rPr>
              <w:t>2027</w:t>
            </w:r>
          </w:p>
        </w:tc>
      </w:tr>
      <w:tr w:rsidR="00B86626" w14:paraId="03E73F6E" w14:textId="77777777" w:rsidTr="006126D6">
        <w:trPr>
          <w:trHeight w:val="332"/>
        </w:trPr>
        <w:tc>
          <w:tcPr>
            <w:tcW w:w="1276" w:type="dxa"/>
            <w:tcBorders>
              <w:top w:val="single" w:sz="4" w:space="0" w:color="auto"/>
              <w:left w:val="single" w:sz="4" w:space="0" w:color="auto"/>
              <w:right w:val="single" w:sz="4" w:space="0" w:color="auto"/>
            </w:tcBorders>
            <w:vAlign w:val="bottom"/>
          </w:tcPr>
          <w:p w14:paraId="541525A2" w14:textId="77777777" w:rsidR="00B86626" w:rsidRDefault="00B86626" w:rsidP="00B86626">
            <w:pPr>
              <w:pStyle w:val="Tabelltext"/>
              <w:keepNext/>
            </w:pPr>
            <w:r>
              <w:t>I landskapet</w:t>
            </w:r>
          </w:p>
        </w:tc>
        <w:tc>
          <w:tcPr>
            <w:tcW w:w="673" w:type="dxa"/>
            <w:tcBorders>
              <w:top w:val="nil"/>
              <w:left w:val="nil"/>
              <w:right w:val="nil"/>
            </w:tcBorders>
            <w:shd w:val="clear" w:color="auto" w:fill="auto"/>
            <w:vAlign w:val="bottom"/>
          </w:tcPr>
          <w:p w14:paraId="4A5187CD" w14:textId="11017480" w:rsidR="00B86626" w:rsidRPr="00B86626" w:rsidRDefault="00B86626" w:rsidP="00B86626">
            <w:pPr>
              <w:pStyle w:val="Tabelltext"/>
              <w:keepNext/>
              <w:jc w:val="right"/>
              <w:rPr>
                <w:szCs w:val="18"/>
              </w:rPr>
            </w:pPr>
            <w:r w:rsidRPr="00B86626">
              <w:rPr>
                <w:rFonts w:ascii="Calibri" w:hAnsi="Calibri" w:cs="Calibri"/>
                <w:color w:val="000000"/>
                <w:szCs w:val="18"/>
              </w:rPr>
              <w:t>26,28</w:t>
            </w:r>
          </w:p>
        </w:tc>
        <w:tc>
          <w:tcPr>
            <w:tcW w:w="673" w:type="dxa"/>
            <w:tcBorders>
              <w:top w:val="nil"/>
              <w:left w:val="nil"/>
              <w:right w:val="nil"/>
            </w:tcBorders>
            <w:shd w:val="clear" w:color="auto" w:fill="auto"/>
            <w:vAlign w:val="bottom"/>
          </w:tcPr>
          <w:p w14:paraId="34D3960B" w14:textId="2C4AFE98" w:rsidR="00B86626" w:rsidRPr="00B86626" w:rsidRDefault="00B86626" w:rsidP="00B86626">
            <w:pPr>
              <w:pStyle w:val="Tabelltext"/>
              <w:keepNext/>
              <w:jc w:val="right"/>
              <w:rPr>
                <w:szCs w:val="18"/>
              </w:rPr>
            </w:pPr>
            <w:r w:rsidRPr="00B86626">
              <w:rPr>
                <w:rFonts w:ascii="Calibri" w:hAnsi="Calibri" w:cs="Calibri"/>
                <w:color w:val="000000"/>
                <w:szCs w:val="18"/>
              </w:rPr>
              <w:t>26,25</w:t>
            </w:r>
          </w:p>
        </w:tc>
        <w:tc>
          <w:tcPr>
            <w:tcW w:w="674" w:type="dxa"/>
            <w:tcBorders>
              <w:top w:val="nil"/>
              <w:left w:val="nil"/>
              <w:right w:val="nil"/>
            </w:tcBorders>
            <w:shd w:val="clear" w:color="auto" w:fill="auto"/>
            <w:vAlign w:val="bottom"/>
          </w:tcPr>
          <w:p w14:paraId="34300448" w14:textId="65489366" w:rsidR="00B86626" w:rsidRPr="00B86626" w:rsidRDefault="00B86626" w:rsidP="00B86626">
            <w:pPr>
              <w:pStyle w:val="Tabelltext"/>
              <w:keepNext/>
              <w:jc w:val="right"/>
              <w:rPr>
                <w:szCs w:val="18"/>
              </w:rPr>
            </w:pPr>
            <w:r w:rsidRPr="00B86626">
              <w:rPr>
                <w:rFonts w:ascii="Calibri" w:hAnsi="Calibri" w:cs="Calibri"/>
                <w:color w:val="000000"/>
                <w:szCs w:val="18"/>
              </w:rPr>
              <w:t>26,27</w:t>
            </w:r>
          </w:p>
        </w:tc>
        <w:tc>
          <w:tcPr>
            <w:tcW w:w="673" w:type="dxa"/>
            <w:tcBorders>
              <w:top w:val="nil"/>
              <w:left w:val="nil"/>
              <w:right w:val="nil"/>
            </w:tcBorders>
            <w:shd w:val="clear" w:color="auto" w:fill="auto"/>
            <w:vAlign w:val="bottom"/>
          </w:tcPr>
          <w:p w14:paraId="3121014B" w14:textId="6AD31265" w:rsidR="00B86626" w:rsidRPr="00B86626" w:rsidRDefault="00B86626" w:rsidP="00B86626">
            <w:pPr>
              <w:pStyle w:val="Tabelltext"/>
              <w:keepNext/>
              <w:jc w:val="right"/>
              <w:rPr>
                <w:szCs w:val="18"/>
              </w:rPr>
            </w:pPr>
            <w:r w:rsidRPr="00B86626">
              <w:rPr>
                <w:rFonts w:ascii="Calibri" w:hAnsi="Calibri" w:cs="Calibri"/>
                <w:color w:val="000000"/>
                <w:szCs w:val="18"/>
              </w:rPr>
              <w:t>26,30</w:t>
            </w:r>
          </w:p>
        </w:tc>
        <w:tc>
          <w:tcPr>
            <w:tcW w:w="673" w:type="dxa"/>
            <w:tcBorders>
              <w:top w:val="nil"/>
              <w:left w:val="nil"/>
              <w:right w:val="nil"/>
            </w:tcBorders>
            <w:shd w:val="clear" w:color="auto" w:fill="auto"/>
            <w:vAlign w:val="bottom"/>
          </w:tcPr>
          <w:p w14:paraId="5A3B6A7E" w14:textId="3E9CD6CF" w:rsidR="00B86626" w:rsidRPr="00B86626" w:rsidRDefault="00B86626" w:rsidP="00B86626">
            <w:pPr>
              <w:pStyle w:val="Tabelltext"/>
              <w:keepNext/>
              <w:jc w:val="right"/>
              <w:rPr>
                <w:szCs w:val="18"/>
              </w:rPr>
            </w:pPr>
            <w:r w:rsidRPr="00B86626">
              <w:rPr>
                <w:rFonts w:ascii="Calibri" w:hAnsi="Calibri" w:cs="Calibri"/>
                <w:color w:val="000000"/>
                <w:szCs w:val="18"/>
              </w:rPr>
              <w:t>26,70</w:t>
            </w:r>
          </w:p>
        </w:tc>
        <w:tc>
          <w:tcPr>
            <w:tcW w:w="674" w:type="dxa"/>
            <w:tcBorders>
              <w:top w:val="nil"/>
              <w:left w:val="nil"/>
              <w:right w:val="nil"/>
            </w:tcBorders>
            <w:shd w:val="clear" w:color="auto" w:fill="auto"/>
            <w:vAlign w:val="bottom"/>
          </w:tcPr>
          <w:p w14:paraId="34715238" w14:textId="17CA965F" w:rsidR="00B86626" w:rsidRPr="00B86626" w:rsidRDefault="00B86626" w:rsidP="00B86626">
            <w:pPr>
              <w:pStyle w:val="Tabelltext"/>
              <w:keepNext/>
              <w:jc w:val="right"/>
              <w:rPr>
                <w:szCs w:val="18"/>
              </w:rPr>
            </w:pPr>
            <w:r w:rsidRPr="00B86626">
              <w:rPr>
                <w:rFonts w:ascii="Calibri" w:hAnsi="Calibri" w:cs="Calibri"/>
                <w:color w:val="000000"/>
                <w:szCs w:val="18"/>
              </w:rPr>
              <w:t>26,65</w:t>
            </w:r>
          </w:p>
        </w:tc>
        <w:tc>
          <w:tcPr>
            <w:tcW w:w="673" w:type="dxa"/>
            <w:tcBorders>
              <w:top w:val="nil"/>
              <w:left w:val="nil"/>
              <w:right w:val="nil"/>
            </w:tcBorders>
            <w:shd w:val="clear" w:color="auto" w:fill="auto"/>
            <w:vAlign w:val="bottom"/>
          </w:tcPr>
          <w:p w14:paraId="7A6BFE24" w14:textId="1DFB20CC" w:rsidR="00B86626" w:rsidRPr="00B86626" w:rsidRDefault="00B86626" w:rsidP="00B86626">
            <w:pPr>
              <w:pStyle w:val="Tabelltext"/>
              <w:keepNext/>
              <w:jc w:val="right"/>
              <w:rPr>
                <w:szCs w:val="18"/>
              </w:rPr>
            </w:pPr>
            <w:r w:rsidRPr="00B86626">
              <w:rPr>
                <w:rFonts w:ascii="Calibri" w:hAnsi="Calibri" w:cs="Calibri"/>
                <w:color w:val="000000"/>
                <w:szCs w:val="18"/>
              </w:rPr>
              <w:t>26,62</w:t>
            </w:r>
          </w:p>
        </w:tc>
        <w:tc>
          <w:tcPr>
            <w:tcW w:w="674" w:type="dxa"/>
            <w:tcBorders>
              <w:top w:val="single" w:sz="4" w:space="0" w:color="auto"/>
              <w:left w:val="nil"/>
              <w:right w:val="single" w:sz="4" w:space="0" w:color="auto"/>
            </w:tcBorders>
            <w:shd w:val="clear" w:color="auto" w:fill="auto"/>
            <w:vAlign w:val="bottom"/>
          </w:tcPr>
          <w:p w14:paraId="1C019614" w14:textId="3A12F891" w:rsidR="00B86626" w:rsidRPr="00B86626" w:rsidRDefault="00B86626" w:rsidP="00B86626">
            <w:pPr>
              <w:pStyle w:val="Tabelltext"/>
              <w:keepNext/>
              <w:jc w:val="right"/>
              <w:rPr>
                <w:szCs w:val="18"/>
              </w:rPr>
            </w:pPr>
            <w:r w:rsidRPr="00B86626">
              <w:rPr>
                <w:rFonts w:ascii="Calibri" w:hAnsi="Calibri" w:cs="Calibri"/>
                <w:color w:val="000000"/>
                <w:szCs w:val="18"/>
              </w:rPr>
              <w:t>26,59</w:t>
            </w:r>
          </w:p>
        </w:tc>
      </w:tr>
      <w:tr w:rsidR="00B86626" w14:paraId="2FDAC7F9" w14:textId="77777777" w:rsidTr="006126D6">
        <w:trPr>
          <w:trHeight w:val="332"/>
        </w:trPr>
        <w:tc>
          <w:tcPr>
            <w:tcW w:w="1276" w:type="dxa"/>
            <w:tcBorders>
              <w:left w:val="single" w:sz="4" w:space="0" w:color="auto"/>
              <w:right w:val="single" w:sz="4" w:space="0" w:color="auto"/>
            </w:tcBorders>
            <w:vAlign w:val="bottom"/>
          </w:tcPr>
          <w:p w14:paraId="59792159" w14:textId="77777777" w:rsidR="00B86626" w:rsidRDefault="00B86626" w:rsidP="00B86626">
            <w:pPr>
              <w:pStyle w:val="Tabelltext"/>
              <w:keepNext/>
            </w:pPr>
            <w:r>
              <w:t>I riket</w:t>
            </w:r>
          </w:p>
        </w:tc>
        <w:tc>
          <w:tcPr>
            <w:tcW w:w="673" w:type="dxa"/>
            <w:tcBorders>
              <w:top w:val="nil"/>
              <w:left w:val="nil"/>
              <w:bottom w:val="single" w:sz="4" w:space="0" w:color="auto"/>
              <w:right w:val="nil"/>
            </w:tcBorders>
            <w:shd w:val="clear" w:color="auto" w:fill="auto"/>
            <w:vAlign w:val="bottom"/>
          </w:tcPr>
          <w:p w14:paraId="17012AA0" w14:textId="0B2A3C2F" w:rsidR="00B86626" w:rsidRPr="00B86626" w:rsidRDefault="00B86626" w:rsidP="00B86626">
            <w:pPr>
              <w:pStyle w:val="Tabelltext"/>
              <w:keepNext/>
              <w:jc w:val="right"/>
              <w:rPr>
                <w:szCs w:val="18"/>
              </w:rPr>
            </w:pPr>
            <w:r w:rsidRPr="00B86626">
              <w:rPr>
                <w:rFonts w:ascii="Calibri" w:hAnsi="Calibri" w:cs="Calibri"/>
                <w:color w:val="000000"/>
                <w:szCs w:val="18"/>
              </w:rPr>
              <w:t>26,5</w:t>
            </w:r>
          </w:p>
        </w:tc>
        <w:tc>
          <w:tcPr>
            <w:tcW w:w="673" w:type="dxa"/>
            <w:tcBorders>
              <w:top w:val="nil"/>
              <w:left w:val="nil"/>
              <w:bottom w:val="single" w:sz="4" w:space="0" w:color="auto"/>
              <w:right w:val="nil"/>
            </w:tcBorders>
            <w:shd w:val="clear" w:color="auto" w:fill="auto"/>
            <w:vAlign w:val="bottom"/>
          </w:tcPr>
          <w:p w14:paraId="22CD070E" w14:textId="6E538441" w:rsidR="00B86626" w:rsidRPr="00B86626" w:rsidRDefault="00B86626" w:rsidP="00B86626">
            <w:pPr>
              <w:pStyle w:val="Tabelltext"/>
              <w:keepNext/>
              <w:jc w:val="right"/>
              <w:rPr>
                <w:szCs w:val="18"/>
              </w:rPr>
            </w:pPr>
            <w:r w:rsidRPr="00B86626">
              <w:rPr>
                <w:rFonts w:ascii="Calibri" w:hAnsi="Calibri" w:cs="Calibri"/>
                <w:color w:val="000000"/>
                <w:szCs w:val="18"/>
              </w:rPr>
              <w:t>26,5</w:t>
            </w:r>
          </w:p>
        </w:tc>
        <w:tc>
          <w:tcPr>
            <w:tcW w:w="674" w:type="dxa"/>
            <w:tcBorders>
              <w:top w:val="nil"/>
              <w:left w:val="nil"/>
              <w:bottom w:val="single" w:sz="4" w:space="0" w:color="auto"/>
              <w:right w:val="nil"/>
            </w:tcBorders>
            <w:shd w:val="clear" w:color="auto" w:fill="auto"/>
            <w:vAlign w:val="bottom"/>
          </w:tcPr>
          <w:p w14:paraId="2E947024" w14:textId="15059FC3" w:rsidR="00B86626" w:rsidRPr="00B86626" w:rsidRDefault="00B86626" w:rsidP="00B86626">
            <w:pPr>
              <w:pStyle w:val="Tabelltext"/>
              <w:keepNext/>
              <w:jc w:val="right"/>
              <w:rPr>
                <w:szCs w:val="18"/>
              </w:rPr>
            </w:pPr>
            <w:r w:rsidRPr="00B86626">
              <w:rPr>
                <w:rFonts w:ascii="Calibri" w:hAnsi="Calibri" w:cs="Calibri"/>
                <w:color w:val="000000"/>
                <w:szCs w:val="18"/>
              </w:rPr>
              <w:t>26,5</w:t>
            </w:r>
          </w:p>
        </w:tc>
        <w:tc>
          <w:tcPr>
            <w:tcW w:w="673" w:type="dxa"/>
            <w:tcBorders>
              <w:top w:val="nil"/>
              <w:left w:val="nil"/>
              <w:bottom w:val="single" w:sz="4" w:space="0" w:color="auto"/>
              <w:right w:val="nil"/>
            </w:tcBorders>
            <w:shd w:val="clear" w:color="auto" w:fill="auto"/>
            <w:vAlign w:val="bottom"/>
          </w:tcPr>
          <w:p w14:paraId="0F9ED692" w14:textId="13CEAFEB" w:rsidR="00B86626" w:rsidRPr="00B86626" w:rsidRDefault="00B86626" w:rsidP="00B86626">
            <w:pPr>
              <w:pStyle w:val="Tabelltext"/>
              <w:keepNext/>
              <w:jc w:val="right"/>
              <w:rPr>
                <w:szCs w:val="18"/>
              </w:rPr>
            </w:pPr>
            <w:r w:rsidRPr="00B86626">
              <w:rPr>
                <w:rFonts w:ascii="Calibri" w:hAnsi="Calibri" w:cs="Calibri"/>
                <w:color w:val="000000"/>
                <w:szCs w:val="18"/>
              </w:rPr>
              <w:t>26,5</w:t>
            </w:r>
          </w:p>
        </w:tc>
        <w:tc>
          <w:tcPr>
            <w:tcW w:w="673" w:type="dxa"/>
            <w:tcBorders>
              <w:top w:val="nil"/>
              <w:left w:val="nil"/>
              <w:bottom w:val="single" w:sz="4" w:space="0" w:color="auto"/>
              <w:right w:val="nil"/>
            </w:tcBorders>
            <w:shd w:val="clear" w:color="auto" w:fill="auto"/>
            <w:vAlign w:val="bottom"/>
          </w:tcPr>
          <w:p w14:paraId="5B9A4913" w14:textId="7B3F870F" w:rsidR="00B86626" w:rsidRPr="00B86626" w:rsidRDefault="00B86626" w:rsidP="00B86626">
            <w:pPr>
              <w:pStyle w:val="Tabelltext"/>
              <w:keepNext/>
              <w:jc w:val="right"/>
              <w:rPr>
                <w:szCs w:val="18"/>
              </w:rPr>
            </w:pPr>
            <w:r w:rsidRPr="00B86626">
              <w:rPr>
                <w:rFonts w:ascii="Calibri" w:hAnsi="Calibri" w:cs="Calibri"/>
                <w:color w:val="000000"/>
                <w:szCs w:val="18"/>
              </w:rPr>
              <w:t>26,5</w:t>
            </w:r>
          </w:p>
        </w:tc>
        <w:tc>
          <w:tcPr>
            <w:tcW w:w="674" w:type="dxa"/>
            <w:tcBorders>
              <w:top w:val="nil"/>
              <w:left w:val="nil"/>
              <w:bottom w:val="single" w:sz="4" w:space="0" w:color="auto"/>
              <w:right w:val="nil"/>
            </w:tcBorders>
            <w:shd w:val="clear" w:color="auto" w:fill="auto"/>
            <w:vAlign w:val="bottom"/>
          </w:tcPr>
          <w:p w14:paraId="48F233EB" w14:textId="4F2D4F99" w:rsidR="00B86626" w:rsidRPr="00B86626" w:rsidRDefault="00B86626" w:rsidP="00B86626">
            <w:pPr>
              <w:pStyle w:val="Tabelltext"/>
              <w:keepNext/>
              <w:jc w:val="right"/>
              <w:rPr>
                <w:szCs w:val="18"/>
              </w:rPr>
            </w:pPr>
            <w:r w:rsidRPr="00B86626">
              <w:rPr>
                <w:rFonts w:ascii="Calibri" w:hAnsi="Calibri" w:cs="Calibri"/>
                <w:color w:val="000000"/>
                <w:szCs w:val="18"/>
              </w:rPr>
              <w:t>26,5</w:t>
            </w:r>
          </w:p>
        </w:tc>
        <w:tc>
          <w:tcPr>
            <w:tcW w:w="673" w:type="dxa"/>
            <w:tcBorders>
              <w:top w:val="nil"/>
              <w:left w:val="nil"/>
              <w:bottom w:val="single" w:sz="4" w:space="0" w:color="auto"/>
              <w:right w:val="nil"/>
            </w:tcBorders>
            <w:shd w:val="clear" w:color="auto" w:fill="auto"/>
            <w:vAlign w:val="bottom"/>
          </w:tcPr>
          <w:p w14:paraId="0EBEAC4B" w14:textId="185371E2" w:rsidR="00B86626" w:rsidRPr="00B86626" w:rsidRDefault="00B86626" w:rsidP="00B86626">
            <w:pPr>
              <w:pStyle w:val="Tabelltext"/>
              <w:keepNext/>
              <w:jc w:val="right"/>
              <w:rPr>
                <w:szCs w:val="18"/>
              </w:rPr>
            </w:pPr>
            <w:r w:rsidRPr="00B86626">
              <w:rPr>
                <w:rFonts w:ascii="Calibri" w:hAnsi="Calibri" w:cs="Calibri"/>
                <w:color w:val="000000"/>
                <w:szCs w:val="18"/>
              </w:rPr>
              <w:t>26,5</w:t>
            </w:r>
          </w:p>
        </w:tc>
        <w:tc>
          <w:tcPr>
            <w:tcW w:w="674" w:type="dxa"/>
            <w:tcBorders>
              <w:top w:val="nil"/>
              <w:left w:val="nil"/>
              <w:bottom w:val="single" w:sz="4" w:space="0" w:color="auto"/>
              <w:right w:val="single" w:sz="4" w:space="0" w:color="auto"/>
            </w:tcBorders>
            <w:shd w:val="clear" w:color="auto" w:fill="auto"/>
            <w:vAlign w:val="bottom"/>
          </w:tcPr>
          <w:p w14:paraId="43E47EA1" w14:textId="5444A1A6" w:rsidR="00B86626" w:rsidRPr="00B86626" w:rsidRDefault="00B86626" w:rsidP="00B86626">
            <w:pPr>
              <w:pStyle w:val="Tabelltext"/>
              <w:keepNext/>
              <w:jc w:val="right"/>
              <w:rPr>
                <w:szCs w:val="18"/>
              </w:rPr>
            </w:pPr>
            <w:r w:rsidRPr="00B86626">
              <w:rPr>
                <w:rFonts w:ascii="Calibri" w:hAnsi="Calibri" w:cs="Calibri"/>
                <w:color w:val="000000"/>
                <w:szCs w:val="18"/>
              </w:rPr>
              <w:t>26,5</w:t>
            </w:r>
          </w:p>
        </w:tc>
      </w:tr>
      <w:tr w:rsidR="00B86626" w14:paraId="6FF9BB0C" w14:textId="77777777" w:rsidTr="006126D6">
        <w:trPr>
          <w:trHeight w:val="539"/>
        </w:trPr>
        <w:tc>
          <w:tcPr>
            <w:tcW w:w="1276" w:type="dxa"/>
            <w:tcBorders>
              <w:top w:val="single" w:sz="4" w:space="0" w:color="auto"/>
              <w:left w:val="single" w:sz="4" w:space="0" w:color="auto"/>
              <w:right w:val="single" w:sz="4" w:space="0" w:color="auto"/>
            </w:tcBorders>
            <w:vAlign w:val="bottom"/>
          </w:tcPr>
          <w:p w14:paraId="77365AFE" w14:textId="77777777" w:rsidR="00B86626" w:rsidRDefault="00B86626" w:rsidP="00B86626">
            <w:pPr>
              <w:pStyle w:val="Tabelltext"/>
              <w:keepNext/>
            </w:pPr>
            <w:r>
              <w:t>Skillnad (%-enheter)</w:t>
            </w:r>
          </w:p>
        </w:tc>
        <w:tc>
          <w:tcPr>
            <w:tcW w:w="673" w:type="dxa"/>
            <w:tcBorders>
              <w:top w:val="single" w:sz="4" w:space="0" w:color="auto"/>
              <w:left w:val="nil"/>
              <w:bottom w:val="nil"/>
              <w:right w:val="nil"/>
            </w:tcBorders>
            <w:shd w:val="clear" w:color="auto" w:fill="auto"/>
            <w:vAlign w:val="bottom"/>
          </w:tcPr>
          <w:p w14:paraId="7B4DC3AC" w14:textId="5AFF40B3" w:rsidR="00B86626" w:rsidRPr="00B86626" w:rsidRDefault="00B86626" w:rsidP="00B86626">
            <w:pPr>
              <w:pStyle w:val="Tabelltext"/>
              <w:keepNext/>
              <w:jc w:val="right"/>
              <w:rPr>
                <w:szCs w:val="18"/>
              </w:rPr>
            </w:pPr>
            <w:r w:rsidRPr="00B86626">
              <w:rPr>
                <w:rFonts w:ascii="Calibri" w:hAnsi="Calibri" w:cs="Calibri"/>
                <w:color w:val="000000"/>
                <w:szCs w:val="18"/>
              </w:rPr>
              <w:t>-0,22</w:t>
            </w:r>
          </w:p>
        </w:tc>
        <w:tc>
          <w:tcPr>
            <w:tcW w:w="673" w:type="dxa"/>
            <w:tcBorders>
              <w:top w:val="single" w:sz="4" w:space="0" w:color="auto"/>
              <w:left w:val="nil"/>
              <w:bottom w:val="nil"/>
              <w:right w:val="nil"/>
            </w:tcBorders>
            <w:shd w:val="clear" w:color="auto" w:fill="auto"/>
            <w:vAlign w:val="bottom"/>
          </w:tcPr>
          <w:p w14:paraId="715891FF" w14:textId="00F11084" w:rsidR="00B86626" w:rsidRPr="00B86626" w:rsidRDefault="00B86626" w:rsidP="00B86626">
            <w:pPr>
              <w:pStyle w:val="Tabelltext"/>
              <w:keepNext/>
              <w:jc w:val="right"/>
              <w:rPr>
                <w:szCs w:val="18"/>
              </w:rPr>
            </w:pPr>
            <w:r w:rsidRPr="00B86626">
              <w:rPr>
                <w:rFonts w:ascii="Calibri" w:hAnsi="Calibri" w:cs="Calibri"/>
                <w:color w:val="000000"/>
                <w:szCs w:val="18"/>
              </w:rPr>
              <w:t>-0,25</w:t>
            </w:r>
          </w:p>
        </w:tc>
        <w:tc>
          <w:tcPr>
            <w:tcW w:w="674" w:type="dxa"/>
            <w:tcBorders>
              <w:top w:val="single" w:sz="4" w:space="0" w:color="auto"/>
              <w:left w:val="nil"/>
              <w:bottom w:val="nil"/>
              <w:right w:val="nil"/>
            </w:tcBorders>
            <w:shd w:val="clear" w:color="auto" w:fill="auto"/>
            <w:vAlign w:val="bottom"/>
          </w:tcPr>
          <w:p w14:paraId="6DE5CEDB" w14:textId="6B4AAEC6" w:rsidR="00B86626" w:rsidRPr="00B86626" w:rsidRDefault="00B86626" w:rsidP="00B86626">
            <w:pPr>
              <w:pStyle w:val="Tabelltext"/>
              <w:keepNext/>
              <w:jc w:val="right"/>
              <w:rPr>
                <w:szCs w:val="18"/>
              </w:rPr>
            </w:pPr>
            <w:r w:rsidRPr="00B86626">
              <w:rPr>
                <w:rFonts w:ascii="Calibri" w:hAnsi="Calibri" w:cs="Calibri"/>
                <w:color w:val="000000"/>
                <w:szCs w:val="18"/>
              </w:rPr>
              <w:t>-0,23</w:t>
            </w:r>
          </w:p>
        </w:tc>
        <w:tc>
          <w:tcPr>
            <w:tcW w:w="673" w:type="dxa"/>
            <w:tcBorders>
              <w:top w:val="single" w:sz="4" w:space="0" w:color="auto"/>
              <w:left w:val="nil"/>
              <w:bottom w:val="nil"/>
              <w:right w:val="nil"/>
            </w:tcBorders>
            <w:shd w:val="clear" w:color="auto" w:fill="auto"/>
            <w:vAlign w:val="bottom"/>
          </w:tcPr>
          <w:p w14:paraId="243DA511" w14:textId="7F2ABB94" w:rsidR="00B86626" w:rsidRPr="00B86626" w:rsidRDefault="00B86626" w:rsidP="00B86626">
            <w:pPr>
              <w:pStyle w:val="Tabelltext"/>
              <w:keepNext/>
              <w:jc w:val="right"/>
              <w:rPr>
                <w:szCs w:val="18"/>
              </w:rPr>
            </w:pPr>
            <w:r w:rsidRPr="00B86626">
              <w:rPr>
                <w:rFonts w:ascii="Calibri" w:hAnsi="Calibri" w:cs="Calibri"/>
                <w:color w:val="000000"/>
                <w:szCs w:val="18"/>
              </w:rPr>
              <w:t>-0,20</w:t>
            </w:r>
          </w:p>
        </w:tc>
        <w:tc>
          <w:tcPr>
            <w:tcW w:w="673" w:type="dxa"/>
            <w:tcBorders>
              <w:top w:val="single" w:sz="4" w:space="0" w:color="auto"/>
              <w:left w:val="nil"/>
              <w:bottom w:val="nil"/>
              <w:right w:val="nil"/>
            </w:tcBorders>
            <w:shd w:val="clear" w:color="auto" w:fill="auto"/>
            <w:vAlign w:val="bottom"/>
          </w:tcPr>
          <w:p w14:paraId="6BF23A3D" w14:textId="1815557F" w:rsidR="00B86626" w:rsidRPr="00B86626" w:rsidRDefault="00B86626" w:rsidP="00B86626">
            <w:pPr>
              <w:pStyle w:val="Tabelltext"/>
              <w:keepNext/>
              <w:jc w:val="right"/>
              <w:rPr>
                <w:szCs w:val="18"/>
              </w:rPr>
            </w:pPr>
            <w:r w:rsidRPr="00B86626">
              <w:rPr>
                <w:rFonts w:ascii="Calibri" w:hAnsi="Calibri" w:cs="Calibri"/>
                <w:color w:val="000000"/>
                <w:szCs w:val="18"/>
              </w:rPr>
              <w:t>0,20</w:t>
            </w:r>
          </w:p>
        </w:tc>
        <w:tc>
          <w:tcPr>
            <w:tcW w:w="674" w:type="dxa"/>
            <w:tcBorders>
              <w:top w:val="single" w:sz="4" w:space="0" w:color="auto"/>
              <w:left w:val="nil"/>
              <w:bottom w:val="nil"/>
              <w:right w:val="nil"/>
            </w:tcBorders>
            <w:shd w:val="clear" w:color="auto" w:fill="auto"/>
            <w:vAlign w:val="bottom"/>
          </w:tcPr>
          <w:p w14:paraId="46B137C9" w14:textId="428E7AEF" w:rsidR="00B86626" w:rsidRPr="00B86626" w:rsidRDefault="00B86626" w:rsidP="00B86626">
            <w:pPr>
              <w:pStyle w:val="Tabelltext"/>
              <w:keepNext/>
              <w:jc w:val="right"/>
              <w:rPr>
                <w:szCs w:val="18"/>
              </w:rPr>
            </w:pPr>
            <w:r w:rsidRPr="00B86626">
              <w:rPr>
                <w:rFonts w:ascii="Calibri" w:hAnsi="Calibri" w:cs="Calibri"/>
                <w:color w:val="000000"/>
                <w:szCs w:val="18"/>
              </w:rPr>
              <w:t>0,15</w:t>
            </w:r>
          </w:p>
        </w:tc>
        <w:tc>
          <w:tcPr>
            <w:tcW w:w="673" w:type="dxa"/>
            <w:tcBorders>
              <w:top w:val="single" w:sz="4" w:space="0" w:color="auto"/>
              <w:left w:val="nil"/>
              <w:bottom w:val="nil"/>
              <w:right w:val="nil"/>
            </w:tcBorders>
            <w:shd w:val="clear" w:color="auto" w:fill="auto"/>
            <w:vAlign w:val="bottom"/>
          </w:tcPr>
          <w:p w14:paraId="17B5FD27" w14:textId="2EAC2429" w:rsidR="00B86626" w:rsidRPr="00B86626" w:rsidRDefault="00B86626" w:rsidP="00B86626">
            <w:pPr>
              <w:pStyle w:val="Tabelltext"/>
              <w:keepNext/>
              <w:jc w:val="right"/>
              <w:rPr>
                <w:szCs w:val="18"/>
              </w:rPr>
            </w:pPr>
            <w:r w:rsidRPr="00B86626">
              <w:rPr>
                <w:rFonts w:ascii="Calibri" w:hAnsi="Calibri" w:cs="Calibri"/>
                <w:color w:val="000000"/>
                <w:szCs w:val="18"/>
              </w:rPr>
              <w:t>0,12</w:t>
            </w:r>
          </w:p>
        </w:tc>
        <w:tc>
          <w:tcPr>
            <w:tcW w:w="674" w:type="dxa"/>
            <w:tcBorders>
              <w:top w:val="single" w:sz="4" w:space="0" w:color="auto"/>
              <w:left w:val="nil"/>
              <w:bottom w:val="nil"/>
              <w:right w:val="single" w:sz="4" w:space="0" w:color="auto"/>
            </w:tcBorders>
            <w:shd w:val="clear" w:color="auto" w:fill="auto"/>
            <w:vAlign w:val="bottom"/>
          </w:tcPr>
          <w:p w14:paraId="3BBD808F" w14:textId="5A688901" w:rsidR="00B86626" w:rsidRPr="00B86626" w:rsidRDefault="00B86626" w:rsidP="00B86626">
            <w:pPr>
              <w:pStyle w:val="Tabelltext"/>
              <w:keepNext/>
              <w:jc w:val="right"/>
              <w:rPr>
                <w:szCs w:val="18"/>
              </w:rPr>
            </w:pPr>
            <w:r w:rsidRPr="00B86626">
              <w:rPr>
                <w:rFonts w:ascii="Calibri" w:hAnsi="Calibri" w:cs="Calibri"/>
                <w:color w:val="000000"/>
                <w:szCs w:val="18"/>
              </w:rPr>
              <w:t>0,09</w:t>
            </w:r>
          </w:p>
        </w:tc>
      </w:tr>
    </w:tbl>
    <w:p w14:paraId="5A89B80A" w14:textId="77777777" w:rsidR="00B86626" w:rsidRDefault="00B86626" w:rsidP="00B86626">
      <w:pPr>
        <w:pStyle w:val="ANormal"/>
      </w:pPr>
    </w:p>
    <w:p w14:paraId="745891DF" w14:textId="4D436C56" w:rsidR="00FE5135" w:rsidRDefault="00FE5135" w:rsidP="00FE5135">
      <w:pPr>
        <w:pStyle w:val="ANormal"/>
      </w:pPr>
      <w:r>
        <w:tab/>
        <w:t xml:space="preserve">Landskapsregeringen har inte haft för avsikt att sänka skattesatsen för samfund utan anser att den totala skattesatsen för </w:t>
      </w:r>
      <w:r w:rsidR="00686DC6">
        <w:t xml:space="preserve">åländska </w:t>
      </w:r>
      <w:r>
        <w:t xml:space="preserve">företag fortsättningsvis ska vara 20 %. Samtidigt bör </w:t>
      </w:r>
      <w:r w:rsidR="00686DC6">
        <w:t xml:space="preserve">de åländska </w:t>
      </w:r>
      <w:r>
        <w:t xml:space="preserve">kommunerna också kompenseras på samma sätt som kommunerna i riket. Därför föreslås att skattesatsen ändras </w:t>
      </w:r>
      <w:r w:rsidR="00B0651F">
        <w:t>så att den motsvarar den ändrade fördelningen</w:t>
      </w:r>
      <w:r>
        <w:t xml:space="preserve"> i riket. Landskapsregeringen anser inte heller att det finns någon orsak till att ha en lägre skattesats totalt sett för </w:t>
      </w:r>
      <w:r w:rsidR="00686DC6">
        <w:t>åländska samfälligheter</w:t>
      </w:r>
      <w:r>
        <w:t xml:space="preserve">. Landskapsregeringen föreslår därför att kommunalskattesatserna för samfund och samfällda förmåner ändras </w:t>
      </w:r>
      <w:r w:rsidR="00F41D1B">
        <w:t xml:space="preserve">temporärt </w:t>
      </w:r>
      <w:r>
        <w:t xml:space="preserve">på det sätt som visas i nedanstående tabeller. </w:t>
      </w:r>
      <w:r w:rsidR="007F43B6">
        <w:t>Från och med 2028 återgår kommunalskattesatserna till de som gällde 2019, förutsatt att inga ändringar görs innan dess.</w:t>
      </w:r>
    </w:p>
    <w:p w14:paraId="28D4709C" w14:textId="77777777" w:rsidR="007F43B6" w:rsidRDefault="007F43B6" w:rsidP="007F43B6">
      <w:pPr>
        <w:pStyle w:val="ANormal"/>
      </w:pPr>
    </w:p>
    <w:p w14:paraId="78F0D89A" w14:textId="770F513A" w:rsidR="007F43B6" w:rsidRDefault="007F43B6" w:rsidP="007F43B6">
      <w:pPr>
        <w:pStyle w:val="RubrikD"/>
      </w:pPr>
      <w:r>
        <w:t>Kommunalskattesatsen för samfund (total skattesats 20 %):</w:t>
      </w:r>
    </w:p>
    <w:p w14:paraId="4AB2742C" w14:textId="77777777" w:rsidR="007F43B6" w:rsidRPr="007A6E9F" w:rsidRDefault="007F43B6" w:rsidP="007F43B6">
      <w:pPr>
        <w:pStyle w:val="Rubrikmellanrum"/>
      </w:pPr>
    </w:p>
    <w:tbl>
      <w:tblPr>
        <w:tblStyle w:val="Tabellrutnt"/>
        <w:tblW w:w="6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709"/>
        <w:gridCol w:w="709"/>
        <w:gridCol w:w="710"/>
        <w:gridCol w:w="709"/>
        <w:gridCol w:w="709"/>
        <w:gridCol w:w="710"/>
        <w:gridCol w:w="709"/>
        <w:gridCol w:w="710"/>
      </w:tblGrid>
      <w:tr w:rsidR="007F43B6" w:rsidRPr="000854C3" w14:paraId="7F2362EE" w14:textId="77777777" w:rsidTr="00B0651F">
        <w:trPr>
          <w:trHeight w:val="304"/>
        </w:trPr>
        <w:tc>
          <w:tcPr>
            <w:tcW w:w="988" w:type="dxa"/>
            <w:tcBorders>
              <w:left w:val="single" w:sz="4" w:space="0" w:color="auto"/>
              <w:bottom w:val="single" w:sz="4" w:space="0" w:color="auto"/>
              <w:right w:val="single" w:sz="4" w:space="0" w:color="auto"/>
            </w:tcBorders>
            <w:vAlign w:val="bottom"/>
          </w:tcPr>
          <w:p w14:paraId="3B1F88F0" w14:textId="77777777" w:rsidR="007F43B6" w:rsidRPr="007A6E9F" w:rsidRDefault="007F43B6" w:rsidP="00131298">
            <w:pPr>
              <w:pStyle w:val="Tabelltext"/>
              <w:keepNext/>
              <w:rPr>
                <w:bCs/>
              </w:rPr>
            </w:pPr>
            <w:r w:rsidRPr="007A6E9F">
              <w:rPr>
                <w:bCs/>
              </w:rPr>
              <w:t>Skattesats (%)</w:t>
            </w:r>
          </w:p>
        </w:tc>
        <w:tc>
          <w:tcPr>
            <w:tcW w:w="709" w:type="dxa"/>
            <w:tcBorders>
              <w:left w:val="single" w:sz="4" w:space="0" w:color="auto"/>
              <w:bottom w:val="single" w:sz="4" w:space="0" w:color="auto"/>
              <w:right w:val="single" w:sz="4" w:space="0" w:color="auto"/>
            </w:tcBorders>
            <w:vAlign w:val="bottom"/>
          </w:tcPr>
          <w:p w14:paraId="43D52791" w14:textId="77777777" w:rsidR="007F43B6" w:rsidRPr="000854C3" w:rsidRDefault="007F43B6" w:rsidP="00131298">
            <w:pPr>
              <w:pStyle w:val="Tabelltext"/>
              <w:keepNext/>
              <w:jc w:val="center"/>
              <w:rPr>
                <w:b/>
              </w:rPr>
            </w:pPr>
            <w:r w:rsidRPr="000854C3">
              <w:rPr>
                <w:b/>
              </w:rPr>
              <w:t>20</w:t>
            </w:r>
            <w:r>
              <w:rPr>
                <w:b/>
              </w:rPr>
              <w:t>20</w:t>
            </w:r>
          </w:p>
        </w:tc>
        <w:tc>
          <w:tcPr>
            <w:tcW w:w="709" w:type="dxa"/>
            <w:tcBorders>
              <w:left w:val="single" w:sz="4" w:space="0" w:color="auto"/>
              <w:bottom w:val="single" w:sz="4" w:space="0" w:color="auto"/>
              <w:right w:val="single" w:sz="4" w:space="0" w:color="auto"/>
            </w:tcBorders>
            <w:vAlign w:val="bottom"/>
          </w:tcPr>
          <w:p w14:paraId="635BD159" w14:textId="77777777" w:rsidR="007F43B6" w:rsidRPr="000854C3" w:rsidRDefault="007F43B6" w:rsidP="00131298">
            <w:pPr>
              <w:pStyle w:val="Tabelltext"/>
              <w:keepNext/>
              <w:jc w:val="center"/>
              <w:rPr>
                <w:b/>
              </w:rPr>
            </w:pPr>
            <w:r w:rsidRPr="000854C3">
              <w:rPr>
                <w:b/>
              </w:rPr>
              <w:t>20</w:t>
            </w:r>
            <w:r>
              <w:rPr>
                <w:b/>
              </w:rPr>
              <w:t>21</w:t>
            </w:r>
          </w:p>
        </w:tc>
        <w:tc>
          <w:tcPr>
            <w:tcW w:w="710" w:type="dxa"/>
            <w:tcBorders>
              <w:left w:val="single" w:sz="4" w:space="0" w:color="auto"/>
              <w:bottom w:val="single" w:sz="4" w:space="0" w:color="auto"/>
              <w:right w:val="single" w:sz="4" w:space="0" w:color="auto"/>
            </w:tcBorders>
            <w:vAlign w:val="bottom"/>
          </w:tcPr>
          <w:p w14:paraId="547B1DD8" w14:textId="77777777" w:rsidR="007F43B6" w:rsidRPr="000854C3" w:rsidRDefault="007F43B6" w:rsidP="00131298">
            <w:pPr>
              <w:pStyle w:val="Tabelltext"/>
              <w:keepNext/>
              <w:jc w:val="center"/>
              <w:rPr>
                <w:b/>
              </w:rPr>
            </w:pPr>
            <w:r w:rsidRPr="000854C3">
              <w:rPr>
                <w:b/>
              </w:rPr>
              <w:t>20</w:t>
            </w:r>
            <w:r>
              <w:rPr>
                <w:b/>
              </w:rPr>
              <w:t>22</w:t>
            </w:r>
          </w:p>
        </w:tc>
        <w:tc>
          <w:tcPr>
            <w:tcW w:w="709" w:type="dxa"/>
            <w:tcBorders>
              <w:left w:val="single" w:sz="4" w:space="0" w:color="auto"/>
              <w:bottom w:val="single" w:sz="4" w:space="0" w:color="auto"/>
              <w:right w:val="single" w:sz="4" w:space="0" w:color="auto"/>
            </w:tcBorders>
            <w:vAlign w:val="bottom"/>
          </w:tcPr>
          <w:p w14:paraId="1234D17F" w14:textId="77777777" w:rsidR="007F43B6" w:rsidRPr="000854C3" w:rsidRDefault="007F43B6" w:rsidP="00131298">
            <w:pPr>
              <w:pStyle w:val="Tabelltext"/>
              <w:keepNext/>
              <w:jc w:val="center"/>
              <w:rPr>
                <w:b/>
              </w:rPr>
            </w:pPr>
            <w:r w:rsidRPr="000854C3">
              <w:rPr>
                <w:b/>
              </w:rPr>
              <w:t>20</w:t>
            </w:r>
            <w:r>
              <w:rPr>
                <w:b/>
              </w:rPr>
              <w:t>23</w:t>
            </w:r>
          </w:p>
        </w:tc>
        <w:tc>
          <w:tcPr>
            <w:tcW w:w="709" w:type="dxa"/>
            <w:tcBorders>
              <w:left w:val="single" w:sz="4" w:space="0" w:color="auto"/>
              <w:bottom w:val="single" w:sz="4" w:space="0" w:color="auto"/>
              <w:right w:val="single" w:sz="4" w:space="0" w:color="auto"/>
            </w:tcBorders>
            <w:vAlign w:val="bottom"/>
          </w:tcPr>
          <w:p w14:paraId="0F55A971" w14:textId="77777777" w:rsidR="007F43B6" w:rsidRPr="000854C3" w:rsidRDefault="007F43B6" w:rsidP="00131298">
            <w:pPr>
              <w:pStyle w:val="Tabelltext"/>
              <w:keepNext/>
              <w:jc w:val="center"/>
              <w:rPr>
                <w:b/>
              </w:rPr>
            </w:pPr>
            <w:r w:rsidRPr="000854C3">
              <w:rPr>
                <w:b/>
              </w:rPr>
              <w:t>20</w:t>
            </w:r>
            <w:r>
              <w:rPr>
                <w:b/>
              </w:rPr>
              <w:t>24</w:t>
            </w:r>
          </w:p>
        </w:tc>
        <w:tc>
          <w:tcPr>
            <w:tcW w:w="710" w:type="dxa"/>
            <w:tcBorders>
              <w:left w:val="single" w:sz="4" w:space="0" w:color="auto"/>
              <w:bottom w:val="single" w:sz="4" w:space="0" w:color="auto"/>
              <w:right w:val="single" w:sz="4" w:space="0" w:color="auto"/>
            </w:tcBorders>
            <w:vAlign w:val="bottom"/>
          </w:tcPr>
          <w:p w14:paraId="6451FF48" w14:textId="77777777" w:rsidR="007F43B6" w:rsidRPr="000854C3" w:rsidRDefault="007F43B6" w:rsidP="00131298">
            <w:pPr>
              <w:pStyle w:val="Tabelltext"/>
              <w:keepNext/>
              <w:jc w:val="center"/>
              <w:rPr>
                <w:b/>
              </w:rPr>
            </w:pPr>
            <w:r w:rsidRPr="000854C3">
              <w:rPr>
                <w:b/>
              </w:rPr>
              <w:t>20</w:t>
            </w:r>
            <w:r>
              <w:rPr>
                <w:b/>
              </w:rPr>
              <w:t>25</w:t>
            </w:r>
          </w:p>
        </w:tc>
        <w:tc>
          <w:tcPr>
            <w:tcW w:w="709" w:type="dxa"/>
            <w:tcBorders>
              <w:left w:val="single" w:sz="4" w:space="0" w:color="auto"/>
              <w:bottom w:val="single" w:sz="4" w:space="0" w:color="auto"/>
              <w:right w:val="single" w:sz="4" w:space="0" w:color="auto"/>
            </w:tcBorders>
            <w:vAlign w:val="bottom"/>
          </w:tcPr>
          <w:p w14:paraId="38BB65F1" w14:textId="77777777" w:rsidR="007F43B6" w:rsidRPr="000854C3" w:rsidRDefault="007F43B6" w:rsidP="00131298">
            <w:pPr>
              <w:pStyle w:val="Tabelltext"/>
              <w:keepNext/>
              <w:jc w:val="right"/>
              <w:rPr>
                <w:b/>
              </w:rPr>
            </w:pPr>
            <w:r>
              <w:rPr>
                <w:b/>
              </w:rPr>
              <w:t>2026</w:t>
            </w:r>
          </w:p>
        </w:tc>
        <w:tc>
          <w:tcPr>
            <w:tcW w:w="710" w:type="dxa"/>
            <w:tcBorders>
              <w:left w:val="single" w:sz="4" w:space="0" w:color="auto"/>
              <w:bottom w:val="single" w:sz="4" w:space="0" w:color="auto"/>
              <w:right w:val="single" w:sz="4" w:space="0" w:color="auto"/>
            </w:tcBorders>
            <w:vAlign w:val="bottom"/>
          </w:tcPr>
          <w:p w14:paraId="0842A0E7" w14:textId="77777777" w:rsidR="007F43B6" w:rsidRPr="000854C3" w:rsidRDefault="007F43B6" w:rsidP="00131298">
            <w:pPr>
              <w:pStyle w:val="Tabelltext"/>
              <w:keepNext/>
              <w:jc w:val="right"/>
              <w:rPr>
                <w:b/>
              </w:rPr>
            </w:pPr>
            <w:r>
              <w:rPr>
                <w:b/>
              </w:rPr>
              <w:t>2027</w:t>
            </w:r>
          </w:p>
        </w:tc>
      </w:tr>
      <w:tr w:rsidR="007F43B6" w14:paraId="45B0269D" w14:textId="77777777" w:rsidTr="00B0651F">
        <w:trPr>
          <w:trHeight w:val="646"/>
        </w:trPr>
        <w:tc>
          <w:tcPr>
            <w:tcW w:w="988" w:type="dxa"/>
            <w:tcBorders>
              <w:top w:val="single" w:sz="4" w:space="0" w:color="auto"/>
              <w:left w:val="single" w:sz="4" w:space="0" w:color="auto"/>
              <w:right w:val="single" w:sz="4" w:space="0" w:color="auto"/>
            </w:tcBorders>
            <w:vAlign w:val="bottom"/>
          </w:tcPr>
          <w:p w14:paraId="0B973A54" w14:textId="13DB06B9" w:rsidR="007F43B6" w:rsidRDefault="007F43B6" w:rsidP="00131298">
            <w:pPr>
              <w:pStyle w:val="Tabelltext"/>
              <w:keepNext/>
            </w:pPr>
            <w:r>
              <w:t>Enligt gäl</w:t>
            </w:r>
            <w:r w:rsidR="00283B7D">
              <w:t>l</w:t>
            </w:r>
            <w:r>
              <w:t>ande lag</w:t>
            </w:r>
          </w:p>
        </w:tc>
        <w:tc>
          <w:tcPr>
            <w:tcW w:w="709" w:type="dxa"/>
            <w:tcBorders>
              <w:top w:val="nil"/>
              <w:left w:val="nil"/>
              <w:right w:val="nil"/>
            </w:tcBorders>
            <w:shd w:val="clear" w:color="auto" w:fill="auto"/>
            <w:vAlign w:val="bottom"/>
          </w:tcPr>
          <w:p w14:paraId="43A5515A" w14:textId="18993B56" w:rsidR="007F43B6" w:rsidRPr="007A6E9F" w:rsidRDefault="007F43B6" w:rsidP="00131298">
            <w:pPr>
              <w:pStyle w:val="Tabelltext"/>
              <w:keepNext/>
              <w:jc w:val="right"/>
              <w:rPr>
                <w:szCs w:val="18"/>
              </w:rPr>
            </w:pPr>
            <w:r>
              <w:rPr>
                <w:rFonts w:ascii="Calibri" w:hAnsi="Calibri" w:cs="Calibri"/>
                <w:color w:val="000000"/>
                <w:szCs w:val="18"/>
              </w:rPr>
              <w:t>6,26</w:t>
            </w:r>
          </w:p>
        </w:tc>
        <w:tc>
          <w:tcPr>
            <w:tcW w:w="709" w:type="dxa"/>
            <w:tcBorders>
              <w:top w:val="nil"/>
              <w:left w:val="nil"/>
              <w:right w:val="nil"/>
            </w:tcBorders>
            <w:shd w:val="clear" w:color="auto" w:fill="auto"/>
            <w:vAlign w:val="bottom"/>
          </w:tcPr>
          <w:p w14:paraId="382EC34F" w14:textId="0ADF7357" w:rsidR="007F43B6" w:rsidRPr="007A6E9F" w:rsidRDefault="007F43B6" w:rsidP="00131298">
            <w:pPr>
              <w:pStyle w:val="Tabelltext"/>
              <w:keepNext/>
              <w:jc w:val="right"/>
              <w:rPr>
                <w:szCs w:val="18"/>
              </w:rPr>
            </w:pPr>
            <w:r>
              <w:rPr>
                <w:rFonts w:ascii="Calibri" w:hAnsi="Calibri" w:cs="Calibri"/>
                <w:color w:val="000000"/>
                <w:szCs w:val="18"/>
              </w:rPr>
              <w:t>6,26</w:t>
            </w:r>
          </w:p>
        </w:tc>
        <w:tc>
          <w:tcPr>
            <w:tcW w:w="710" w:type="dxa"/>
            <w:tcBorders>
              <w:top w:val="nil"/>
              <w:left w:val="nil"/>
              <w:right w:val="nil"/>
            </w:tcBorders>
            <w:shd w:val="clear" w:color="auto" w:fill="auto"/>
            <w:vAlign w:val="bottom"/>
          </w:tcPr>
          <w:p w14:paraId="750790D4" w14:textId="69BAB041" w:rsidR="007F43B6" w:rsidRPr="007A6E9F" w:rsidRDefault="007F43B6" w:rsidP="00131298">
            <w:pPr>
              <w:pStyle w:val="Tabelltext"/>
              <w:keepNext/>
              <w:jc w:val="right"/>
              <w:rPr>
                <w:szCs w:val="18"/>
              </w:rPr>
            </w:pPr>
            <w:r>
              <w:rPr>
                <w:rFonts w:ascii="Calibri" w:hAnsi="Calibri" w:cs="Calibri"/>
                <w:color w:val="000000"/>
                <w:szCs w:val="18"/>
              </w:rPr>
              <w:t>6,26</w:t>
            </w:r>
          </w:p>
        </w:tc>
        <w:tc>
          <w:tcPr>
            <w:tcW w:w="709" w:type="dxa"/>
            <w:tcBorders>
              <w:top w:val="nil"/>
              <w:left w:val="nil"/>
              <w:right w:val="nil"/>
            </w:tcBorders>
            <w:shd w:val="clear" w:color="auto" w:fill="auto"/>
            <w:vAlign w:val="bottom"/>
          </w:tcPr>
          <w:p w14:paraId="3E4BFAC5" w14:textId="21152871" w:rsidR="007F43B6" w:rsidRPr="007A6E9F" w:rsidRDefault="007F43B6" w:rsidP="00131298">
            <w:pPr>
              <w:pStyle w:val="Tabelltext"/>
              <w:keepNext/>
              <w:jc w:val="right"/>
              <w:rPr>
                <w:szCs w:val="18"/>
              </w:rPr>
            </w:pPr>
            <w:r>
              <w:rPr>
                <w:rFonts w:ascii="Calibri" w:hAnsi="Calibri" w:cs="Calibri"/>
                <w:color w:val="000000"/>
                <w:szCs w:val="18"/>
              </w:rPr>
              <w:t>6,26</w:t>
            </w:r>
          </w:p>
        </w:tc>
        <w:tc>
          <w:tcPr>
            <w:tcW w:w="709" w:type="dxa"/>
            <w:tcBorders>
              <w:top w:val="nil"/>
              <w:left w:val="nil"/>
              <w:right w:val="nil"/>
            </w:tcBorders>
            <w:shd w:val="clear" w:color="auto" w:fill="auto"/>
            <w:vAlign w:val="bottom"/>
          </w:tcPr>
          <w:p w14:paraId="03E024D2" w14:textId="30BE995F" w:rsidR="007F43B6" w:rsidRPr="007A6E9F" w:rsidRDefault="007F43B6" w:rsidP="00131298">
            <w:pPr>
              <w:pStyle w:val="Tabelltext"/>
              <w:keepNext/>
              <w:jc w:val="right"/>
              <w:rPr>
                <w:szCs w:val="18"/>
              </w:rPr>
            </w:pPr>
            <w:r>
              <w:rPr>
                <w:rFonts w:ascii="Calibri" w:hAnsi="Calibri" w:cs="Calibri"/>
                <w:color w:val="000000"/>
                <w:szCs w:val="18"/>
              </w:rPr>
              <w:t>6,26</w:t>
            </w:r>
          </w:p>
        </w:tc>
        <w:tc>
          <w:tcPr>
            <w:tcW w:w="710" w:type="dxa"/>
            <w:tcBorders>
              <w:top w:val="nil"/>
              <w:left w:val="nil"/>
              <w:right w:val="nil"/>
            </w:tcBorders>
            <w:shd w:val="clear" w:color="auto" w:fill="auto"/>
            <w:vAlign w:val="bottom"/>
          </w:tcPr>
          <w:p w14:paraId="48F14A2E" w14:textId="491EE196" w:rsidR="007F43B6" w:rsidRPr="007A6E9F" w:rsidRDefault="007F43B6" w:rsidP="00131298">
            <w:pPr>
              <w:pStyle w:val="Tabelltext"/>
              <w:keepNext/>
              <w:jc w:val="right"/>
              <w:rPr>
                <w:szCs w:val="18"/>
              </w:rPr>
            </w:pPr>
            <w:r>
              <w:rPr>
                <w:rFonts w:ascii="Calibri" w:hAnsi="Calibri" w:cs="Calibri"/>
                <w:color w:val="000000"/>
                <w:szCs w:val="18"/>
              </w:rPr>
              <w:t>6,26</w:t>
            </w:r>
          </w:p>
        </w:tc>
        <w:tc>
          <w:tcPr>
            <w:tcW w:w="709" w:type="dxa"/>
            <w:tcBorders>
              <w:top w:val="nil"/>
              <w:left w:val="nil"/>
              <w:right w:val="nil"/>
            </w:tcBorders>
            <w:shd w:val="clear" w:color="auto" w:fill="auto"/>
            <w:vAlign w:val="bottom"/>
          </w:tcPr>
          <w:p w14:paraId="6BB7A1E5" w14:textId="26441EA4" w:rsidR="007F43B6" w:rsidRPr="007A6E9F" w:rsidRDefault="007F43B6" w:rsidP="00131298">
            <w:pPr>
              <w:pStyle w:val="Tabelltext"/>
              <w:keepNext/>
              <w:jc w:val="right"/>
              <w:rPr>
                <w:szCs w:val="18"/>
              </w:rPr>
            </w:pPr>
            <w:r>
              <w:rPr>
                <w:rFonts w:ascii="Calibri" w:hAnsi="Calibri" w:cs="Calibri"/>
                <w:color w:val="000000"/>
                <w:szCs w:val="18"/>
              </w:rPr>
              <w:t>6,26</w:t>
            </w:r>
          </w:p>
        </w:tc>
        <w:tc>
          <w:tcPr>
            <w:tcW w:w="710" w:type="dxa"/>
            <w:tcBorders>
              <w:top w:val="single" w:sz="4" w:space="0" w:color="auto"/>
              <w:left w:val="nil"/>
              <w:right w:val="single" w:sz="4" w:space="0" w:color="auto"/>
            </w:tcBorders>
            <w:shd w:val="clear" w:color="auto" w:fill="auto"/>
            <w:vAlign w:val="bottom"/>
          </w:tcPr>
          <w:p w14:paraId="7ECAD090" w14:textId="0ECD3481" w:rsidR="007F43B6" w:rsidRPr="007A6E9F" w:rsidRDefault="007F43B6" w:rsidP="00131298">
            <w:pPr>
              <w:pStyle w:val="Tabelltext"/>
              <w:keepNext/>
              <w:jc w:val="right"/>
              <w:rPr>
                <w:szCs w:val="18"/>
              </w:rPr>
            </w:pPr>
            <w:r>
              <w:rPr>
                <w:rFonts w:ascii="Calibri" w:hAnsi="Calibri" w:cs="Calibri"/>
                <w:color w:val="000000"/>
                <w:szCs w:val="18"/>
              </w:rPr>
              <w:t>6,26</w:t>
            </w:r>
          </w:p>
        </w:tc>
      </w:tr>
      <w:tr w:rsidR="007F43B6" w14:paraId="7406AD8F" w14:textId="77777777" w:rsidTr="00B0651F">
        <w:trPr>
          <w:trHeight w:val="646"/>
        </w:trPr>
        <w:tc>
          <w:tcPr>
            <w:tcW w:w="988" w:type="dxa"/>
            <w:tcBorders>
              <w:left w:val="single" w:sz="4" w:space="0" w:color="auto"/>
              <w:right w:val="single" w:sz="4" w:space="0" w:color="auto"/>
            </w:tcBorders>
            <w:vAlign w:val="bottom"/>
          </w:tcPr>
          <w:p w14:paraId="11C62A15" w14:textId="2BDB3251" w:rsidR="007F43B6" w:rsidRDefault="007F43B6" w:rsidP="007F43B6">
            <w:pPr>
              <w:pStyle w:val="Tabelltext"/>
              <w:keepNext/>
            </w:pPr>
            <w:r>
              <w:t>Enligt förslag</w:t>
            </w:r>
          </w:p>
        </w:tc>
        <w:tc>
          <w:tcPr>
            <w:tcW w:w="709" w:type="dxa"/>
            <w:tcBorders>
              <w:top w:val="nil"/>
              <w:left w:val="nil"/>
              <w:bottom w:val="single" w:sz="4" w:space="0" w:color="auto"/>
              <w:right w:val="nil"/>
            </w:tcBorders>
            <w:shd w:val="clear" w:color="auto" w:fill="auto"/>
            <w:vAlign w:val="bottom"/>
          </w:tcPr>
          <w:p w14:paraId="7A492152" w14:textId="239587AC" w:rsidR="007F43B6" w:rsidRPr="007F43B6" w:rsidRDefault="007F43B6" w:rsidP="007F43B6">
            <w:pPr>
              <w:pStyle w:val="Tabelltext"/>
              <w:keepNext/>
              <w:jc w:val="right"/>
              <w:rPr>
                <w:szCs w:val="18"/>
              </w:rPr>
            </w:pPr>
            <w:r w:rsidRPr="007F43B6">
              <w:rPr>
                <w:rFonts w:ascii="Calibri" w:hAnsi="Calibri" w:cs="Calibri"/>
                <w:color w:val="000000"/>
                <w:szCs w:val="18"/>
              </w:rPr>
              <w:t>6,426</w:t>
            </w:r>
          </w:p>
        </w:tc>
        <w:tc>
          <w:tcPr>
            <w:tcW w:w="709" w:type="dxa"/>
            <w:tcBorders>
              <w:top w:val="nil"/>
              <w:left w:val="nil"/>
              <w:bottom w:val="single" w:sz="4" w:space="0" w:color="auto"/>
              <w:right w:val="nil"/>
            </w:tcBorders>
            <w:shd w:val="clear" w:color="auto" w:fill="auto"/>
            <w:vAlign w:val="bottom"/>
          </w:tcPr>
          <w:p w14:paraId="629041BF" w14:textId="3FBA3A6E" w:rsidR="007F43B6" w:rsidRPr="007F43B6" w:rsidRDefault="007F43B6" w:rsidP="007F43B6">
            <w:pPr>
              <w:pStyle w:val="Tabelltext"/>
              <w:keepNext/>
              <w:jc w:val="right"/>
              <w:rPr>
                <w:szCs w:val="18"/>
              </w:rPr>
            </w:pPr>
            <w:r w:rsidRPr="007F43B6">
              <w:rPr>
                <w:rFonts w:ascii="Calibri" w:hAnsi="Calibri" w:cs="Calibri"/>
                <w:color w:val="000000"/>
                <w:szCs w:val="18"/>
              </w:rPr>
              <w:t>6,448</w:t>
            </w:r>
          </w:p>
        </w:tc>
        <w:tc>
          <w:tcPr>
            <w:tcW w:w="710" w:type="dxa"/>
            <w:tcBorders>
              <w:top w:val="nil"/>
              <w:left w:val="nil"/>
              <w:bottom w:val="single" w:sz="4" w:space="0" w:color="auto"/>
              <w:right w:val="nil"/>
            </w:tcBorders>
            <w:shd w:val="clear" w:color="auto" w:fill="auto"/>
            <w:vAlign w:val="bottom"/>
          </w:tcPr>
          <w:p w14:paraId="53371912" w14:textId="1CF66413" w:rsidR="007F43B6" w:rsidRPr="007F43B6" w:rsidRDefault="007F43B6" w:rsidP="007F43B6">
            <w:pPr>
              <w:pStyle w:val="Tabelltext"/>
              <w:keepNext/>
              <w:jc w:val="right"/>
              <w:rPr>
                <w:szCs w:val="18"/>
              </w:rPr>
            </w:pPr>
            <w:r w:rsidRPr="007F43B6">
              <w:rPr>
                <w:rFonts w:ascii="Calibri" w:hAnsi="Calibri" w:cs="Calibri"/>
                <w:color w:val="000000"/>
                <w:szCs w:val="18"/>
              </w:rPr>
              <w:t>6,436</w:t>
            </w:r>
          </w:p>
        </w:tc>
        <w:tc>
          <w:tcPr>
            <w:tcW w:w="709" w:type="dxa"/>
            <w:tcBorders>
              <w:top w:val="nil"/>
              <w:left w:val="nil"/>
              <w:bottom w:val="single" w:sz="4" w:space="0" w:color="auto"/>
              <w:right w:val="nil"/>
            </w:tcBorders>
            <w:shd w:val="clear" w:color="auto" w:fill="auto"/>
            <w:vAlign w:val="bottom"/>
          </w:tcPr>
          <w:p w14:paraId="03C9BBD5" w14:textId="0477C560" w:rsidR="007F43B6" w:rsidRPr="007F43B6" w:rsidRDefault="007F43B6" w:rsidP="007F43B6">
            <w:pPr>
              <w:pStyle w:val="Tabelltext"/>
              <w:keepNext/>
              <w:jc w:val="right"/>
              <w:rPr>
                <w:szCs w:val="18"/>
              </w:rPr>
            </w:pPr>
            <w:r w:rsidRPr="007F43B6">
              <w:rPr>
                <w:rFonts w:ascii="Calibri" w:hAnsi="Calibri" w:cs="Calibri"/>
                <w:color w:val="000000"/>
                <w:szCs w:val="18"/>
              </w:rPr>
              <w:t>6,412</w:t>
            </w:r>
          </w:p>
        </w:tc>
        <w:tc>
          <w:tcPr>
            <w:tcW w:w="709" w:type="dxa"/>
            <w:tcBorders>
              <w:top w:val="nil"/>
              <w:left w:val="nil"/>
              <w:bottom w:val="single" w:sz="4" w:space="0" w:color="auto"/>
              <w:right w:val="nil"/>
            </w:tcBorders>
            <w:shd w:val="clear" w:color="auto" w:fill="auto"/>
            <w:vAlign w:val="bottom"/>
          </w:tcPr>
          <w:p w14:paraId="6D378A41" w14:textId="5FE71970" w:rsidR="007F43B6" w:rsidRPr="007F43B6" w:rsidRDefault="007F43B6" w:rsidP="007F43B6">
            <w:pPr>
              <w:pStyle w:val="Tabelltext"/>
              <w:keepNext/>
              <w:jc w:val="right"/>
              <w:rPr>
                <w:szCs w:val="18"/>
              </w:rPr>
            </w:pPr>
            <w:r w:rsidRPr="007F43B6">
              <w:rPr>
                <w:rFonts w:ascii="Calibri" w:hAnsi="Calibri" w:cs="Calibri"/>
                <w:color w:val="000000"/>
                <w:szCs w:val="18"/>
              </w:rPr>
              <w:t>6,106</w:t>
            </w:r>
          </w:p>
        </w:tc>
        <w:tc>
          <w:tcPr>
            <w:tcW w:w="710" w:type="dxa"/>
            <w:tcBorders>
              <w:top w:val="nil"/>
              <w:left w:val="nil"/>
              <w:bottom w:val="single" w:sz="4" w:space="0" w:color="auto"/>
              <w:right w:val="nil"/>
            </w:tcBorders>
            <w:shd w:val="clear" w:color="auto" w:fill="auto"/>
            <w:vAlign w:val="bottom"/>
          </w:tcPr>
          <w:p w14:paraId="06BFE271" w14:textId="6F763513" w:rsidR="007F43B6" w:rsidRPr="007F43B6" w:rsidRDefault="007F43B6" w:rsidP="007F43B6">
            <w:pPr>
              <w:pStyle w:val="Tabelltext"/>
              <w:keepNext/>
              <w:jc w:val="right"/>
              <w:rPr>
                <w:szCs w:val="18"/>
              </w:rPr>
            </w:pPr>
            <w:r w:rsidRPr="007F43B6">
              <w:rPr>
                <w:rFonts w:ascii="Calibri" w:hAnsi="Calibri" w:cs="Calibri"/>
                <w:color w:val="000000"/>
                <w:szCs w:val="18"/>
              </w:rPr>
              <w:t>6,144</w:t>
            </w:r>
          </w:p>
        </w:tc>
        <w:tc>
          <w:tcPr>
            <w:tcW w:w="709" w:type="dxa"/>
            <w:tcBorders>
              <w:top w:val="nil"/>
              <w:left w:val="nil"/>
              <w:bottom w:val="single" w:sz="4" w:space="0" w:color="auto"/>
              <w:right w:val="nil"/>
            </w:tcBorders>
            <w:shd w:val="clear" w:color="auto" w:fill="auto"/>
            <w:vAlign w:val="bottom"/>
          </w:tcPr>
          <w:p w14:paraId="0A5EC23A" w14:textId="1928271D" w:rsidR="007F43B6" w:rsidRPr="007F43B6" w:rsidRDefault="007F43B6" w:rsidP="007F43B6">
            <w:pPr>
              <w:pStyle w:val="Tabelltext"/>
              <w:keepNext/>
              <w:jc w:val="right"/>
              <w:rPr>
                <w:szCs w:val="18"/>
              </w:rPr>
            </w:pPr>
            <w:r w:rsidRPr="007F43B6">
              <w:rPr>
                <w:rFonts w:ascii="Calibri" w:hAnsi="Calibri" w:cs="Calibri"/>
                <w:color w:val="000000"/>
                <w:szCs w:val="18"/>
              </w:rPr>
              <w:t>6,172</w:t>
            </w:r>
          </w:p>
        </w:tc>
        <w:tc>
          <w:tcPr>
            <w:tcW w:w="710" w:type="dxa"/>
            <w:tcBorders>
              <w:top w:val="nil"/>
              <w:left w:val="nil"/>
              <w:bottom w:val="single" w:sz="4" w:space="0" w:color="auto"/>
              <w:right w:val="single" w:sz="4" w:space="0" w:color="auto"/>
            </w:tcBorders>
            <w:shd w:val="clear" w:color="auto" w:fill="auto"/>
            <w:vAlign w:val="bottom"/>
          </w:tcPr>
          <w:p w14:paraId="704DCEE2" w14:textId="78D942EB" w:rsidR="007F43B6" w:rsidRPr="007F43B6" w:rsidRDefault="007F43B6" w:rsidP="007F43B6">
            <w:pPr>
              <w:pStyle w:val="Tabelltext"/>
              <w:keepNext/>
              <w:jc w:val="right"/>
              <w:rPr>
                <w:szCs w:val="18"/>
              </w:rPr>
            </w:pPr>
            <w:r w:rsidRPr="007F43B6">
              <w:rPr>
                <w:rFonts w:ascii="Calibri" w:hAnsi="Calibri" w:cs="Calibri"/>
                <w:color w:val="000000"/>
                <w:szCs w:val="18"/>
              </w:rPr>
              <w:t>6,194</w:t>
            </w:r>
          </w:p>
        </w:tc>
      </w:tr>
      <w:tr w:rsidR="007F43B6" w14:paraId="1507906C" w14:textId="77777777" w:rsidTr="00B0651F">
        <w:trPr>
          <w:trHeight w:val="304"/>
        </w:trPr>
        <w:tc>
          <w:tcPr>
            <w:tcW w:w="988" w:type="dxa"/>
            <w:tcBorders>
              <w:top w:val="single" w:sz="4" w:space="0" w:color="auto"/>
              <w:left w:val="single" w:sz="4" w:space="0" w:color="auto"/>
              <w:right w:val="single" w:sz="4" w:space="0" w:color="auto"/>
            </w:tcBorders>
            <w:vAlign w:val="bottom"/>
          </w:tcPr>
          <w:p w14:paraId="3F3D31B9" w14:textId="77777777" w:rsidR="007F43B6" w:rsidRDefault="007F43B6" w:rsidP="007F43B6">
            <w:pPr>
              <w:pStyle w:val="Tabelltext"/>
              <w:keepNext/>
            </w:pPr>
            <w:r>
              <w:t>Skillnad (%-enheter)</w:t>
            </w:r>
          </w:p>
        </w:tc>
        <w:tc>
          <w:tcPr>
            <w:tcW w:w="709" w:type="dxa"/>
            <w:tcBorders>
              <w:top w:val="single" w:sz="4" w:space="0" w:color="auto"/>
              <w:left w:val="nil"/>
              <w:bottom w:val="nil"/>
              <w:right w:val="nil"/>
            </w:tcBorders>
            <w:shd w:val="clear" w:color="auto" w:fill="auto"/>
            <w:vAlign w:val="bottom"/>
          </w:tcPr>
          <w:p w14:paraId="29A959E7" w14:textId="48D4ED05" w:rsidR="007F43B6" w:rsidRPr="00283B7D" w:rsidRDefault="007F43B6" w:rsidP="007F43B6">
            <w:pPr>
              <w:pStyle w:val="Tabelltext"/>
              <w:keepNext/>
              <w:jc w:val="right"/>
              <w:rPr>
                <w:szCs w:val="18"/>
              </w:rPr>
            </w:pPr>
            <w:r w:rsidRPr="00283B7D">
              <w:rPr>
                <w:rFonts w:ascii="Calibri" w:hAnsi="Calibri" w:cs="Calibri"/>
                <w:color w:val="000000"/>
                <w:szCs w:val="18"/>
              </w:rPr>
              <w:t>0,166</w:t>
            </w:r>
          </w:p>
        </w:tc>
        <w:tc>
          <w:tcPr>
            <w:tcW w:w="709" w:type="dxa"/>
            <w:tcBorders>
              <w:top w:val="single" w:sz="4" w:space="0" w:color="auto"/>
              <w:left w:val="nil"/>
              <w:bottom w:val="nil"/>
              <w:right w:val="nil"/>
            </w:tcBorders>
            <w:shd w:val="clear" w:color="auto" w:fill="auto"/>
            <w:vAlign w:val="bottom"/>
          </w:tcPr>
          <w:p w14:paraId="60EAC8A2" w14:textId="27F3D437" w:rsidR="007F43B6" w:rsidRPr="00283B7D" w:rsidRDefault="007F43B6" w:rsidP="007F43B6">
            <w:pPr>
              <w:pStyle w:val="Tabelltext"/>
              <w:keepNext/>
              <w:jc w:val="right"/>
              <w:rPr>
                <w:szCs w:val="18"/>
              </w:rPr>
            </w:pPr>
            <w:r w:rsidRPr="00283B7D">
              <w:rPr>
                <w:rFonts w:ascii="Calibri" w:hAnsi="Calibri" w:cs="Calibri"/>
                <w:color w:val="000000"/>
                <w:szCs w:val="18"/>
              </w:rPr>
              <w:t>0,188</w:t>
            </w:r>
          </w:p>
        </w:tc>
        <w:tc>
          <w:tcPr>
            <w:tcW w:w="710" w:type="dxa"/>
            <w:tcBorders>
              <w:top w:val="single" w:sz="4" w:space="0" w:color="auto"/>
              <w:left w:val="nil"/>
              <w:bottom w:val="nil"/>
              <w:right w:val="nil"/>
            </w:tcBorders>
            <w:shd w:val="clear" w:color="auto" w:fill="auto"/>
            <w:vAlign w:val="bottom"/>
          </w:tcPr>
          <w:p w14:paraId="2A1FE743" w14:textId="1E9D16D6" w:rsidR="007F43B6" w:rsidRPr="00283B7D" w:rsidRDefault="007F43B6" w:rsidP="007F43B6">
            <w:pPr>
              <w:pStyle w:val="Tabelltext"/>
              <w:keepNext/>
              <w:jc w:val="right"/>
              <w:rPr>
                <w:szCs w:val="18"/>
              </w:rPr>
            </w:pPr>
            <w:r w:rsidRPr="00283B7D">
              <w:rPr>
                <w:rFonts w:ascii="Calibri" w:hAnsi="Calibri" w:cs="Calibri"/>
                <w:color w:val="000000"/>
                <w:szCs w:val="18"/>
              </w:rPr>
              <w:t>0,176</w:t>
            </w:r>
          </w:p>
        </w:tc>
        <w:tc>
          <w:tcPr>
            <w:tcW w:w="709" w:type="dxa"/>
            <w:tcBorders>
              <w:top w:val="single" w:sz="4" w:space="0" w:color="auto"/>
              <w:left w:val="nil"/>
              <w:bottom w:val="nil"/>
              <w:right w:val="nil"/>
            </w:tcBorders>
            <w:shd w:val="clear" w:color="auto" w:fill="auto"/>
            <w:vAlign w:val="bottom"/>
          </w:tcPr>
          <w:p w14:paraId="24F7CB36" w14:textId="10C877DE" w:rsidR="007F43B6" w:rsidRPr="00283B7D" w:rsidRDefault="007F43B6" w:rsidP="007F43B6">
            <w:pPr>
              <w:pStyle w:val="Tabelltext"/>
              <w:keepNext/>
              <w:jc w:val="right"/>
              <w:rPr>
                <w:szCs w:val="18"/>
              </w:rPr>
            </w:pPr>
            <w:r w:rsidRPr="00283B7D">
              <w:rPr>
                <w:rFonts w:ascii="Calibri" w:hAnsi="Calibri" w:cs="Calibri"/>
                <w:color w:val="000000"/>
                <w:szCs w:val="18"/>
              </w:rPr>
              <w:t>0,152</w:t>
            </w:r>
          </w:p>
        </w:tc>
        <w:tc>
          <w:tcPr>
            <w:tcW w:w="709" w:type="dxa"/>
            <w:tcBorders>
              <w:top w:val="single" w:sz="4" w:space="0" w:color="auto"/>
              <w:left w:val="nil"/>
              <w:bottom w:val="nil"/>
              <w:right w:val="nil"/>
            </w:tcBorders>
            <w:shd w:val="clear" w:color="auto" w:fill="auto"/>
            <w:vAlign w:val="bottom"/>
          </w:tcPr>
          <w:p w14:paraId="513B903C" w14:textId="42E68F08" w:rsidR="007F43B6" w:rsidRPr="00283B7D" w:rsidRDefault="007F43B6" w:rsidP="007F43B6">
            <w:pPr>
              <w:pStyle w:val="Tabelltext"/>
              <w:keepNext/>
              <w:jc w:val="right"/>
              <w:rPr>
                <w:szCs w:val="18"/>
              </w:rPr>
            </w:pPr>
            <w:r w:rsidRPr="00283B7D">
              <w:rPr>
                <w:rFonts w:ascii="Calibri" w:hAnsi="Calibri" w:cs="Calibri"/>
                <w:color w:val="000000"/>
                <w:szCs w:val="18"/>
              </w:rPr>
              <w:t>-0,154</w:t>
            </w:r>
          </w:p>
        </w:tc>
        <w:tc>
          <w:tcPr>
            <w:tcW w:w="710" w:type="dxa"/>
            <w:tcBorders>
              <w:top w:val="single" w:sz="4" w:space="0" w:color="auto"/>
              <w:left w:val="nil"/>
              <w:bottom w:val="nil"/>
              <w:right w:val="nil"/>
            </w:tcBorders>
            <w:shd w:val="clear" w:color="auto" w:fill="auto"/>
            <w:vAlign w:val="bottom"/>
          </w:tcPr>
          <w:p w14:paraId="751941C8" w14:textId="741B1A43" w:rsidR="007F43B6" w:rsidRPr="00283B7D" w:rsidRDefault="007F43B6" w:rsidP="007F43B6">
            <w:pPr>
              <w:pStyle w:val="Tabelltext"/>
              <w:keepNext/>
              <w:jc w:val="right"/>
              <w:rPr>
                <w:szCs w:val="18"/>
              </w:rPr>
            </w:pPr>
            <w:r w:rsidRPr="00283B7D">
              <w:rPr>
                <w:rFonts w:ascii="Calibri" w:hAnsi="Calibri" w:cs="Calibri"/>
                <w:color w:val="000000"/>
                <w:szCs w:val="18"/>
              </w:rPr>
              <w:t>-0,116</w:t>
            </w:r>
          </w:p>
        </w:tc>
        <w:tc>
          <w:tcPr>
            <w:tcW w:w="709" w:type="dxa"/>
            <w:tcBorders>
              <w:top w:val="single" w:sz="4" w:space="0" w:color="auto"/>
              <w:left w:val="nil"/>
              <w:bottom w:val="nil"/>
              <w:right w:val="nil"/>
            </w:tcBorders>
            <w:shd w:val="clear" w:color="auto" w:fill="auto"/>
            <w:vAlign w:val="bottom"/>
          </w:tcPr>
          <w:p w14:paraId="64FD9CC0" w14:textId="704A68AC" w:rsidR="007F43B6" w:rsidRPr="00283B7D" w:rsidRDefault="007F43B6" w:rsidP="007F43B6">
            <w:pPr>
              <w:pStyle w:val="Tabelltext"/>
              <w:keepNext/>
              <w:jc w:val="right"/>
              <w:rPr>
                <w:szCs w:val="18"/>
              </w:rPr>
            </w:pPr>
            <w:r w:rsidRPr="00283B7D">
              <w:rPr>
                <w:rFonts w:ascii="Calibri" w:hAnsi="Calibri" w:cs="Calibri"/>
                <w:color w:val="000000"/>
                <w:szCs w:val="18"/>
              </w:rPr>
              <w:t>-0,088</w:t>
            </w:r>
          </w:p>
        </w:tc>
        <w:tc>
          <w:tcPr>
            <w:tcW w:w="710" w:type="dxa"/>
            <w:tcBorders>
              <w:top w:val="single" w:sz="4" w:space="0" w:color="auto"/>
              <w:left w:val="nil"/>
              <w:bottom w:val="nil"/>
              <w:right w:val="single" w:sz="4" w:space="0" w:color="auto"/>
            </w:tcBorders>
            <w:shd w:val="clear" w:color="auto" w:fill="auto"/>
            <w:vAlign w:val="bottom"/>
          </w:tcPr>
          <w:p w14:paraId="70735EC5" w14:textId="6659DB35" w:rsidR="007F43B6" w:rsidRPr="00283B7D" w:rsidRDefault="007F43B6" w:rsidP="007F43B6">
            <w:pPr>
              <w:pStyle w:val="Tabelltext"/>
              <w:keepNext/>
              <w:jc w:val="right"/>
              <w:rPr>
                <w:szCs w:val="18"/>
              </w:rPr>
            </w:pPr>
            <w:r w:rsidRPr="00283B7D">
              <w:rPr>
                <w:rFonts w:ascii="Calibri" w:hAnsi="Calibri" w:cs="Calibri"/>
                <w:color w:val="000000"/>
                <w:szCs w:val="18"/>
              </w:rPr>
              <w:t>-0,066</w:t>
            </w:r>
          </w:p>
        </w:tc>
      </w:tr>
    </w:tbl>
    <w:p w14:paraId="5E3C4597" w14:textId="77777777" w:rsidR="007F43B6" w:rsidRDefault="007F43B6" w:rsidP="007F43B6">
      <w:pPr>
        <w:pStyle w:val="ANormal"/>
      </w:pPr>
    </w:p>
    <w:p w14:paraId="0312E3C3" w14:textId="483D08BE" w:rsidR="00283B7D" w:rsidRDefault="00283B7D" w:rsidP="00283B7D">
      <w:pPr>
        <w:pStyle w:val="RubrikD"/>
      </w:pPr>
      <w:r>
        <w:t>Kommunalskattesatsen för samfällda förmåner (total skattesats 26,5 %):</w:t>
      </w:r>
    </w:p>
    <w:p w14:paraId="06B856E2" w14:textId="77777777" w:rsidR="00283B7D" w:rsidRPr="007A6E9F" w:rsidRDefault="00283B7D" w:rsidP="00283B7D">
      <w:pPr>
        <w:pStyle w:val="Rubrikmellanrum"/>
      </w:pPr>
    </w:p>
    <w:tbl>
      <w:tblPr>
        <w:tblStyle w:val="Tabellrutnt"/>
        <w:tblW w:w="7939"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868"/>
        <w:gridCol w:w="868"/>
        <w:gridCol w:w="868"/>
        <w:gridCol w:w="869"/>
        <w:gridCol w:w="868"/>
        <w:gridCol w:w="868"/>
        <w:gridCol w:w="868"/>
        <w:gridCol w:w="869"/>
      </w:tblGrid>
      <w:tr w:rsidR="00C43471" w:rsidRPr="000854C3" w14:paraId="408C4967" w14:textId="77777777" w:rsidTr="00B0651F">
        <w:trPr>
          <w:trHeight w:val="304"/>
        </w:trPr>
        <w:tc>
          <w:tcPr>
            <w:tcW w:w="993" w:type="dxa"/>
            <w:tcBorders>
              <w:left w:val="single" w:sz="4" w:space="0" w:color="auto"/>
              <w:bottom w:val="single" w:sz="4" w:space="0" w:color="auto"/>
              <w:right w:val="single" w:sz="4" w:space="0" w:color="auto"/>
            </w:tcBorders>
            <w:vAlign w:val="bottom"/>
          </w:tcPr>
          <w:p w14:paraId="68E9C191" w14:textId="77777777" w:rsidR="00283B7D" w:rsidRPr="007A6E9F" w:rsidRDefault="00283B7D" w:rsidP="00131298">
            <w:pPr>
              <w:pStyle w:val="Tabelltext"/>
              <w:keepNext/>
              <w:rPr>
                <w:bCs/>
              </w:rPr>
            </w:pPr>
            <w:r w:rsidRPr="007A6E9F">
              <w:rPr>
                <w:bCs/>
              </w:rPr>
              <w:t>Skattesats (%)</w:t>
            </w:r>
          </w:p>
        </w:tc>
        <w:tc>
          <w:tcPr>
            <w:tcW w:w="868" w:type="dxa"/>
            <w:tcBorders>
              <w:left w:val="single" w:sz="4" w:space="0" w:color="auto"/>
              <w:bottom w:val="single" w:sz="4" w:space="0" w:color="auto"/>
              <w:right w:val="single" w:sz="4" w:space="0" w:color="auto"/>
            </w:tcBorders>
            <w:vAlign w:val="bottom"/>
          </w:tcPr>
          <w:p w14:paraId="6AB3C19D" w14:textId="77777777" w:rsidR="00283B7D" w:rsidRPr="000854C3" w:rsidRDefault="00283B7D" w:rsidP="00131298">
            <w:pPr>
              <w:pStyle w:val="Tabelltext"/>
              <w:keepNext/>
              <w:jc w:val="center"/>
              <w:rPr>
                <w:b/>
              </w:rPr>
            </w:pPr>
            <w:r w:rsidRPr="000854C3">
              <w:rPr>
                <w:b/>
              </w:rPr>
              <w:t>20</w:t>
            </w:r>
            <w:r>
              <w:rPr>
                <w:b/>
              </w:rPr>
              <w:t>20</w:t>
            </w:r>
          </w:p>
        </w:tc>
        <w:tc>
          <w:tcPr>
            <w:tcW w:w="868" w:type="dxa"/>
            <w:tcBorders>
              <w:left w:val="single" w:sz="4" w:space="0" w:color="auto"/>
              <w:bottom w:val="single" w:sz="4" w:space="0" w:color="auto"/>
              <w:right w:val="single" w:sz="4" w:space="0" w:color="auto"/>
            </w:tcBorders>
            <w:vAlign w:val="bottom"/>
          </w:tcPr>
          <w:p w14:paraId="0D178ED0" w14:textId="77777777" w:rsidR="00283B7D" w:rsidRPr="000854C3" w:rsidRDefault="00283B7D" w:rsidP="00131298">
            <w:pPr>
              <w:pStyle w:val="Tabelltext"/>
              <w:keepNext/>
              <w:jc w:val="center"/>
              <w:rPr>
                <w:b/>
              </w:rPr>
            </w:pPr>
            <w:r w:rsidRPr="000854C3">
              <w:rPr>
                <w:b/>
              </w:rPr>
              <w:t>20</w:t>
            </w:r>
            <w:r>
              <w:rPr>
                <w:b/>
              </w:rPr>
              <w:t>21</w:t>
            </w:r>
          </w:p>
        </w:tc>
        <w:tc>
          <w:tcPr>
            <w:tcW w:w="868" w:type="dxa"/>
            <w:tcBorders>
              <w:left w:val="single" w:sz="4" w:space="0" w:color="auto"/>
              <w:bottom w:val="single" w:sz="4" w:space="0" w:color="auto"/>
              <w:right w:val="single" w:sz="4" w:space="0" w:color="auto"/>
            </w:tcBorders>
            <w:vAlign w:val="bottom"/>
          </w:tcPr>
          <w:p w14:paraId="5BCE6ED1" w14:textId="77777777" w:rsidR="00283B7D" w:rsidRPr="000854C3" w:rsidRDefault="00283B7D" w:rsidP="00131298">
            <w:pPr>
              <w:pStyle w:val="Tabelltext"/>
              <w:keepNext/>
              <w:jc w:val="center"/>
              <w:rPr>
                <w:b/>
              </w:rPr>
            </w:pPr>
            <w:r w:rsidRPr="000854C3">
              <w:rPr>
                <w:b/>
              </w:rPr>
              <w:t>20</w:t>
            </w:r>
            <w:r>
              <w:rPr>
                <w:b/>
              </w:rPr>
              <w:t>22</w:t>
            </w:r>
          </w:p>
        </w:tc>
        <w:tc>
          <w:tcPr>
            <w:tcW w:w="869" w:type="dxa"/>
            <w:tcBorders>
              <w:left w:val="single" w:sz="4" w:space="0" w:color="auto"/>
              <w:bottom w:val="single" w:sz="4" w:space="0" w:color="auto"/>
              <w:right w:val="single" w:sz="4" w:space="0" w:color="auto"/>
            </w:tcBorders>
            <w:vAlign w:val="bottom"/>
          </w:tcPr>
          <w:p w14:paraId="197E3D0B" w14:textId="77777777" w:rsidR="00283B7D" w:rsidRPr="000854C3" w:rsidRDefault="00283B7D" w:rsidP="00131298">
            <w:pPr>
              <w:pStyle w:val="Tabelltext"/>
              <w:keepNext/>
              <w:jc w:val="center"/>
              <w:rPr>
                <w:b/>
              </w:rPr>
            </w:pPr>
            <w:r w:rsidRPr="000854C3">
              <w:rPr>
                <w:b/>
              </w:rPr>
              <w:t>20</w:t>
            </w:r>
            <w:r>
              <w:rPr>
                <w:b/>
              </w:rPr>
              <w:t>23</w:t>
            </w:r>
          </w:p>
        </w:tc>
        <w:tc>
          <w:tcPr>
            <w:tcW w:w="868" w:type="dxa"/>
            <w:tcBorders>
              <w:left w:val="single" w:sz="4" w:space="0" w:color="auto"/>
              <w:bottom w:val="single" w:sz="4" w:space="0" w:color="auto"/>
              <w:right w:val="single" w:sz="4" w:space="0" w:color="auto"/>
            </w:tcBorders>
            <w:vAlign w:val="bottom"/>
          </w:tcPr>
          <w:p w14:paraId="1AF87ECE" w14:textId="77777777" w:rsidR="00283B7D" w:rsidRPr="000854C3" w:rsidRDefault="00283B7D" w:rsidP="00131298">
            <w:pPr>
              <w:pStyle w:val="Tabelltext"/>
              <w:keepNext/>
              <w:jc w:val="center"/>
              <w:rPr>
                <w:b/>
              </w:rPr>
            </w:pPr>
            <w:r w:rsidRPr="000854C3">
              <w:rPr>
                <w:b/>
              </w:rPr>
              <w:t>20</w:t>
            </w:r>
            <w:r>
              <w:rPr>
                <w:b/>
              </w:rPr>
              <w:t>24</w:t>
            </w:r>
          </w:p>
        </w:tc>
        <w:tc>
          <w:tcPr>
            <w:tcW w:w="868" w:type="dxa"/>
            <w:tcBorders>
              <w:left w:val="single" w:sz="4" w:space="0" w:color="auto"/>
              <w:bottom w:val="single" w:sz="4" w:space="0" w:color="auto"/>
              <w:right w:val="single" w:sz="4" w:space="0" w:color="auto"/>
            </w:tcBorders>
            <w:vAlign w:val="bottom"/>
          </w:tcPr>
          <w:p w14:paraId="4A2553F7" w14:textId="77777777" w:rsidR="00283B7D" w:rsidRPr="000854C3" w:rsidRDefault="00283B7D" w:rsidP="00131298">
            <w:pPr>
              <w:pStyle w:val="Tabelltext"/>
              <w:keepNext/>
              <w:jc w:val="center"/>
              <w:rPr>
                <w:b/>
              </w:rPr>
            </w:pPr>
            <w:r w:rsidRPr="000854C3">
              <w:rPr>
                <w:b/>
              </w:rPr>
              <w:t>20</w:t>
            </w:r>
            <w:r>
              <w:rPr>
                <w:b/>
              </w:rPr>
              <w:t>25</w:t>
            </w:r>
          </w:p>
        </w:tc>
        <w:tc>
          <w:tcPr>
            <w:tcW w:w="868" w:type="dxa"/>
            <w:tcBorders>
              <w:left w:val="single" w:sz="4" w:space="0" w:color="auto"/>
              <w:bottom w:val="single" w:sz="4" w:space="0" w:color="auto"/>
              <w:right w:val="single" w:sz="4" w:space="0" w:color="auto"/>
            </w:tcBorders>
            <w:vAlign w:val="bottom"/>
          </w:tcPr>
          <w:p w14:paraId="15130E3D" w14:textId="77777777" w:rsidR="00283B7D" w:rsidRPr="000854C3" w:rsidRDefault="00283B7D" w:rsidP="00131298">
            <w:pPr>
              <w:pStyle w:val="Tabelltext"/>
              <w:keepNext/>
              <w:jc w:val="right"/>
              <w:rPr>
                <w:b/>
              </w:rPr>
            </w:pPr>
            <w:r>
              <w:rPr>
                <w:b/>
              </w:rPr>
              <w:t>2026</w:t>
            </w:r>
          </w:p>
        </w:tc>
        <w:tc>
          <w:tcPr>
            <w:tcW w:w="869" w:type="dxa"/>
            <w:tcBorders>
              <w:left w:val="single" w:sz="4" w:space="0" w:color="auto"/>
              <w:bottom w:val="single" w:sz="4" w:space="0" w:color="auto"/>
              <w:right w:val="single" w:sz="4" w:space="0" w:color="auto"/>
            </w:tcBorders>
            <w:vAlign w:val="bottom"/>
          </w:tcPr>
          <w:p w14:paraId="1715F608" w14:textId="77777777" w:rsidR="00283B7D" w:rsidRPr="000854C3" w:rsidRDefault="00283B7D" w:rsidP="00131298">
            <w:pPr>
              <w:pStyle w:val="Tabelltext"/>
              <w:keepNext/>
              <w:jc w:val="right"/>
              <w:rPr>
                <w:b/>
              </w:rPr>
            </w:pPr>
            <w:r>
              <w:rPr>
                <w:b/>
              </w:rPr>
              <w:t>2027</w:t>
            </w:r>
          </w:p>
        </w:tc>
      </w:tr>
      <w:tr w:rsidR="00C43471" w14:paraId="2600ACEA" w14:textId="77777777" w:rsidTr="00B0651F">
        <w:trPr>
          <w:trHeight w:val="646"/>
        </w:trPr>
        <w:tc>
          <w:tcPr>
            <w:tcW w:w="993" w:type="dxa"/>
            <w:tcBorders>
              <w:top w:val="single" w:sz="4" w:space="0" w:color="auto"/>
              <w:left w:val="single" w:sz="4" w:space="0" w:color="auto"/>
              <w:right w:val="single" w:sz="4" w:space="0" w:color="auto"/>
            </w:tcBorders>
            <w:vAlign w:val="bottom"/>
          </w:tcPr>
          <w:p w14:paraId="60E8CC9B" w14:textId="77777777" w:rsidR="00C43471" w:rsidRDefault="00C43471" w:rsidP="00C43471">
            <w:pPr>
              <w:pStyle w:val="Tabelltext"/>
              <w:keepNext/>
            </w:pPr>
            <w:r>
              <w:t>Enligt gällande lag</w:t>
            </w:r>
          </w:p>
        </w:tc>
        <w:tc>
          <w:tcPr>
            <w:tcW w:w="868" w:type="dxa"/>
            <w:tcBorders>
              <w:top w:val="nil"/>
              <w:left w:val="nil"/>
              <w:right w:val="nil"/>
            </w:tcBorders>
            <w:shd w:val="clear" w:color="auto" w:fill="auto"/>
            <w:vAlign w:val="bottom"/>
          </w:tcPr>
          <w:p w14:paraId="5DFE4E7E" w14:textId="63B60272" w:rsidR="00C43471" w:rsidRPr="007A6E9F" w:rsidRDefault="00C43471" w:rsidP="00C43471">
            <w:pPr>
              <w:pStyle w:val="Tabelltext"/>
              <w:keepNext/>
              <w:jc w:val="right"/>
              <w:rPr>
                <w:szCs w:val="18"/>
              </w:rPr>
            </w:pPr>
            <w:r>
              <w:rPr>
                <w:rFonts w:ascii="Calibri" w:hAnsi="Calibri" w:cs="Calibri"/>
                <w:color w:val="000000"/>
                <w:szCs w:val="18"/>
              </w:rPr>
              <w:t>8,2945</w:t>
            </w:r>
          </w:p>
        </w:tc>
        <w:tc>
          <w:tcPr>
            <w:tcW w:w="868" w:type="dxa"/>
            <w:tcBorders>
              <w:top w:val="nil"/>
              <w:left w:val="nil"/>
              <w:right w:val="nil"/>
            </w:tcBorders>
            <w:shd w:val="clear" w:color="auto" w:fill="auto"/>
            <w:vAlign w:val="bottom"/>
          </w:tcPr>
          <w:p w14:paraId="00161F1B" w14:textId="5DB9D542" w:rsidR="00C43471" w:rsidRPr="007A6E9F" w:rsidRDefault="00C43471" w:rsidP="00C43471">
            <w:pPr>
              <w:pStyle w:val="Tabelltext"/>
              <w:keepNext/>
              <w:jc w:val="right"/>
              <w:rPr>
                <w:szCs w:val="18"/>
              </w:rPr>
            </w:pPr>
            <w:r>
              <w:rPr>
                <w:rFonts w:ascii="Calibri" w:hAnsi="Calibri" w:cs="Calibri"/>
                <w:color w:val="000000"/>
                <w:szCs w:val="18"/>
              </w:rPr>
              <w:t>8,2945</w:t>
            </w:r>
          </w:p>
        </w:tc>
        <w:tc>
          <w:tcPr>
            <w:tcW w:w="868" w:type="dxa"/>
            <w:tcBorders>
              <w:top w:val="nil"/>
              <w:left w:val="nil"/>
              <w:right w:val="nil"/>
            </w:tcBorders>
            <w:shd w:val="clear" w:color="auto" w:fill="auto"/>
            <w:vAlign w:val="bottom"/>
          </w:tcPr>
          <w:p w14:paraId="6BB3EE6D" w14:textId="665B0C86" w:rsidR="00C43471" w:rsidRPr="007A6E9F" w:rsidRDefault="00C43471" w:rsidP="00C43471">
            <w:pPr>
              <w:pStyle w:val="Tabelltext"/>
              <w:keepNext/>
              <w:jc w:val="right"/>
              <w:rPr>
                <w:szCs w:val="18"/>
              </w:rPr>
            </w:pPr>
            <w:r>
              <w:rPr>
                <w:rFonts w:ascii="Calibri" w:hAnsi="Calibri" w:cs="Calibri"/>
                <w:color w:val="000000"/>
                <w:szCs w:val="18"/>
              </w:rPr>
              <w:t>8,2945</w:t>
            </w:r>
          </w:p>
        </w:tc>
        <w:tc>
          <w:tcPr>
            <w:tcW w:w="869" w:type="dxa"/>
            <w:tcBorders>
              <w:top w:val="nil"/>
              <w:left w:val="nil"/>
              <w:right w:val="nil"/>
            </w:tcBorders>
            <w:shd w:val="clear" w:color="auto" w:fill="auto"/>
            <w:vAlign w:val="bottom"/>
          </w:tcPr>
          <w:p w14:paraId="70CEBE76" w14:textId="67C536F3" w:rsidR="00C43471" w:rsidRPr="007A6E9F" w:rsidRDefault="00C43471" w:rsidP="00C43471">
            <w:pPr>
              <w:pStyle w:val="Tabelltext"/>
              <w:keepNext/>
              <w:jc w:val="right"/>
              <w:rPr>
                <w:szCs w:val="18"/>
              </w:rPr>
            </w:pPr>
            <w:r>
              <w:rPr>
                <w:rFonts w:ascii="Calibri" w:hAnsi="Calibri" w:cs="Calibri"/>
                <w:color w:val="000000"/>
                <w:szCs w:val="18"/>
              </w:rPr>
              <w:t>8,2945</w:t>
            </w:r>
          </w:p>
        </w:tc>
        <w:tc>
          <w:tcPr>
            <w:tcW w:w="868" w:type="dxa"/>
            <w:tcBorders>
              <w:top w:val="nil"/>
              <w:left w:val="nil"/>
              <w:right w:val="nil"/>
            </w:tcBorders>
            <w:shd w:val="clear" w:color="auto" w:fill="auto"/>
            <w:vAlign w:val="bottom"/>
          </w:tcPr>
          <w:p w14:paraId="466DADE0" w14:textId="5A067DF7" w:rsidR="00C43471" w:rsidRPr="007A6E9F" w:rsidRDefault="00C43471" w:rsidP="00C43471">
            <w:pPr>
              <w:pStyle w:val="Tabelltext"/>
              <w:keepNext/>
              <w:jc w:val="right"/>
              <w:rPr>
                <w:szCs w:val="18"/>
              </w:rPr>
            </w:pPr>
            <w:r>
              <w:rPr>
                <w:rFonts w:ascii="Calibri" w:hAnsi="Calibri" w:cs="Calibri"/>
                <w:color w:val="000000"/>
                <w:szCs w:val="18"/>
              </w:rPr>
              <w:t>8,2945</w:t>
            </w:r>
          </w:p>
        </w:tc>
        <w:tc>
          <w:tcPr>
            <w:tcW w:w="868" w:type="dxa"/>
            <w:tcBorders>
              <w:top w:val="nil"/>
              <w:left w:val="nil"/>
              <w:right w:val="nil"/>
            </w:tcBorders>
            <w:shd w:val="clear" w:color="auto" w:fill="auto"/>
            <w:vAlign w:val="bottom"/>
          </w:tcPr>
          <w:p w14:paraId="78B451B3" w14:textId="59A21096" w:rsidR="00C43471" w:rsidRPr="007A6E9F" w:rsidRDefault="00C43471" w:rsidP="00C43471">
            <w:pPr>
              <w:pStyle w:val="Tabelltext"/>
              <w:keepNext/>
              <w:jc w:val="right"/>
              <w:rPr>
                <w:szCs w:val="18"/>
              </w:rPr>
            </w:pPr>
            <w:r>
              <w:rPr>
                <w:rFonts w:ascii="Calibri" w:hAnsi="Calibri" w:cs="Calibri"/>
                <w:color w:val="000000"/>
                <w:szCs w:val="18"/>
              </w:rPr>
              <w:t>8,2945</w:t>
            </w:r>
          </w:p>
        </w:tc>
        <w:tc>
          <w:tcPr>
            <w:tcW w:w="868" w:type="dxa"/>
            <w:tcBorders>
              <w:top w:val="nil"/>
              <w:left w:val="nil"/>
              <w:right w:val="nil"/>
            </w:tcBorders>
            <w:shd w:val="clear" w:color="auto" w:fill="auto"/>
            <w:vAlign w:val="bottom"/>
          </w:tcPr>
          <w:p w14:paraId="38AF2C60" w14:textId="18590F17" w:rsidR="00C43471" w:rsidRPr="007A6E9F" w:rsidRDefault="00C43471" w:rsidP="00C43471">
            <w:pPr>
              <w:pStyle w:val="Tabelltext"/>
              <w:keepNext/>
              <w:jc w:val="right"/>
              <w:rPr>
                <w:szCs w:val="18"/>
              </w:rPr>
            </w:pPr>
            <w:r>
              <w:rPr>
                <w:rFonts w:ascii="Calibri" w:hAnsi="Calibri" w:cs="Calibri"/>
                <w:color w:val="000000"/>
                <w:szCs w:val="18"/>
              </w:rPr>
              <w:t>8,2945</w:t>
            </w:r>
          </w:p>
        </w:tc>
        <w:tc>
          <w:tcPr>
            <w:tcW w:w="869" w:type="dxa"/>
            <w:tcBorders>
              <w:top w:val="single" w:sz="4" w:space="0" w:color="auto"/>
              <w:left w:val="nil"/>
              <w:right w:val="single" w:sz="4" w:space="0" w:color="auto"/>
            </w:tcBorders>
            <w:shd w:val="clear" w:color="auto" w:fill="auto"/>
            <w:vAlign w:val="bottom"/>
          </w:tcPr>
          <w:p w14:paraId="33462B87" w14:textId="19A25362" w:rsidR="00C43471" w:rsidRPr="007A6E9F" w:rsidRDefault="00C43471" w:rsidP="00C43471">
            <w:pPr>
              <w:pStyle w:val="Tabelltext"/>
              <w:keepNext/>
              <w:jc w:val="right"/>
              <w:rPr>
                <w:szCs w:val="18"/>
              </w:rPr>
            </w:pPr>
            <w:r>
              <w:rPr>
                <w:rFonts w:ascii="Calibri" w:hAnsi="Calibri" w:cs="Calibri"/>
                <w:color w:val="000000"/>
                <w:szCs w:val="18"/>
              </w:rPr>
              <w:t>8,2945</w:t>
            </w:r>
          </w:p>
        </w:tc>
      </w:tr>
      <w:tr w:rsidR="00C43471" w14:paraId="59641995" w14:textId="77777777" w:rsidTr="00B0651F">
        <w:trPr>
          <w:trHeight w:val="646"/>
        </w:trPr>
        <w:tc>
          <w:tcPr>
            <w:tcW w:w="993" w:type="dxa"/>
            <w:tcBorders>
              <w:left w:val="single" w:sz="4" w:space="0" w:color="auto"/>
              <w:right w:val="single" w:sz="4" w:space="0" w:color="auto"/>
            </w:tcBorders>
            <w:vAlign w:val="bottom"/>
          </w:tcPr>
          <w:p w14:paraId="02F662CE" w14:textId="77777777" w:rsidR="00C43471" w:rsidRDefault="00C43471" w:rsidP="00C43471">
            <w:pPr>
              <w:pStyle w:val="Tabelltext"/>
              <w:keepNext/>
            </w:pPr>
            <w:r>
              <w:t>Enligt förslag</w:t>
            </w:r>
          </w:p>
        </w:tc>
        <w:tc>
          <w:tcPr>
            <w:tcW w:w="868" w:type="dxa"/>
            <w:tcBorders>
              <w:top w:val="nil"/>
              <w:left w:val="nil"/>
              <w:bottom w:val="single" w:sz="4" w:space="0" w:color="auto"/>
              <w:right w:val="nil"/>
            </w:tcBorders>
            <w:shd w:val="clear" w:color="auto" w:fill="auto"/>
            <w:vAlign w:val="bottom"/>
          </w:tcPr>
          <w:p w14:paraId="41392B7D" w14:textId="0F361A0D" w:rsidR="00C43471" w:rsidRPr="00C43471" w:rsidRDefault="00C43471" w:rsidP="00C43471">
            <w:pPr>
              <w:pStyle w:val="Tabelltext"/>
              <w:keepNext/>
              <w:jc w:val="right"/>
              <w:rPr>
                <w:szCs w:val="18"/>
              </w:rPr>
            </w:pPr>
            <w:r w:rsidRPr="00C43471">
              <w:rPr>
                <w:rFonts w:ascii="Calibri" w:hAnsi="Calibri" w:cs="Calibri"/>
                <w:color w:val="000000"/>
                <w:szCs w:val="18"/>
              </w:rPr>
              <w:t>8,51445</w:t>
            </w:r>
          </w:p>
        </w:tc>
        <w:tc>
          <w:tcPr>
            <w:tcW w:w="868" w:type="dxa"/>
            <w:tcBorders>
              <w:top w:val="nil"/>
              <w:left w:val="nil"/>
              <w:bottom w:val="single" w:sz="4" w:space="0" w:color="auto"/>
              <w:right w:val="nil"/>
            </w:tcBorders>
            <w:shd w:val="clear" w:color="auto" w:fill="auto"/>
            <w:vAlign w:val="bottom"/>
          </w:tcPr>
          <w:p w14:paraId="49462C29" w14:textId="62E86305" w:rsidR="00C43471" w:rsidRPr="00C43471" w:rsidRDefault="00C43471" w:rsidP="00C43471">
            <w:pPr>
              <w:pStyle w:val="Tabelltext"/>
              <w:keepNext/>
              <w:jc w:val="right"/>
              <w:rPr>
                <w:szCs w:val="18"/>
              </w:rPr>
            </w:pPr>
            <w:r w:rsidRPr="00C43471">
              <w:rPr>
                <w:rFonts w:ascii="Calibri" w:hAnsi="Calibri" w:cs="Calibri"/>
                <w:color w:val="000000"/>
                <w:szCs w:val="18"/>
              </w:rPr>
              <w:t>8,5436</w:t>
            </w:r>
          </w:p>
        </w:tc>
        <w:tc>
          <w:tcPr>
            <w:tcW w:w="868" w:type="dxa"/>
            <w:tcBorders>
              <w:top w:val="nil"/>
              <w:left w:val="nil"/>
              <w:bottom w:val="single" w:sz="4" w:space="0" w:color="auto"/>
              <w:right w:val="nil"/>
            </w:tcBorders>
            <w:shd w:val="clear" w:color="auto" w:fill="auto"/>
            <w:vAlign w:val="bottom"/>
          </w:tcPr>
          <w:p w14:paraId="2418F1E5" w14:textId="0BFA1BF4" w:rsidR="00C43471" w:rsidRPr="00C43471" w:rsidRDefault="00C43471" w:rsidP="00C43471">
            <w:pPr>
              <w:pStyle w:val="Tabelltext"/>
              <w:keepNext/>
              <w:jc w:val="right"/>
              <w:rPr>
                <w:szCs w:val="18"/>
              </w:rPr>
            </w:pPr>
            <w:r w:rsidRPr="00C43471">
              <w:rPr>
                <w:rFonts w:ascii="Calibri" w:hAnsi="Calibri" w:cs="Calibri"/>
                <w:color w:val="000000"/>
                <w:szCs w:val="18"/>
              </w:rPr>
              <w:t>8,5277</w:t>
            </w:r>
          </w:p>
        </w:tc>
        <w:tc>
          <w:tcPr>
            <w:tcW w:w="869" w:type="dxa"/>
            <w:tcBorders>
              <w:top w:val="nil"/>
              <w:left w:val="nil"/>
              <w:bottom w:val="single" w:sz="4" w:space="0" w:color="auto"/>
              <w:right w:val="nil"/>
            </w:tcBorders>
            <w:shd w:val="clear" w:color="auto" w:fill="auto"/>
            <w:vAlign w:val="bottom"/>
          </w:tcPr>
          <w:p w14:paraId="6C049F3A" w14:textId="00BBBC49" w:rsidR="00C43471" w:rsidRPr="00C43471" w:rsidRDefault="00C43471" w:rsidP="00C43471">
            <w:pPr>
              <w:pStyle w:val="Tabelltext"/>
              <w:keepNext/>
              <w:jc w:val="right"/>
              <w:rPr>
                <w:szCs w:val="18"/>
              </w:rPr>
            </w:pPr>
            <w:r w:rsidRPr="00C43471">
              <w:rPr>
                <w:rFonts w:ascii="Calibri" w:hAnsi="Calibri" w:cs="Calibri"/>
                <w:color w:val="000000"/>
                <w:szCs w:val="18"/>
              </w:rPr>
              <w:t>8,4959</w:t>
            </w:r>
          </w:p>
        </w:tc>
        <w:tc>
          <w:tcPr>
            <w:tcW w:w="868" w:type="dxa"/>
            <w:tcBorders>
              <w:top w:val="nil"/>
              <w:left w:val="nil"/>
              <w:bottom w:val="single" w:sz="4" w:space="0" w:color="auto"/>
              <w:right w:val="nil"/>
            </w:tcBorders>
            <w:shd w:val="clear" w:color="auto" w:fill="auto"/>
            <w:vAlign w:val="bottom"/>
          </w:tcPr>
          <w:p w14:paraId="085D6764" w14:textId="680825F8" w:rsidR="00C43471" w:rsidRPr="00C43471" w:rsidRDefault="00C43471" w:rsidP="00C43471">
            <w:pPr>
              <w:pStyle w:val="Tabelltext"/>
              <w:keepNext/>
              <w:jc w:val="right"/>
              <w:rPr>
                <w:szCs w:val="18"/>
              </w:rPr>
            </w:pPr>
            <w:r w:rsidRPr="00C43471">
              <w:rPr>
                <w:rFonts w:ascii="Calibri" w:hAnsi="Calibri" w:cs="Calibri"/>
                <w:color w:val="000000"/>
                <w:szCs w:val="18"/>
              </w:rPr>
              <w:t>8,09045</w:t>
            </w:r>
          </w:p>
        </w:tc>
        <w:tc>
          <w:tcPr>
            <w:tcW w:w="868" w:type="dxa"/>
            <w:tcBorders>
              <w:top w:val="nil"/>
              <w:left w:val="nil"/>
              <w:bottom w:val="single" w:sz="4" w:space="0" w:color="auto"/>
              <w:right w:val="nil"/>
            </w:tcBorders>
            <w:shd w:val="clear" w:color="auto" w:fill="auto"/>
            <w:vAlign w:val="bottom"/>
          </w:tcPr>
          <w:p w14:paraId="0254096D" w14:textId="38BFA140" w:rsidR="00C43471" w:rsidRPr="00C43471" w:rsidRDefault="00C43471" w:rsidP="00C43471">
            <w:pPr>
              <w:pStyle w:val="Tabelltext"/>
              <w:keepNext/>
              <w:jc w:val="right"/>
              <w:rPr>
                <w:szCs w:val="18"/>
              </w:rPr>
            </w:pPr>
            <w:r w:rsidRPr="00C43471">
              <w:rPr>
                <w:rFonts w:ascii="Calibri" w:hAnsi="Calibri" w:cs="Calibri"/>
                <w:color w:val="000000"/>
                <w:szCs w:val="18"/>
              </w:rPr>
              <w:t>8,1408</w:t>
            </w:r>
          </w:p>
        </w:tc>
        <w:tc>
          <w:tcPr>
            <w:tcW w:w="868" w:type="dxa"/>
            <w:tcBorders>
              <w:top w:val="nil"/>
              <w:left w:val="nil"/>
              <w:bottom w:val="single" w:sz="4" w:space="0" w:color="auto"/>
              <w:right w:val="nil"/>
            </w:tcBorders>
            <w:shd w:val="clear" w:color="auto" w:fill="auto"/>
            <w:vAlign w:val="bottom"/>
          </w:tcPr>
          <w:p w14:paraId="6CFA4082" w14:textId="6E9A76AA" w:rsidR="00C43471" w:rsidRPr="00C43471" w:rsidRDefault="00C43471" w:rsidP="00C43471">
            <w:pPr>
              <w:pStyle w:val="Tabelltext"/>
              <w:keepNext/>
              <w:jc w:val="right"/>
              <w:rPr>
                <w:szCs w:val="18"/>
              </w:rPr>
            </w:pPr>
            <w:r w:rsidRPr="00C43471">
              <w:rPr>
                <w:rFonts w:ascii="Calibri" w:hAnsi="Calibri" w:cs="Calibri"/>
                <w:color w:val="000000"/>
                <w:szCs w:val="18"/>
              </w:rPr>
              <w:t>8,1779</w:t>
            </w:r>
          </w:p>
        </w:tc>
        <w:tc>
          <w:tcPr>
            <w:tcW w:w="869" w:type="dxa"/>
            <w:tcBorders>
              <w:top w:val="nil"/>
              <w:left w:val="nil"/>
              <w:bottom w:val="single" w:sz="4" w:space="0" w:color="auto"/>
              <w:right w:val="single" w:sz="4" w:space="0" w:color="auto"/>
            </w:tcBorders>
            <w:shd w:val="clear" w:color="auto" w:fill="auto"/>
            <w:vAlign w:val="bottom"/>
          </w:tcPr>
          <w:p w14:paraId="5789B7FC" w14:textId="13E5FF66" w:rsidR="00C43471" w:rsidRPr="00C43471" w:rsidRDefault="00C43471" w:rsidP="00C43471">
            <w:pPr>
              <w:pStyle w:val="Tabelltext"/>
              <w:keepNext/>
              <w:jc w:val="right"/>
              <w:rPr>
                <w:szCs w:val="18"/>
              </w:rPr>
            </w:pPr>
            <w:r w:rsidRPr="00C43471">
              <w:rPr>
                <w:rFonts w:ascii="Calibri" w:hAnsi="Calibri" w:cs="Calibri"/>
                <w:color w:val="000000"/>
                <w:szCs w:val="18"/>
              </w:rPr>
              <w:t>8,20705</w:t>
            </w:r>
          </w:p>
        </w:tc>
      </w:tr>
      <w:tr w:rsidR="00C43471" w14:paraId="5F861566" w14:textId="77777777" w:rsidTr="00B0651F">
        <w:trPr>
          <w:trHeight w:val="304"/>
        </w:trPr>
        <w:tc>
          <w:tcPr>
            <w:tcW w:w="993" w:type="dxa"/>
            <w:tcBorders>
              <w:top w:val="single" w:sz="4" w:space="0" w:color="auto"/>
              <w:left w:val="single" w:sz="4" w:space="0" w:color="auto"/>
              <w:right w:val="single" w:sz="4" w:space="0" w:color="auto"/>
            </w:tcBorders>
            <w:vAlign w:val="bottom"/>
          </w:tcPr>
          <w:p w14:paraId="70365D91" w14:textId="77777777" w:rsidR="00C43471" w:rsidRDefault="00C43471" w:rsidP="00C43471">
            <w:pPr>
              <w:pStyle w:val="Tabelltext"/>
              <w:keepNext/>
            </w:pPr>
            <w:r>
              <w:t>Skillnad (%-enheter)</w:t>
            </w:r>
          </w:p>
        </w:tc>
        <w:tc>
          <w:tcPr>
            <w:tcW w:w="868" w:type="dxa"/>
            <w:tcBorders>
              <w:top w:val="single" w:sz="4" w:space="0" w:color="auto"/>
              <w:left w:val="nil"/>
              <w:bottom w:val="nil"/>
              <w:right w:val="nil"/>
            </w:tcBorders>
            <w:shd w:val="clear" w:color="auto" w:fill="auto"/>
            <w:vAlign w:val="bottom"/>
          </w:tcPr>
          <w:p w14:paraId="70B067DA" w14:textId="1803853D" w:rsidR="00C43471" w:rsidRPr="00C43471" w:rsidRDefault="00C43471" w:rsidP="00C43471">
            <w:pPr>
              <w:pStyle w:val="Tabelltext"/>
              <w:keepNext/>
              <w:jc w:val="right"/>
              <w:rPr>
                <w:szCs w:val="18"/>
              </w:rPr>
            </w:pPr>
            <w:r w:rsidRPr="00C43471">
              <w:rPr>
                <w:rFonts w:ascii="Calibri" w:hAnsi="Calibri" w:cs="Calibri"/>
                <w:color w:val="000000"/>
                <w:szCs w:val="18"/>
              </w:rPr>
              <w:t>0,21995</w:t>
            </w:r>
          </w:p>
        </w:tc>
        <w:tc>
          <w:tcPr>
            <w:tcW w:w="868" w:type="dxa"/>
            <w:tcBorders>
              <w:top w:val="single" w:sz="4" w:space="0" w:color="auto"/>
              <w:left w:val="nil"/>
              <w:bottom w:val="nil"/>
              <w:right w:val="nil"/>
            </w:tcBorders>
            <w:shd w:val="clear" w:color="auto" w:fill="auto"/>
            <w:vAlign w:val="bottom"/>
          </w:tcPr>
          <w:p w14:paraId="3A8D10DB" w14:textId="62739E89" w:rsidR="00C43471" w:rsidRPr="00C43471" w:rsidRDefault="00C43471" w:rsidP="00C43471">
            <w:pPr>
              <w:pStyle w:val="Tabelltext"/>
              <w:keepNext/>
              <w:jc w:val="right"/>
              <w:rPr>
                <w:szCs w:val="18"/>
              </w:rPr>
            </w:pPr>
            <w:r w:rsidRPr="00C43471">
              <w:rPr>
                <w:rFonts w:ascii="Calibri" w:hAnsi="Calibri" w:cs="Calibri"/>
                <w:color w:val="000000"/>
                <w:szCs w:val="18"/>
              </w:rPr>
              <w:t>0,2491</w:t>
            </w:r>
          </w:p>
        </w:tc>
        <w:tc>
          <w:tcPr>
            <w:tcW w:w="868" w:type="dxa"/>
            <w:tcBorders>
              <w:top w:val="single" w:sz="4" w:space="0" w:color="auto"/>
              <w:left w:val="nil"/>
              <w:bottom w:val="nil"/>
              <w:right w:val="nil"/>
            </w:tcBorders>
            <w:shd w:val="clear" w:color="auto" w:fill="auto"/>
            <w:vAlign w:val="bottom"/>
          </w:tcPr>
          <w:p w14:paraId="50CC625F" w14:textId="77CF1E0B" w:rsidR="00C43471" w:rsidRPr="00C43471" w:rsidRDefault="00C43471" w:rsidP="00C43471">
            <w:pPr>
              <w:pStyle w:val="Tabelltext"/>
              <w:keepNext/>
              <w:jc w:val="right"/>
              <w:rPr>
                <w:szCs w:val="18"/>
              </w:rPr>
            </w:pPr>
            <w:r w:rsidRPr="00C43471">
              <w:rPr>
                <w:rFonts w:ascii="Calibri" w:hAnsi="Calibri" w:cs="Calibri"/>
                <w:color w:val="000000"/>
                <w:szCs w:val="18"/>
              </w:rPr>
              <w:t>0,2332</w:t>
            </w:r>
          </w:p>
        </w:tc>
        <w:tc>
          <w:tcPr>
            <w:tcW w:w="869" w:type="dxa"/>
            <w:tcBorders>
              <w:top w:val="single" w:sz="4" w:space="0" w:color="auto"/>
              <w:left w:val="nil"/>
              <w:bottom w:val="nil"/>
              <w:right w:val="nil"/>
            </w:tcBorders>
            <w:shd w:val="clear" w:color="auto" w:fill="auto"/>
            <w:vAlign w:val="bottom"/>
          </w:tcPr>
          <w:p w14:paraId="4BE6B4EC" w14:textId="78C3D2CA" w:rsidR="00C43471" w:rsidRPr="00C43471" w:rsidRDefault="00C43471" w:rsidP="00C43471">
            <w:pPr>
              <w:pStyle w:val="Tabelltext"/>
              <w:keepNext/>
              <w:jc w:val="right"/>
              <w:rPr>
                <w:szCs w:val="18"/>
              </w:rPr>
            </w:pPr>
            <w:r w:rsidRPr="00C43471">
              <w:rPr>
                <w:rFonts w:ascii="Calibri" w:hAnsi="Calibri" w:cs="Calibri"/>
                <w:color w:val="000000"/>
                <w:szCs w:val="18"/>
              </w:rPr>
              <w:t>0,2014</w:t>
            </w:r>
          </w:p>
        </w:tc>
        <w:tc>
          <w:tcPr>
            <w:tcW w:w="868" w:type="dxa"/>
            <w:tcBorders>
              <w:top w:val="single" w:sz="4" w:space="0" w:color="auto"/>
              <w:left w:val="nil"/>
              <w:bottom w:val="nil"/>
              <w:right w:val="nil"/>
            </w:tcBorders>
            <w:shd w:val="clear" w:color="auto" w:fill="auto"/>
            <w:vAlign w:val="bottom"/>
          </w:tcPr>
          <w:p w14:paraId="6CB7967A" w14:textId="7595F9D3" w:rsidR="00C43471" w:rsidRPr="00C43471" w:rsidRDefault="00C43471" w:rsidP="00C43471">
            <w:pPr>
              <w:pStyle w:val="Tabelltext"/>
              <w:keepNext/>
              <w:jc w:val="right"/>
              <w:rPr>
                <w:szCs w:val="18"/>
              </w:rPr>
            </w:pPr>
            <w:r w:rsidRPr="00C43471">
              <w:rPr>
                <w:rFonts w:ascii="Calibri" w:hAnsi="Calibri" w:cs="Calibri"/>
                <w:color w:val="000000"/>
                <w:szCs w:val="18"/>
              </w:rPr>
              <w:t>-0,20405</w:t>
            </w:r>
          </w:p>
        </w:tc>
        <w:tc>
          <w:tcPr>
            <w:tcW w:w="868" w:type="dxa"/>
            <w:tcBorders>
              <w:top w:val="single" w:sz="4" w:space="0" w:color="auto"/>
              <w:left w:val="nil"/>
              <w:bottom w:val="nil"/>
              <w:right w:val="nil"/>
            </w:tcBorders>
            <w:shd w:val="clear" w:color="auto" w:fill="auto"/>
            <w:vAlign w:val="bottom"/>
          </w:tcPr>
          <w:p w14:paraId="5A14B0DE" w14:textId="68D1D3E4" w:rsidR="00C43471" w:rsidRPr="00C43471" w:rsidRDefault="00C43471" w:rsidP="00C43471">
            <w:pPr>
              <w:pStyle w:val="Tabelltext"/>
              <w:keepNext/>
              <w:jc w:val="right"/>
              <w:rPr>
                <w:szCs w:val="18"/>
              </w:rPr>
            </w:pPr>
            <w:r w:rsidRPr="00C43471">
              <w:rPr>
                <w:rFonts w:ascii="Calibri" w:hAnsi="Calibri" w:cs="Calibri"/>
                <w:color w:val="000000"/>
                <w:szCs w:val="18"/>
              </w:rPr>
              <w:t>-0,1537</w:t>
            </w:r>
          </w:p>
        </w:tc>
        <w:tc>
          <w:tcPr>
            <w:tcW w:w="868" w:type="dxa"/>
            <w:tcBorders>
              <w:top w:val="single" w:sz="4" w:space="0" w:color="auto"/>
              <w:left w:val="nil"/>
              <w:bottom w:val="nil"/>
              <w:right w:val="nil"/>
            </w:tcBorders>
            <w:shd w:val="clear" w:color="auto" w:fill="auto"/>
            <w:vAlign w:val="bottom"/>
          </w:tcPr>
          <w:p w14:paraId="66D219E0" w14:textId="1D23F993" w:rsidR="00C43471" w:rsidRPr="00C43471" w:rsidRDefault="00C43471" w:rsidP="00C43471">
            <w:pPr>
              <w:pStyle w:val="Tabelltext"/>
              <w:keepNext/>
              <w:jc w:val="right"/>
              <w:rPr>
                <w:szCs w:val="18"/>
              </w:rPr>
            </w:pPr>
            <w:r w:rsidRPr="00C43471">
              <w:rPr>
                <w:rFonts w:ascii="Calibri" w:hAnsi="Calibri" w:cs="Calibri"/>
                <w:color w:val="000000"/>
                <w:szCs w:val="18"/>
              </w:rPr>
              <w:t>-0,1166</w:t>
            </w:r>
          </w:p>
        </w:tc>
        <w:tc>
          <w:tcPr>
            <w:tcW w:w="869" w:type="dxa"/>
            <w:tcBorders>
              <w:top w:val="single" w:sz="4" w:space="0" w:color="auto"/>
              <w:left w:val="nil"/>
              <w:bottom w:val="nil"/>
              <w:right w:val="single" w:sz="4" w:space="0" w:color="auto"/>
            </w:tcBorders>
            <w:shd w:val="clear" w:color="auto" w:fill="auto"/>
            <w:vAlign w:val="bottom"/>
          </w:tcPr>
          <w:p w14:paraId="25378F6D" w14:textId="562AF485" w:rsidR="00C43471" w:rsidRPr="00C43471" w:rsidRDefault="00C43471" w:rsidP="00C43471">
            <w:pPr>
              <w:pStyle w:val="Tabelltext"/>
              <w:keepNext/>
              <w:jc w:val="right"/>
              <w:rPr>
                <w:szCs w:val="18"/>
              </w:rPr>
            </w:pPr>
            <w:r w:rsidRPr="00C43471">
              <w:rPr>
                <w:rFonts w:ascii="Calibri" w:hAnsi="Calibri" w:cs="Calibri"/>
                <w:color w:val="000000"/>
                <w:szCs w:val="18"/>
              </w:rPr>
              <w:t>-0,08745</w:t>
            </w:r>
          </w:p>
        </w:tc>
      </w:tr>
    </w:tbl>
    <w:p w14:paraId="35EFCADD" w14:textId="77777777" w:rsidR="00283B7D" w:rsidRDefault="00283B7D" w:rsidP="00283B7D">
      <w:pPr>
        <w:pStyle w:val="ANormal"/>
      </w:pPr>
    </w:p>
    <w:p w14:paraId="25B04E53" w14:textId="77B9853D" w:rsidR="00B53F8D" w:rsidRDefault="00B53F8D" w:rsidP="00B53F8D">
      <w:pPr>
        <w:pStyle w:val="ANormal"/>
      </w:pPr>
    </w:p>
    <w:p w14:paraId="2339731E" w14:textId="755FD1D8" w:rsidR="00B53F8D" w:rsidRDefault="00B53F8D" w:rsidP="00B53F8D">
      <w:pPr>
        <w:pStyle w:val="RubrikB"/>
      </w:pPr>
      <w:bookmarkStart w:id="12" w:name="_Toc34912542"/>
      <w:r>
        <w:t>4. Förslagets retroaktiva verkan</w:t>
      </w:r>
      <w:bookmarkEnd w:id="12"/>
    </w:p>
    <w:p w14:paraId="78023B2F" w14:textId="08A573B0" w:rsidR="00B53F8D" w:rsidRDefault="00B53F8D" w:rsidP="00B53F8D">
      <w:pPr>
        <w:pStyle w:val="Rubrikmellanrum"/>
      </w:pPr>
    </w:p>
    <w:p w14:paraId="5AF95E79" w14:textId="06C2A7FE" w:rsidR="00F5362A" w:rsidRDefault="00F5362A" w:rsidP="00F5362A">
      <w:pPr>
        <w:pStyle w:val="ANormal"/>
      </w:pPr>
      <w:r>
        <w:t>De föreslagna ändringarna av kommunalskattesatserna för samfund och samfällda förmåner innebär i praktiken att skattesatserna höjs med 0,</w:t>
      </w:r>
      <w:r w:rsidR="00552AE5">
        <w:t>166</w:t>
      </w:r>
      <w:r>
        <w:t xml:space="preserve"> respektive 0,2</w:t>
      </w:r>
      <w:r w:rsidR="00552AE5">
        <w:t>1995</w:t>
      </w:r>
      <w:r>
        <w:t> procentenheter för skatteåret 20</w:t>
      </w:r>
      <w:r w:rsidR="00552AE5">
        <w:t>20</w:t>
      </w:r>
      <w:r>
        <w:t>. Denna höjning skulle dessutom vara retroaktiv och gälla från skatteårets början.</w:t>
      </w:r>
    </w:p>
    <w:p w14:paraId="2BAA3953" w14:textId="77777777" w:rsidR="00F5362A" w:rsidRDefault="00F5362A" w:rsidP="00F5362A">
      <w:pPr>
        <w:pStyle w:val="ANormal"/>
      </w:pPr>
      <w:r>
        <w:tab/>
        <w:t>Frågan om retroaktiv skattelagstiftning är problematisk, men har utretts tidigare i ett liknande sammanhang. Även i det fallet gällde det en höjning av kommunalskattesatsen för samfund som gjordes för att behålla den totala skattesatsen på samma nivå som</w:t>
      </w:r>
      <w:r w:rsidRPr="00532476">
        <w:t xml:space="preserve"> </w:t>
      </w:r>
      <w:r>
        <w:t xml:space="preserve">tidigare. Skatteåret 2009 var den totala samfundsskattesatsen 26 % fram till den 4 juni 2009 då den i landskapet retroaktivt från årets början sänktes till 23,4 %. Sänkningen var en följd av att staten </w:t>
      </w:r>
      <w:r>
        <w:lastRenderedPageBreak/>
        <w:t>sänkte sin andel av samfundsskatten, en sänkning som alltså skulle gälla retroaktivt från den 1 januari 2009. I riket höjdes kommunernas och församlingarnas andelar så att den totala skattesatsen fortsättningsvis var 26 %. När lagtinget i november 2009 antog landskapslagen (2010/14) om temporär ändring av kommunalskattelagen innebar den att kommunalskattesatsen för samfund höjdes med 2,6 procentenheter så att den totala skattesatsen återgick till 26 %. Höjningen skulle gälla retroaktivt från den 1 januari 2009 (se FR 23/2008–2009).</w:t>
      </w:r>
    </w:p>
    <w:p w14:paraId="3C65F82C" w14:textId="77777777" w:rsidR="00F5362A" w:rsidRDefault="00F5362A" w:rsidP="00F5362A">
      <w:pPr>
        <w:pStyle w:val="ANormal"/>
      </w:pPr>
      <w:r>
        <w:tab/>
        <w:t>I sitt utlåtande över den ovan nämnda landskapslagen konstaterar Högsta domstolen att grundlagen inte innehåller något generellt förbud mot retroaktiv skattelagstiftning. Domstolen hänvisar till grundlagsutskottet som i ett utlåtande (GrUU 1/2009) anser att man utifrån allmänna rättsprinciper, såsom kraven på förutsebarhet och skälighet, ska undvika skattelagstiftning med retroaktiv verkan,</w:t>
      </w:r>
      <w:r w:rsidRPr="00D0189A">
        <w:t xml:space="preserve"> </w:t>
      </w:r>
      <w:r>
        <w:t>men att det ändå i enskilda fall kan finnas särdrag som gör det möjligt att anta sådan lagstiftning. Slutligen kom Högsta domstolen till slutsatsen att den retroaktiva verkan i landskapslagen inte var särskilt omfattande samt att lagens ekonomiska verkan, med beaktande av höjningens storlek och den retroaktiva verkans kortvarighet, inte var särskilt betydande. På grund av dessa omständigheter ansåg domstolen inte att förutsebarheten påverkades nämnvärt och att det heller inte var fråga om en oskälig ändring. Högsta domstolen ansåg därför att den nämnda landskapslagen utgjorde ett sådant undantagsfall att retroaktiv skattelagstiftning var möjlig. Landskapslagen trädde sedermera i kraft den 1 april 2010.</w:t>
      </w:r>
    </w:p>
    <w:p w14:paraId="4E53D2EB" w14:textId="09AF2F9C" w:rsidR="00B53F8D" w:rsidRDefault="00F5362A" w:rsidP="00F5362A">
      <w:pPr>
        <w:pStyle w:val="ANormal"/>
      </w:pPr>
      <w:r>
        <w:tab/>
        <w:t>Den här föreslagna höjningen av skattesatserna för samfund och samfällda förmåner för skatteåret 20</w:t>
      </w:r>
      <w:r w:rsidR="00552AE5">
        <w:t>20</w:t>
      </w:r>
      <w:r>
        <w:t xml:space="preserve"> kan jämföras med den ovan nämnda höjningen 2009. Sett ur de skattskyldigas synvinkel har skattesatsen varit 2</w:t>
      </w:r>
      <w:r w:rsidR="00552AE5">
        <w:t>0</w:t>
      </w:r>
      <w:r>
        <w:t> % respektive 2</w:t>
      </w:r>
      <w:r w:rsidR="00552AE5">
        <w:t>6,5</w:t>
      </w:r>
      <w:r>
        <w:t> % fram till den 1 januari 20</w:t>
      </w:r>
      <w:r w:rsidR="00552AE5">
        <w:t>20</w:t>
      </w:r>
      <w:r>
        <w:t>, då den sänktes med 0,</w:t>
      </w:r>
      <w:r w:rsidR="00552AE5">
        <w:t>166</w:t>
      </w:r>
      <w:r>
        <w:t xml:space="preserve"> respektive 0,</w:t>
      </w:r>
      <w:r w:rsidR="00552AE5">
        <w:t>21995</w:t>
      </w:r>
      <w:r>
        <w:t> procentenheter. Sänkningen skedde genom en ändring av lagen om skatteredovisning som riksdagen fattade beslut om den 1</w:t>
      </w:r>
      <w:r w:rsidR="00552AE5">
        <w:t>1</w:t>
      </w:r>
      <w:r>
        <w:t> december 201</w:t>
      </w:r>
      <w:r w:rsidR="00552AE5">
        <w:t>9</w:t>
      </w:r>
      <w:r>
        <w:t xml:space="preserve"> och som stadfästes av presidenten den </w:t>
      </w:r>
      <w:r w:rsidR="00552AE5">
        <w:t>30</w:t>
      </w:r>
      <w:r>
        <w:t xml:space="preserve"> december (FFS </w:t>
      </w:r>
      <w:r w:rsidR="00552AE5">
        <w:t>1573</w:t>
      </w:r>
      <w:r>
        <w:t>/201</w:t>
      </w:r>
      <w:r w:rsidR="00552AE5">
        <w:t>9</w:t>
      </w:r>
      <w:r>
        <w:t>). Det har inte från landskapsregeringens sida funnits några planer på att sänka skattesatserna för samfund och samfällda förmåner, som skulle ha medfört att de skattskyldiga skulle kunna förvänta sig en sänkning av de totala skattesatserna. Mot denna bakgrund vill landskapsregeringen hävda att en höjning av kommunalskattesatserna för samfund och samfällda förmåner så att de totala skattesatserna återigen blir 2</w:t>
      </w:r>
      <w:r w:rsidR="00552AE5">
        <w:t>0</w:t>
      </w:r>
      <w:r>
        <w:t xml:space="preserve"> respektive 2</w:t>
      </w:r>
      <w:r w:rsidR="00552AE5">
        <w:t>6,5</w:t>
      </w:r>
      <w:r>
        <w:t> % uppfyller kraven på förutsebarhet samt att den inte kan betraktas som oskälig.</w:t>
      </w:r>
    </w:p>
    <w:p w14:paraId="6FA8EB5E" w14:textId="3E5A58EA" w:rsidR="00B53F8D" w:rsidRDefault="00B53F8D" w:rsidP="00B53F8D">
      <w:pPr>
        <w:pStyle w:val="ANormal"/>
      </w:pPr>
    </w:p>
    <w:p w14:paraId="2B11F07C" w14:textId="1FE8CC9C" w:rsidR="00B53F8D" w:rsidRDefault="00B53F8D" w:rsidP="00B53F8D">
      <w:pPr>
        <w:pStyle w:val="RubrikB"/>
      </w:pPr>
      <w:bookmarkStart w:id="13" w:name="_Toc34912543"/>
      <w:r>
        <w:t>5. Förslagets konsekvenser</w:t>
      </w:r>
      <w:bookmarkEnd w:id="13"/>
    </w:p>
    <w:p w14:paraId="40FE4B7F" w14:textId="76A32445" w:rsidR="00B53F8D" w:rsidRDefault="00B53F8D" w:rsidP="00B53F8D">
      <w:pPr>
        <w:pStyle w:val="Rubrikmellanrum"/>
      </w:pPr>
    </w:p>
    <w:p w14:paraId="6BB362CD" w14:textId="6FC2A09D" w:rsidR="00B53F8D" w:rsidRDefault="00F96C95" w:rsidP="00B53F8D">
      <w:pPr>
        <w:pStyle w:val="ANormal"/>
      </w:pPr>
      <w:r>
        <w:t>Förslaget har ekonomiska konsekvenser för de skattskyldiga och för kommunerna som skattetagare.</w:t>
      </w:r>
    </w:p>
    <w:p w14:paraId="7593CE2C" w14:textId="3677EB2A" w:rsidR="006D46DC" w:rsidRDefault="00F1395D" w:rsidP="00B53F8D">
      <w:pPr>
        <w:pStyle w:val="ANormal"/>
      </w:pPr>
      <w:r>
        <w:tab/>
        <w:t>Den föreslagna landskapslagen om skattelättnader vid kommunalbeskattningen för skatteåren 20</w:t>
      </w:r>
      <w:r w:rsidR="00E81B83">
        <w:t>20</w:t>
      </w:r>
      <w:r>
        <w:t>–20</w:t>
      </w:r>
      <w:r w:rsidR="00E81B83">
        <w:t>23</w:t>
      </w:r>
      <w:r>
        <w:t xml:space="preserve"> innebär </w:t>
      </w:r>
      <w:r w:rsidR="00DE60A5">
        <w:t xml:space="preserve">att </w:t>
      </w:r>
      <w:r>
        <w:t>avdragsmöjligheter</w:t>
      </w:r>
      <w:r w:rsidR="00DE60A5">
        <w:t>na</w:t>
      </w:r>
      <w:r>
        <w:t xml:space="preserve"> </w:t>
      </w:r>
      <w:r w:rsidR="00DE60A5">
        <w:t xml:space="preserve">för </w:t>
      </w:r>
      <w:r w:rsidR="00F5368A">
        <w:t>företag och</w:t>
      </w:r>
      <w:r w:rsidR="00DE60A5">
        <w:t xml:space="preserve"> andra skattskyldiga som bedriver näringsverksamhet eller jordbruk ökar </w:t>
      </w:r>
      <w:r>
        <w:t xml:space="preserve">under </w:t>
      </w:r>
      <w:r w:rsidR="007F4436">
        <w:t xml:space="preserve">dessa </w:t>
      </w:r>
      <w:r>
        <w:t xml:space="preserve">år. </w:t>
      </w:r>
      <w:r w:rsidR="00BC2B70">
        <w:t xml:space="preserve">De föreslagna ändringarna av kommunalskattesatsen innebär </w:t>
      </w:r>
      <w:r w:rsidR="0003121E">
        <w:t>i sig</w:t>
      </w:r>
      <w:r w:rsidR="00BC2B70">
        <w:t xml:space="preserve"> en </w:t>
      </w:r>
      <w:r w:rsidR="0003121E">
        <w:t xml:space="preserve">marginell </w:t>
      </w:r>
      <w:r w:rsidR="00BC2B70">
        <w:t xml:space="preserve">skattehöjning för företagen under åren 2020–2023. </w:t>
      </w:r>
      <w:r w:rsidR="0003121E">
        <w:t>Därefter</w:t>
      </w:r>
      <w:r w:rsidR="00BC2B70">
        <w:t xml:space="preserve"> </w:t>
      </w:r>
      <w:r w:rsidR="0003121E">
        <w:t>sker</w:t>
      </w:r>
      <w:r w:rsidR="00BC2B70">
        <w:t xml:space="preserve"> en</w:t>
      </w:r>
      <w:r w:rsidR="0003121E">
        <w:t xml:space="preserve"> lika marginell</w:t>
      </w:r>
      <w:r w:rsidR="00BC2B70">
        <w:t xml:space="preserve"> skattesänkning under perioden 2024–2027</w:t>
      </w:r>
      <w:r w:rsidR="0003121E">
        <w:t>,</w:t>
      </w:r>
      <w:r w:rsidR="00BC2B70">
        <w:t xml:space="preserve"> </w:t>
      </w:r>
      <w:r w:rsidR="0003121E">
        <w:t>och s</w:t>
      </w:r>
      <w:r w:rsidR="00BC2B70">
        <w:t>ett över hela tidsperioden kommer den totala skattesatsen för samfund att vara konstant 20 %.</w:t>
      </w:r>
      <w:r w:rsidR="0003121E" w:rsidRPr="0003121E">
        <w:t xml:space="preserve"> </w:t>
      </w:r>
      <w:r w:rsidR="0003121E">
        <w:t>Dessutom betyder det att man undviker de rent praktiska svårigheter som skulle uppstå vid genomförandet av beskattningen.</w:t>
      </w:r>
    </w:p>
    <w:p w14:paraId="711D915C" w14:textId="47F4F0C2" w:rsidR="0003121E" w:rsidRDefault="0003121E" w:rsidP="0003121E">
      <w:pPr>
        <w:pStyle w:val="ANormal"/>
      </w:pPr>
      <w:r>
        <w:tab/>
        <w:t xml:space="preserve">För samfällda förmåner </w:t>
      </w:r>
      <w:r w:rsidR="00610DBB">
        <w:t>betyder</w:t>
      </w:r>
      <w:r>
        <w:t xml:space="preserve"> de föreslagna ändringarna av kommunalskattesatsen motsvarande förändringar som för samfunden, det vill säga en marginell höjning under åren 2020–2023 och därefter en sänkning under åren 2024–2027. Även för dem gäller att den totala skattesatsen för samfällda förmåner under tidsperioden kommer att vara konstant 26,5 %.</w:t>
      </w:r>
    </w:p>
    <w:p w14:paraId="18992451" w14:textId="3E3056F3" w:rsidR="001A0335" w:rsidRDefault="00610DBB" w:rsidP="001A0335">
      <w:pPr>
        <w:pStyle w:val="ANormal"/>
      </w:pPr>
      <w:r>
        <w:lastRenderedPageBreak/>
        <w:tab/>
      </w:r>
      <w:r w:rsidR="00AF03E2">
        <w:t>D</w:t>
      </w:r>
      <w:r>
        <w:t xml:space="preserve">en föreslagna landskapslagen om skattelättnader </w:t>
      </w:r>
      <w:r w:rsidR="00AF03E2">
        <w:t xml:space="preserve">påverkar kommunernas intäkter från samfundsskatten. Utöver samfunden får även sammanslutningar, näringsidkare och jordbrukare rätt till höjda avskrivningar, vilket till viss del även påverkar intäkterna från skatten på förvärvsinkomster. Enligt de beräkningar som redogörs för i propositionen till riksdagen leder förslaget till minskade skatteintäkter under åren 2020–2023. </w:t>
      </w:r>
      <w:r w:rsidR="00621F21">
        <w:t>Men eftersom ändringen gäller periodiseringen av beskattningsbar inkomst omvandlas det bortfall av skatteintäkter som realiserats under dessa år till en ökning av skatteintäkterna från och med 2024. De beräknade effekterna har legat till grund för</w:t>
      </w:r>
      <w:r w:rsidR="001A0335">
        <w:t xml:space="preserve"> den ändrade fördelningen av samfundsskatten (se vidare RP</w:t>
      </w:r>
      <w:r w:rsidR="00F1365C">
        <w:t xml:space="preserve"> 85/2019</w:t>
      </w:r>
      <w:r w:rsidR="001A0335">
        <w:t>). De ändringar av skattesatserna för samfund och samfällda förmåner som ingår i det här lagförslaget motsvarar den ändrade fördelningen</w:t>
      </w:r>
      <w:r w:rsidR="009F19B7">
        <w:t>. De ändrade skattesatserna bedöms således motverka effekterna av de föreslagna möjligheterna till höjda avskrivningar, så att kommunernas skatteintäkter inte ska påverkas.</w:t>
      </w:r>
    </w:p>
    <w:p w14:paraId="0AA4F369" w14:textId="7AC7089A" w:rsidR="009F19B7" w:rsidRDefault="008E6B3A" w:rsidP="009F19B7">
      <w:pPr>
        <w:pStyle w:val="ANormal"/>
      </w:pPr>
      <w:r>
        <w:tab/>
        <w:t xml:space="preserve">Möjligheten till höjda avskrivningar gäller alla nya maskiner och anläggningar, vilket innebär att systemet i princip inte styr investeringarna med tanke på miljökonsekvenserna. Genom den föreslagna ändringen förväntas en viss ökning av nya investeringar, och i de fall där dessa förbättrar energieffektiviteten eller främjar cirkulär ekonomi kan konsekvenserna för miljön bedömas vara positiva. Det är dock inte möjligt att som helhet bedöma förslagets miljökonsekvenser. </w:t>
      </w:r>
      <w:r w:rsidR="009F19B7">
        <w:t xml:space="preserve">För övrigt har förslaget </w:t>
      </w:r>
      <w:r>
        <w:t>varken några</w:t>
      </w:r>
      <w:r w:rsidR="009F19B7">
        <w:t xml:space="preserve"> kända organisatoriska</w:t>
      </w:r>
      <w:r>
        <w:t xml:space="preserve"> effekter</w:t>
      </w:r>
      <w:r w:rsidR="009F19B7">
        <w:t xml:space="preserve"> eller </w:t>
      </w:r>
      <w:r>
        <w:t xml:space="preserve">konsekvenser </w:t>
      </w:r>
      <w:r w:rsidR="009F19B7">
        <w:t>för jämställdheten mellan kvinnor och män.</w:t>
      </w:r>
    </w:p>
    <w:p w14:paraId="60EC9904" w14:textId="77777777" w:rsidR="001A0335" w:rsidRDefault="001A0335" w:rsidP="001A0335">
      <w:pPr>
        <w:pStyle w:val="ANormal"/>
      </w:pPr>
    </w:p>
    <w:p w14:paraId="02931DD2" w14:textId="1C2F683D" w:rsidR="00B53F8D" w:rsidRDefault="00B53F8D" w:rsidP="00B53F8D">
      <w:pPr>
        <w:pStyle w:val="RubrikB"/>
      </w:pPr>
      <w:bookmarkStart w:id="14" w:name="_Toc34912544"/>
      <w:r>
        <w:t>6. Beredningen av förslaget och dess ikraftträdande</w:t>
      </w:r>
      <w:bookmarkEnd w:id="14"/>
    </w:p>
    <w:p w14:paraId="61BEA973" w14:textId="6A7790F1" w:rsidR="00B53F8D" w:rsidRDefault="00B53F8D" w:rsidP="00B53F8D">
      <w:pPr>
        <w:pStyle w:val="Rubrikmellanrum"/>
      </w:pPr>
    </w:p>
    <w:p w14:paraId="60A36655" w14:textId="712F8AAE" w:rsidR="00176899" w:rsidRDefault="00176899" w:rsidP="00176899">
      <w:pPr>
        <w:pStyle w:val="ANormal"/>
      </w:pPr>
      <w:r>
        <w:t xml:space="preserve">Förlaget har beretts vid lagberedningen. Med hänvisning till att delar av förslaget är avsedda att tillämpas retroaktivt från och med ingången av 2020 är det av stor vikt att det kan träda i kraft så snart som möjligt. Landskapsregeringen föreslår därför att tidpunkten för ikraftträdande lämnas öppen. </w:t>
      </w:r>
    </w:p>
    <w:p w14:paraId="47E822C2" w14:textId="190EC386" w:rsidR="00C303FC" w:rsidRDefault="00C303FC" w:rsidP="00176899">
      <w:pPr>
        <w:pStyle w:val="ANormal"/>
      </w:pPr>
      <w:r>
        <w:tab/>
        <w:t>Lagförslaget har skickats på remiss till Ålands kommunförbund och Mariehamns stad.</w:t>
      </w:r>
      <w:r w:rsidR="007D67E3">
        <w:t xml:space="preserve"> Kommunförbundet omfattar och stöder förslaget, medan Mariehamns stad inte har givit något yttrande.</w:t>
      </w:r>
    </w:p>
    <w:p w14:paraId="41A03D19" w14:textId="717C910D" w:rsidR="00B53F8D" w:rsidRDefault="00B53F8D">
      <w:pPr>
        <w:pStyle w:val="ANormal"/>
      </w:pPr>
    </w:p>
    <w:p w14:paraId="56E46297" w14:textId="77777777" w:rsidR="00AF3004" w:rsidRDefault="00AF3004">
      <w:pPr>
        <w:pStyle w:val="RubrikA"/>
      </w:pPr>
      <w:r>
        <w:br w:type="page"/>
      </w:r>
      <w:bookmarkStart w:id="15" w:name="_Toc34912545"/>
      <w:r>
        <w:lastRenderedPageBreak/>
        <w:t>Lagtext</w:t>
      </w:r>
      <w:bookmarkEnd w:id="15"/>
    </w:p>
    <w:p w14:paraId="12A730CC" w14:textId="77777777" w:rsidR="00AF3004" w:rsidRDefault="00AF3004">
      <w:pPr>
        <w:pStyle w:val="Rubrikmellanrum"/>
      </w:pPr>
    </w:p>
    <w:p w14:paraId="3307B1D7" w14:textId="6FBEBE66" w:rsidR="00AF3004" w:rsidRDefault="00AF3004">
      <w:pPr>
        <w:pStyle w:val="ANormal"/>
      </w:pPr>
      <w:r>
        <w:t>Landskapsregeringen föreslår att följande lag</w:t>
      </w:r>
      <w:r w:rsidR="00F23C2B">
        <w:t>ar</w:t>
      </w:r>
      <w:r>
        <w:t xml:space="preserve"> antas.</w:t>
      </w:r>
    </w:p>
    <w:p w14:paraId="493E53A1" w14:textId="77777777" w:rsidR="00AF3004" w:rsidRDefault="00AF3004">
      <w:pPr>
        <w:pStyle w:val="ANormal"/>
      </w:pPr>
    </w:p>
    <w:p w14:paraId="771B2F1C" w14:textId="77777777" w:rsidR="00AF3004" w:rsidRDefault="00AF3004">
      <w:pPr>
        <w:pStyle w:val="ANormal"/>
        <w:rPr>
          <w:lang w:val="en-GB"/>
        </w:rPr>
      </w:pPr>
      <w:r>
        <w:rPr>
          <w:lang w:val="en-GB"/>
        </w:rPr>
        <w:t>1.</w:t>
      </w:r>
    </w:p>
    <w:p w14:paraId="68EB4D64" w14:textId="0EC9671C" w:rsidR="00AF3004" w:rsidRDefault="00AF3004">
      <w:pPr>
        <w:pStyle w:val="LagHuvRubr"/>
        <w:rPr>
          <w:lang w:val="en-GB"/>
        </w:rPr>
      </w:pPr>
      <w:bookmarkStart w:id="16" w:name="_Toc34912546"/>
      <w:r>
        <w:rPr>
          <w:lang w:val="en-GB"/>
        </w:rPr>
        <w:t>L A N D S K A P S L A G</w:t>
      </w:r>
      <w:r>
        <w:rPr>
          <w:lang w:val="en-GB"/>
        </w:rPr>
        <w:br/>
      </w:r>
      <w:r w:rsidR="00932F60" w:rsidRPr="00932F60">
        <w:rPr>
          <w:lang w:val="sv-FI"/>
        </w:rPr>
        <w:t>om</w:t>
      </w:r>
      <w:r w:rsidR="00932F60" w:rsidRPr="00932F60">
        <w:rPr>
          <w:lang w:val="en-GB"/>
        </w:rPr>
        <w:t xml:space="preserve"> </w:t>
      </w:r>
      <w:r w:rsidR="00932F60" w:rsidRPr="00932F60">
        <w:rPr>
          <w:lang w:val="sv-FI"/>
        </w:rPr>
        <w:t>skattelättnader vid kommunalbeskattningen för skatteåren 20</w:t>
      </w:r>
      <w:r w:rsidR="00932F60">
        <w:rPr>
          <w:lang w:val="sv-FI"/>
        </w:rPr>
        <w:t>20</w:t>
      </w:r>
      <w:r w:rsidR="00932F60" w:rsidRPr="00932F60">
        <w:rPr>
          <w:lang w:val="sv-FI"/>
        </w:rPr>
        <w:t>–20</w:t>
      </w:r>
      <w:r w:rsidR="00932F60">
        <w:rPr>
          <w:lang w:val="sv-FI"/>
        </w:rPr>
        <w:t>23</w:t>
      </w:r>
      <w:bookmarkEnd w:id="16"/>
    </w:p>
    <w:p w14:paraId="2604D7DC" w14:textId="77777777" w:rsidR="00AF3004" w:rsidRDefault="00AF3004">
      <w:pPr>
        <w:pStyle w:val="ANormal"/>
        <w:rPr>
          <w:lang w:val="en-GB"/>
        </w:rPr>
      </w:pPr>
    </w:p>
    <w:p w14:paraId="22D9E74B" w14:textId="721B6226" w:rsidR="00AF3004" w:rsidRDefault="00AF3004">
      <w:pPr>
        <w:pStyle w:val="ANormal"/>
      </w:pPr>
      <w:r>
        <w:tab/>
        <w:t>I enlighet med lagtingets beslut föreskrivs:</w:t>
      </w:r>
    </w:p>
    <w:p w14:paraId="1F914F75" w14:textId="77777777" w:rsidR="00F1395D" w:rsidRDefault="00F1395D">
      <w:pPr>
        <w:pStyle w:val="ANormal"/>
      </w:pPr>
    </w:p>
    <w:p w14:paraId="029700F1" w14:textId="7C697331" w:rsidR="00F1395D" w:rsidRDefault="00F1395D" w:rsidP="00F1395D">
      <w:pPr>
        <w:pStyle w:val="LagParagraf"/>
      </w:pPr>
      <w:r>
        <w:t>1</w:t>
      </w:r>
      <w:r w:rsidR="00F23C2B">
        <w:t> §</w:t>
      </w:r>
    </w:p>
    <w:p w14:paraId="6FA0B7DB" w14:textId="42FE15AC" w:rsidR="00FE1F1B" w:rsidRDefault="00FE1F1B" w:rsidP="00F1395D">
      <w:pPr>
        <w:pStyle w:val="ANormal"/>
      </w:pPr>
      <w:r>
        <w:tab/>
        <w:t>Skattskyldiga som bedriver näringsverksamhet eller jordbruk har rätt att</w:t>
      </w:r>
      <w:r w:rsidRPr="00FE1F1B">
        <w:t xml:space="preserve"> </w:t>
      </w:r>
      <w:r>
        <w:t>i kommunalbeskattningen</w:t>
      </w:r>
      <w:r w:rsidRPr="00FE1F1B">
        <w:t xml:space="preserve"> </w:t>
      </w:r>
      <w:r>
        <w:t>dra av anskaffningsutgifterna för maskiner, inventarier och andra därmed jämförbara lösa anläggningstillgångar som används i näringsverksamhet eller jordbruk och som tas i bruk under kalenderåren 2020–2023 på det sätt som föreskrivs i</w:t>
      </w:r>
      <w:r w:rsidRPr="00FE1F1B">
        <w:t xml:space="preserve"> </w:t>
      </w:r>
      <w:r>
        <w:t>lagen om höjda avskrivningar på maskiner, inventarier och andra därmed jämförbara lösa anläggningstillgångar skatteåren 2020–2023 (FFS 1572/2019).</w:t>
      </w:r>
    </w:p>
    <w:p w14:paraId="79E76158" w14:textId="77777777" w:rsidR="00F1395D" w:rsidRDefault="00F1395D" w:rsidP="00F1395D">
      <w:pPr>
        <w:pStyle w:val="ANormal"/>
      </w:pPr>
    </w:p>
    <w:p w14:paraId="4E2A7A39" w14:textId="48E06164" w:rsidR="00F1395D" w:rsidRDefault="00F1395D" w:rsidP="00F1395D">
      <w:pPr>
        <w:pStyle w:val="LagParagraf"/>
      </w:pPr>
      <w:r>
        <w:t>2</w:t>
      </w:r>
      <w:r w:rsidR="00F23C2B">
        <w:t> §</w:t>
      </w:r>
    </w:p>
    <w:p w14:paraId="1A7BA0E2" w14:textId="6EB57701" w:rsidR="00815FD5" w:rsidRDefault="00F1395D" w:rsidP="00F1395D">
      <w:pPr>
        <w:pStyle w:val="ANormal"/>
      </w:pPr>
      <w:r>
        <w:tab/>
      </w:r>
      <w:r w:rsidR="00FA2EE9">
        <w:t xml:space="preserve">Lagen om höjda avskrivningar på maskiner, inventarier och andra därmed jämförbara lösa anläggningstillgångar skatteåren 2020–2023 </w:t>
      </w:r>
      <w:r w:rsidRPr="0038045C">
        <w:t xml:space="preserve">ska tillämpas </w:t>
      </w:r>
      <w:r w:rsidR="00815FD5">
        <w:t>med de avvikelser som anges i denna lag</w:t>
      </w:r>
      <w:r w:rsidRPr="0038045C">
        <w:t xml:space="preserve">. </w:t>
      </w:r>
      <w:r w:rsidR="00815FD5">
        <w:t>Ä</w:t>
      </w:r>
      <w:r w:rsidRPr="0038045C">
        <w:t xml:space="preserve">ndringar </w:t>
      </w:r>
      <w:r w:rsidR="00815FD5">
        <w:t>i</w:t>
      </w:r>
      <w:r w:rsidRPr="0038045C">
        <w:t xml:space="preserve"> </w:t>
      </w:r>
      <w:r w:rsidR="008E2735">
        <w:t xml:space="preserve">den nämnda </w:t>
      </w:r>
      <w:r w:rsidR="00FA2EE9">
        <w:t>lag</w:t>
      </w:r>
      <w:r>
        <w:t>e</w:t>
      </w:r>
      <w:r w:rsidR="00FA2EE9">
        <w:t>n</w:t>
      </w:r>
      <w:r w:rsidRPr="0038045C">
        <w:t xml:space="preserve"> ska </w:t>
      </w:r>
      <w:r w:rsidR="00815FD5">
        <w:t>tillämpas på Åland</w:t>
      </w:r>
      <w:r w:rsidRPr="0038045C">
        <w:t xml:space="preserve"> från </w:t>
      </w:r>
      <w:r w:rsidR="00815FD5">
        <w:t>att de träder i kraft</w:t>
      </w:r>
      <w:r w:rsidRPr="0038045C">
        <w:t xml:space="preserve"> i riket. </w:t>
      </w:r>
    </w:p>
    <w:p w14:paraId="5BBF8B54" w14:textId="5FAF5A5E" w:rsidR="00F1395D" w:rsidRDefault="00F1395D" w:rsidP="00F1395D">
      <w:pPr>
        <w:pStyle w:val="ANormal"/>
      </w:pPr>
      <w:r>
        <w:tab/>
      </w:r>
      <w:r w:rsidR="00FA2EE9">
        <w:t xml:space="preserve">Hänvisningar i lagen om höjda avskrivningar på maskiner, inventarier och andra därmed jämförbara lösa anläggningstillgångar skatteåren 2020–2023 </w:t>
      </w:r>
      <w:r>
        <w:t xml:space="preserve">till bestämmelser i rikslagstiftningen </w:t>
      </w:r>
      <w:r w:rsidR="00FA2EE9">
        <w:t xml:space="preserve">ska avse </w:t>
      </w:r>
      <w:r>
        <w:t>motsvarande bestämmelser i landskapslagstiftningen.</w:t>
      </w:r>
    </w:p>
    <w:p w14:paraId="5E50F5A6" w14:textId="77777777" w:rsidR="00F1395D" w:rsidRDefault="00F1395D" w:rsidP="00F1395D">
      <w:pPr>
        <w:pStyle w:val="ANormal"/>
      </w:pPr>
    </w:p>
    <w:p w14:paraId="62ECBCDE" w14:textId="548F2C5C" w:rsidR="00F1395D" w:rsidRDefault="0058529C" w:rsidP="00F1395D">
      <w:pPr>
        <w:pStyle w:val="LagParagraf"/>
      </w:pPr>
      <w:r>
        <w:t>3</w:t>
      </w:r>
      <w:r w:rsidR="00F23C2B">
        <w:t> §</w:t>
      </w:r>
    </w:p>
    <w:p w14:paraId="2F166924" w14:textId="77777777" w:rsidR="00F1395D" w:rsidRDefault="00F1395D" w:rsidP="00F1395D">
      <w:pPr>
        <w:pStyle w:val="ANormal"/>
      </w:pPr>
      <w:r>
        <w:tab/>
        <w:t xml:space="preserve">Denna lag träder i kraft den … </w:t>
      </w:r>
    </w:p>
    <w:p w14:paraId="09CC516A" w14:textId="039B4333" w:rsidR="00F1395D" w:rsidRPr="000B4A4E" w:rsidRDefault="00F1395D" w:rsidP="00F1395D">
      <w:pPr>
        <w:pStyle w:val="ANormal"/>
      </w:pPr>
      <w:r>
        <w:tab/>
        <w:t>Lagen tillämpas vid kommunalbeskattningen för skatteåren 20</w:t>
      </w:r>
      <w:r w:rsidR="00FA2EE9">
        <w:t>20</w:t>
      </w:r>
      <w:r>
        <w:t>–20</w:t>
      </w:r>
      <w:r w:rsidR="00FA2EE9">
        <w:t>23</w:t>
      </w:r>
      <w:r>
        <w:t>.</w:t>
      </w:r>
    </w:p>
    <w:p w14:paraId="06E82AF5" w14:textId="127C03CB" w:rsidR="004666D6" w:rsidRDefault="004666D6">
      <w:pPr>
        <w:pStyle w:val="ANormal"/>
      </w:pPr>
    </w:p>
    <w:p w14:paraId="0BD52A0A" w14:textId="77777777" w:rsidR="00F23C2B" w:rsidRDefault="0069176B">
      <w:pPr>
        <w:pStyle w:val="ANormal"/>
        <w:jc w:val="center"/>
      </w:pPr>
      <w:hyperlink w:anchor="_top" w:tooltip="Klicka för att gå till toppen av dokumentet" w:history="1">
        <w:r w:rsidR="00F23C2B">
          <w:rPr>
            <w:rStyle w:val="Hyperlnk"/>
          </w:rPr>
          <w:t>__________________</w:t>
        </w:r>
      </w:hyperlink>
    </w:p>
    <w:p w14:paraId="3AAA3ACB" w14:textId="77777777" w:rsidR="00F23C2B" w:rsidRDefault="00F23C2B">
      <w:pPr>
        <w:pStyle w:val="ANormal"/>
      </w:pPr>
    </w:p>
    <w:p w14:paraId="176D73F7" w14:textId="79846E96" w:rsidR="005C71D2" w:rsidRDefault="004666D6" w:rsidP="005C71D2">
      <w:pPr>
        <w:pStyle w:val="ANormal"/>
        <w:rPr>
          <w:lang w:val="en-GB"/>
        </w:rPr>
      </w:pPr>
      <w:r>
        <w:rPr>
          <w:lang w:val="en-GB"/>
        </w:rPr>
        <w:t>2</w:t>
      </w:r>
      <w:r w:rsidR="005C71D2">
        <w:rPr>
          <w:lang w:val="en-GB"/>
        </w:rPr>
        <w:t>.</w:t>
      </w:r>
    </w:p>
    <w:p w14:paraId="62F56982" w14:textId="249E3100" w:rsidR="00932F60" w:rsidRPr="00932F60" w:rsidRDefault="005C71D2" w:rsidP="00932F60">
      <w:pPr>
        <w:pStyle w:val="LagHuvRubr"/>
        <w:rPr>
          <w:lang w:val="en-GB"/>
        </w:rPr>
      </w:pPr>
      <w:bookmarkStart w:id="17" w:name="_Toc34912547"/>
      <w:r>
        <w:rPr>
          <w:lang w:val="en-GB"/>
        </w:rPr>
        <w:t>L A N D S K A P S L A G</w:t>
      </w:r>
      <w:r>
        <w:rPr>
          <w:lang w:val="en-GB"/>
        </w:rPr>
        <w:br/>
      </w:r>
      <w:r w:rsidR="00932F60" w:rsidRPr="00932F60">
        <w:rPr>
          <w:lang w:val="sv-FI"/>
        </w:rPr>
        <w:t>om</w:t>
      </w:r>
      <w:r w:rsidR="00932F60" w:rsidRPr="00932F60">
        <w:rPr>
          <w:lang w:val="en-GB"/>
        </w:rPr>
        <w:t xml:space="preserve"> </w:t>
      </w:r>
      <w:r w:rsidR="00932F60" w:rsidRPr="00932F60">
        <w:rPr>
          <w:lang w:val="sv-FI"/>
        </w:rPr>
        <w:t>temporär ändring av</w:t>
      </w:r>
      <w:r w:rsidR="00932F60" w:rsidRPr="00932F60">
        <w:rPr>
          <w:lang w:val="en-GB"/>
        </w:rPr>
        <w:t xml:space="preserve"> </w:t>
      </w:r>
      <w:r w:rsidR="00932F60" w:rsidRPr="00932F60">
        <w:rPr>
          <w:lang w:val="sv-FI"/>
        </w:rPr>
        <w:t>kommunalskattelagen</w:t>
      </w:r>
      <w:r w:rsidR="00932F60" w:rsidRPr="00932F60">
        <w:rPr>
          <w:lang w:val="en-GB"/>
        </w:rPr>
        <w:t xml:space="preserve"> </w:t>
      </w:r>
      <w:r w:rsidR="00932F60" w:rsidRPr="00932F60">
        <w:rPr>
          <w:lang w:val="sv-FI"/>
        </w:rPr>
        <w:t>för</w:t>
      </w:r>
      <w:r w:rsidR="00932F60" w:rsidRPr="00932F60">
        <w:rPr>
          <w:lang w:val="en-GB"/>
        </w:rPr>
        <w:t xml:space="preserve"> </w:t>
      </w:r>
      <w:r w:rsidR="00932F60" w:rsidRPr="00932F60">
        <w:rPr>
          <w:lang w:val="sv-FI"/>
        </w:rPr>
        <w:t>landskapet</w:t>
      </w:r>
      <w:r w:rsidR="00932F60" w:rsidRPr="00932F60">
        <w:rPr>
          <w:lang w:val="en-GB"/>
        </w:rPr>
        <w:t xml:space="preserve"> </w:t>
      </w:r>
      <w:r w:rsidR="00932F60" w:rsidRPr="00932F60">
        <w:rPr>
          <w:lang w:val="sv-FI"/>
        </w:rPr>
        <w:t>Åland</w:t>
      </w:r>
      <w:bookmarkEnd w:id="17"/>
    </w:p>
    <w:p w14:paraId="5DF93F5B" w14:textId="77777777" w:rsidR="005C71D2" w:rsidRDefault="005C71D2" w:rsidP="005C71D2">
      <w:pPr>
        <w:pStyle w:val="ANormal"/>
        <w:rPr>
          <w:lang w:val="en-GB"/>
        </w:rPr>
      </w:pPr>
    </w:p>
    <w:p w14:paraId="3E006166" w14:textId="57EC3032" w:rsidR="005C71D2" w:rsidRDefault="005C71D2" w:rsidP="005C71D2">
      <w:pPr>
        <w:pStyle w:val="ANormal"/>
      </w:pPr>
      <w:r>
        <w:tab/>
        <w:t xml:space="preserve">I enlighet med lagtingets beslut </w:t>
      </w:r>
      <w:r w:rsidR="00932F60" w:rsidRPr="000F115F">
        <w:rPr>
          <w:b/>
          <w:bCs/>
        </w:rPr>
        <w:t>fogas</w:t>
      </w:r>
      <w:r w:rsidR="00932F60">
        <w:t xml:space="preserve"> temporärt </w:t>
      </w:r>
      <w:r w:rsidR="000F115F">
        <w:t xml:space="preserve">till kommunalskattelagen (2011:119) för landskapet Åland </w:t>
      </w:r>
      <w:r w:rsidR="00932F60">
        <w:t xml:space="preserve">en ny </w:t>
      </w:r>
      <w:r w:rsidR="000F115F">
        <w:t>29f</w:t>
      </w:r>
      <w:r w:rsidR="00F23C2B">
        <w:t> §</w:t>
      </w:r>
      <w:r w:rsidR="000F115F">
        <w:t xml:space="preserve"> som följer</w:t>
      </w:r>
      <w:r>
        <w:t>:</w:t>
      </w:r>
    </w:p>
    <w:p w14:paraId="07BFA397" w14:textId="5DF380FD" w:rsidR="00FA2EE9" w:rsidRDefault="00FA2EE9" w:rsidP="005C71D2">
      <w:pPr>
        <w:pStyle w:val="ANormal"/>
      </w:pPr>
    </w:p>
    <w:p w14:paraId="06A16DF3" w14:textId="2EF81950" w:rsidR="00D03392" w:rsidRDefault="00D03392" w:rsidP="00D03392">
      <w:pPr>
        <w:pStyle w:val="LagParagraf"/>
      </w:pPr>
      <w:r>
        <w:t>29f</w:t>
      </w:r>
      <w:r w:rsidR="00F23C2B">
        <w:t> §</w:t>
      </w:r>
    </w:p>
    <w:p w14:paraId="7A03C5CF" w14:textId="4179E09A" w:rsidR="00D03392" w:rsidRDefault="00D03392" w:rsidP="00D03392">
      <w:pPr>
        <w:pStyle w:val="LagPararubrik"/>
      </w:pPr>
      <w:r>
        <w:t>Kommunalskattesatsen för skatteåren 2020–2027</w:t>
      </w:r>
    </w:p>
    <w:p w14:paraId="4CD647F4" w14:textId="51CA362A" w:rsidR="00D03392" w:rsidRDefault="00D03392" w:rsidP="00D03392">
      <w:pPr>
        <w:pStyle w:val="ANormal"/>
      </w:pPr>
      <w:r>
        <w:tab/>
        <w:t>Med avvikelse från 29</w:t>
      </w:r>
      <w:r w:rsidR="00F23C2B">
        <w:t> §</w:t>
      </w:r>
      <w:r>
        <w:t xml:space="preserve"> ska </w:t>
      </w:r>
    </w:p>
    <w:p w14:paraId="7DC8A1CA" w14:textId="4D8DA5F5" w:rsidR="00D03392" w:rsidRDefault="00D03392" w:rsidP="00D03392">
      <w:pPr>
        <w:pStyle w:val="ANormal"/>
      </w:pPr>
      <w:r>
        <w:tab/>
        <w:t xml:space="preserve">1) samfund betala </w:t>
      </w:r>
      <w:r w:rsidR="0048502E">
        <w:t>6,426</w:t>
      </w:r>
      <w:r>
        <w:t xml:space="preserve"> procent och samfällda förmåner 8,</w:t>
      </w:r>
      <w:r w:rsidR="0048502E">
        <w:t>51445</w:t>
      </w:r>
      <w:r>
        <w:t xml:space="preserve"> procent i kommunalskatt på den beskattningsbara inkomsten vid beskattningen för skatteåret 2020</w:t>
      </w:r>
      <w:r w:rsidR="0048502E">
        <w:t>,</w:t>
      </w:r>
    </w:p>
    <w:p w14:paraId="377EC402" w14:textId="39BD76A2" w:rsidR="0048502E" w:rsidRDefault="0048502E" w:rsidP="0048502E">
      <w:pPr>
        <w:pStyle w:val="ANormal"/>
      </w:pPr>
      <w:r>
        <w:tab/>
        <w:t>2) samfund betala 6,448 procent och samfällda förmåner 8,5436 procent i kommunalskatt på den beskattningsbara inkomsten vid beskattningen för skatteåret 2021,</w:t>
      </w:r>
    </w:p>
    <w:p w14:paraId="422D1BC0" w14:textId="3BE85761" w:rsidR="0048502E" w:rsidRDefault="0048502E" w:rsidP="0048502E">
      <w:pPr>
        <w:pStyle w:val="ANormal"/>
      </w:pPr>
      <w:r>
        <w:tab/>
        <w:t>3) samfund betala 6,436 procent och samfällda förmåner 8,5277 procent i kommunalskatt på den beskattningsbara inkomsten vid beskattningen för skatteåret 2022,</w:t>
      </w:r>
    </w:p>
    <w:p w14:paraId="589C6315" w14:textId="2E1793E3" w:rsidR="0048502E" w:rsidRDefault="0048502E" w:rsidP="0048502E">
      <w:pPr>
        <w:pStyle w:val="ANormal"/>
      </w:pPr>
      <w:r>
        <w:lastRenderedPageBreak/>
        <w:tab/>
        <w:t>4) samfund betala 6,412 procent och samfällda förmåner 8,4959 procent i kommunalskatt på den beskattningsbara inkomsten vid beskattningen för skatteåret 2023,</w:t>
      </w:r>
    </w:p>
    <w:p w14:paraId="56B02E62" w14:textId="40FED00D" w:rsidR="0048502E" w:rsidRDefault="0048502E" w:rsidP="0048502E">
      <w:pPr>
        <w:pStyle w:val="ANormal"/>
      </w:pPr>
      <w:r>
        <w:tab/>
        <w:t>5) samfund betala 6,106 procent och samfällda förmåner 8,09045 procent i kommunalskatt på den beskattningsbara inkomsten vid beskattningen för skatteåret 2024,</w:t>
      </w:r>
    </w:p>
    <w:p w14:paraId="3955885E" w14:textId="62F2670C" w:rsidR="0048502E" w:rsidRDefault="0048502E" w:rsidP="0048502E">
      <w:pPr>
        <w:pStyle w:val="ANormal"/>
      </w:pPr>
      <w:r>
        <w:tab/>
        <w:t>6) samfund betala 6,144 procent och samfällda förmåner 8,1408 procent i kommunalskatt på den beskattningsbara inkomsten vid beskattningen för skatteåret 2025,</w:t>
      </w:r>
    </w:p>
    <w:p w14:paraId="3920DF2F" w14:textId="14AD0DC0" w:rsidR="0048502E" w:rsidRDefault="0048502E" w:rsidP="0048502E">
      <w:pPr>
        <w:pStyle w:val="ANormal"/>
      </w:pPr>
      <w:r>
        <w:tab/>
        <w:t>7) samfund betala 6,172 procent och samfällda förmåner 8,1779 procent i kommunalskatt på den beskattningsbara inkomsten vid beskattningen för skatteåret 2026,</w:t>
      </w:r>
    </w:p>
    <w:p w14:paraId="660E5E28" w14:textId="46314EDB" w:rsidR="0048502E" w:rsidRDefault="0048502E" w:rsidP="0048502E">
      <w:pPr>
        <w:pStyle w:val="ANormal"/>
      </w:pPr>
      <w:r>
        <w:tab/>
        <w:t>8) samfund betala 6,194 procent och samfällda förmåner 8,20705 procent i kommunalskatt på den beskattningsbara inkomsten vid beskattningen för skatteåret 2027</w:t>
      </w:r>
      <w:r w:rsidR="00601652">
        <w:t>.</w:t>
      </w:r>
    </w:p>
    <w:p w14:paraId="0BBA8C0A" w14:textId="77777777" w:rsidR="00F23C2B" w:rsidRDefault="0069176B">
      <w:pPr>
        <w:pStyle w:val="ANormal"/>
        <w:jc w:val="center"/>
      </w:pPr>
      <w:hyperlink w:anchor="_top" w:tooltip="Klicka för att gå till toppen av dokumentet" w:history="1">
        <w:r w:rsidR="00F23C2B">
          <w:rPr>
            <w:rStyle w:val="Hyperlnk"/>
          </w:rPr>
          <w:t>__________________</w:t>
        </w:r>
      </w:hyperlink>
    </w:p>
    <w:p w14:paraId="6988F6D9" w14:textId="4672DF23" w:rsidR="005C71D2" w:rsidRPr="00F23C2B" w:rsidRDefault="005C71D2" w:rsidP="00F23C2B">
      <w:pPr>
        <w:pStyle w:val="ANormal"/>
        <w:rPr>
          <w:rStyle w:val="Hyperlnk"/>
          <w:color w:val="auto"/>
        </w:rPr>
      </w:pPr>
    </w:p>
    <w:p w14:paraId="63311B70" w14:textId="08B08CDA" w:rsidR="00601652" w:rsidRDefault="00601652" w:rsidP="00601652">
      <w:pPr>
        <w:pStyle w:val="ANormal"/>
      </w:pPr>
      <w:r>
        <w:tab/>
        <w:t xml:space="preserve">Denna lag träder i kraft den … </w:t>
      </w:r>
      <w:r w:rsidR="00FE0C8E">
        <w:t>Lagen</w:t>
      </w:r>
      <w:r>
        <w:t xml:space="preserve"> gäller till och med den 31 december 2027 och tillämpas vid beskattningen för skatteåren 20</w:t>
      </w:r>
      <w:r w:rsidR="00FE0C8E">
        <w:t>20–2027.</w:t>
      </w:r>
    </w:p>
    <w:p w14:paraId="6DF67040" w14:textId="63D72C10" w:rsidR="00601652" w:rsidRDefault="00601652" w:rsidP="00601652">
      <w:pPr>
        <w:pStyle w:val="ANormal"/>
      </w:pPr>
      <w:r>
        <w:tab/>
        <w:t>Vid den första redovisningen av skatt till kommunerna efter att lagen har trätt i kraft rättas de redovisningar som gäller skatteåret 20</w:t>
      </w:r>
      <w:r w:rsidR="00FE0C8E">
        <w:t>20</w:t>
      </w:r>
      <w:r>
        <w:t xml:space="preserve"> så att de motsvarar denna lag.</w:t>
      </w:r>
    </w:p>
    <w:p w14:paraId="794FECF1" w14:textId="77777777" w:rsidR="00601652" w:rsidRDefault="00601652" w:rsidP="005C71D2">
      <w:pPr>
        <w:pStyle w:val="ANormal"/>
      </w:pPr>
    </w:p>
    <w:p w14:paraId="2083A4F6"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6FDDCC03" w14:textId="77777777">
        <w:trPr>
          <w:cantSplit/>
        </w:trPr>
        <w:tc>
          <w:tcPr>
            <w:tcW w:w="7931" w:type="dxa"/>
            <w:gridSpan w:val="2"/>
          </w:tcPr>
          <w:p w14:paraId="755C455C" w14:textId="1E7D6D18" w:rsidR="00AF3004" w:rsidRDefault="00AF3004">
            <w:pPr>
              <w:pStyle w:val="ANormal"/>
              <w:keepNext/>
            </w:pPr>
            <w:r>
              <w:t xml:space="preserve">Mariehamn den </w:t>
            </w:r>
            <w:r w:rsidR="00CB683E">
              <w:t>12 mars 2020</w:t>
            </w:r>
          </w:p>
        </w:tc>
      </w:tr>
      <w:tr w:rsidR="00AF3004" w14:paraId="09100783" w14:textId="77777777">
        <w:tc>
          <w:tcPr>
            <w:tcW w:w="4454" w:type="dxa"/>
            <w:vAlign w:val="bottom"/>
          </w:tcPr>
          <w:p w14:paraId="2AE87704" w14:textId="77777777" w:rsidR="00AF3004" w:rsidRDefault="00AF3004">
            <w:pPr>
              <w:pStyle w:val="ANormal"/>
              <w:keepNext/>
            </w:pPr>
          </w:p>
          <w:p w14:paraId="332AABE5" w14:textId="77777777" w:rsidR="00AF3004" w:rsidRDefault="00AF3004">
            <w:pPr>
              <w:pStyle w:val="ANormal"/>
              <w:keepNext/>
            </w:pPr>
          </w:p>
          <w:p w14:paraId="0711490F" w14:textId="5DBEA9FF" w:rsidR="00AF3004" w:rsidRDefault="00CB683E">
            <w:pPr>
              <w:pStyle w:val="ANormal"/>
              <w:keepNext/>
            </w:pPr>
            <w:r>
              <w:t>Vicelantråd</w:t>
            </w:r>
          </w:p>
        </w:tc>
        <w:tc>
          <w:tcPr>
            <w:tcW w:w="3477" w:type="dxa"/>
            <w:vAlign w:val="bottom"/>
          </w:tcPr>
          <w:p w14:paraId="3D2C8843" w14:textId="77777777" w:rsidR="00AF3004" w:rsidRDefault="00AF3004">
            <w:pPr>
              <w:pStyle w:val="ANormal"/>
              <w:keepNext/>
            </w:pPr>
          </w:p>
          <w:p w14:paraId="70743493" w14:textId="77777777" w:rsidR="00AF3004" w:rsidRDefault="00AF3004">
            <w:pPr>
              <w:pStyle w:val="ANormal"/>
              <w:keepNext/>
            </w:pPr>
          </w:p>
          <w:p w14:paraId="3511DB1F" w14:textId="2D93AB8C" w:rsidR="00AF3004" w:rsidRDefault="00CB683E">
            <w:pPr>
              <w:pStyle w:val="ANormal"/>
              <w:keepNext/>
            </w:pPr>
            <w:r>
              <w:t>Harry Jansson</w:t>
            </w:r>
          </w:p>
        </w:tc>
      </w:tr>
      <w:tr w:rsidR="00AF3004" w14:paraId="763DAA0B" w14:textId="77777777">
        <w:tc>
          <w:tcPr>
            <w:tcW w:w="4454" w:type="dxa"/>
            <w:vAlign w:val="bottom"/>
          </w:tcPr>
          <w:p w14:paraId="46FCD87F" w14:textId="77777777" w:rsidR="00AF3004" w:rsidRDefault="00AF3004">
            <w:pPr>
              <w:pStyle w:val="ANormal"/>
              <w:keepNext/>
            </w:pPr>
          </w:p>
          <w:p w14:paraId="6D0A6AE8" w14:textId="77777777" w:rsidR="00AF3004" w:rsidRDefault="00AF3004">
            <w:pPr>
              <w:pStyle w:val="ANormal"/>
              <w:keepNext/>
            </w:pPr>
          </w:p>
          <w:p w14:paraId="43B44044" w14:textId="77777777" w:rsidR="00AF3004" w:rsidRDefault="00AF3004">
            <w:pPr>
              <w:pStyle w:val="ANormal"/>
              <w:keepNext/>
            </w:pPr>
            <w:r>
              <w:t xml:space="preserve">Föredragande </w:t>
            </w:r>
            <w:r w:rsidR="00894166">
              <w:t>minister</w:t>
            </w:r>
          </w:p>
        </w:tc>
        <w:tc>
          <w:tcPr>
            <w:tcW w:w="3477" w:type="dxa"/>
            <w:vAlign w:val="bottom"/>
          </w:tcPr>
          <w:p w14:paraId="75123F73" w14:textId="77777777" w:rsidR="00AF3004" w:rsidRDefault="00AF3004">
            <w:pPr>
              <w:pStyle w:val="ANormal"/>
              <w:keepNext/>
            </w:pPr>
          </w:p>
          <w:p w14:paraId="58191B4F" w14:textId="77777777" w:rsidR="00AF3004" w:rsidRDefault="00AF3004">
            <w:pPr>
              <w:pStyle w:val="ANormal"/>
              <w:keepNext/>
            </w:pPr>
          </w:p>
          <w:p w14:paraId="56397B57" w14:textId="2F32FC8A" w:rsidR="00AF3004" w:rsidRDefault="00F04A22">
            <w:pPr>
              <w:pStyle w:val="ANormal"/>
              <w:keepNext/>
            </w:pPr>
            <w:r>
              <w:t>Torbjörn Eliasson</w:t>
            </w:r>
          </w:p>
        </w:tc>
      </w:tr>
    </w:tbl>
    <w:p w14:paraId="36B16859" w14:textId="26E219A1" w:rsidR="00B81F63" w:rsidRDefault="00B81F63">
      <w:pPr>
        <w:pStyle w:val="ANormal"/>
      </w:pPr>
    </w:p>
    <w:p w14:paraId="4AFE04D6" w14:textId="77777777" w:rsidR="00B81F63" w:rsidRDefault="00B81F63">
      <w:pPr>
        <w:rPr>
          <w:sz w:val="22"/>
          <w:szCs w:val="20"/>
          <w:lang w:val="sv-SE"/>
        </w:rPr>
      </w:pPr>
      <w:r>
        <w:br w:type="page"/>
      </w:r>
    </w:p>
    <w:p w14:paraId="71495F83" w14:textId="0A78500F" w:rsidR="00AF3004" w:rsidRDefault="00B81F63" w:rsidP="00B04BCF">
      <w:pPr>
        <w:pStyle w:val="RubrikA"/>
      </w:pPr>
      <w:bookmarkStart w:id="18" w:name="_Toc34912548"/>
      <w:r>
        <w:lastRenderedPageBreak/>
        <w:t>Bilaga</w:t>
      </w:r>
      <w:r w:rsidR="003701F2">
        <w:t>: FFS 1572/2019</w:t>
      </w:r>
      <w:bookmarkEnd w:id="18"/>
    </w:p>
    <w:p w14:paraId="78E0FE7D" w14:textId="4EE838FA" w:rsidR="00B81F63" w:rsidRDefault="00B81F63" w:rsidP="00B81F63">
      <w:pPr>
        <w:pStyle w:val="Rubrikmellanrum"/>
      </w:pPr>
    </w:p>
    <w:p w14:paraId="3DDEB53F" w14:textId="77777777" w:rsidR="00481678" w:rsidRPr="00481678" w:rsidRDefault="00481678" w:rsidP="00481678">
      <w:pPr>
        <w:pStyle w:val="ANormal"/>
      </w:pPr>
    </w:p>
    <w:p w14:paraId="33E1799C" w14:textId="77777777" w:rsidR="00481678" w:rsidRPr="00481678" w:rsidRDefault="00481678" w:rsidP="00481678">
      <w:pPr>
        <w:pStyle w:val="ANormal"/>
      </w:pPr>
    </w:p>
    <w:p w14:paraId="21103D30" w14:textId="13EBF7E6" w:rsidR="00B81F63" w:rsidRDefault="00B81F63" w:rsidP="00481678">
      <w:pPr>
        <w:pStyle w:val="LagHuvRubr"/>
      </w:pPr>
      <w:bookmarkStart w:id="19" w:name="_Toc34912549"/>
      <w:r>
        <w:t>L</w:t>
      </w:r>
      <w:r w:rsidR="00A95424">
        <w:t xml:space="preserve">ag </w:t>
      </w:r>
      <w:r>
        <w:t>om höjda avskrivningar på maskiner, inventarier och andra därmed jämförbara lösa anläggningstillgångar skatteåren 2020–2023</w:t>
      </w:r>
      <w:bookmarkEnd w:id="19"/>
    </w:p>
    <w:p w14:paraId="3E8D2275" w14:textId="77777777" w:rsidR="00481678" w:rsidRDefault="00481678" w:rsidP="00B81F63">
      <w:pPr>
        <w:pStyle w:val="ANormal"/>
      </w:pPr>
    </w:p>
    <w:p w14:paraId="07082D04" w14:textId="0C46F9F8" w:rsidR="00B81F63" w:rsidRDefault="00481678" w:rsidP="00B81F63">
      <w:pPr>
        <w:pStyle w:val="ANormal"/>
      </w:pPr>
      <w:r>
        <w:tab/>
      </w:r>
      <w:r w:rsidR="00B81F63">
        <w:t>I enlighet med riksdagens beslut föreskrivs:</w:t>
      </w:r>
    </w:p>
    <w:p w14:paraId="5FB39465" w14:textId="77777777" w:rsidR="00B81F63" w:rsidRDefault="00B81F63" w:rsidP="00B81F63">
      <w:pPr>
        <w:pStyle w:val="ANormal"/>
      </w:pPr>
    </w:p>
    <w:p w14:paraId="0750CB66" w14:textId="13567112" w:rsidR="00B81F63" w:rsidRDefault="00B81F63" w:rsidP="00481678">
      <w:pPr>
        <w:pStyle w:val="LagParagraf"/>
      </w:pPr>
      <w:r>
        <w:t>1</w:t>
      </w:r>
      <w:r w:rsidR="00F23C2B">
        <w:t> §</w:t>
      </w:r>
    </w:p>
    <w:p w14:paraId="4197C053" w14:textId="77777777" w:rsidR="00B81F63" w:rsidRDefault="00B81F63" w:rsidP="00481678">
      <w:pPr>
        <w:pStyle w:val="LagPararubrik"/>
      </w:pPr>
      <w:r>
        <w:t>Tillämpningsområde</w:t>
      </w:r>
    </w:p>
    <w:p w14:paraId="75BA19CC" w14:textId="067D047E" w:rsidR="00B81F63" w:rsidRDefault="00481678" w:rsidP="00B81F63">
      <w:pPr>
        <w:pStyle w:val="ANormal"/>
      </w:pPr>
      <w:r>
        <w:tab/>
      </w:r>
      <w:r w:rsidR="00B81F63">
        <w:t>Skattskyldiga som bedriver näringsverksamhet eller jordbruk har rätt att vid beskattningen, på det sätt som föreskrivs i denna lag, dra av anskaffningsutgifterna för sådana maskiner, inventarier eller därmed jämförbara lösa anläggningstillgångar enligt 2</w:t>
      </w:r>
      <w:r w:rsidR="00F23C2B">
        <w:t> §</w:t>
      </w:r>
      <w:r w:rsidR="00B81F63">
        <w:t xml:space="preserve"> som används i näringsverksamhet eller jordbruk och som de tagit i bruk under kalenderåren 2020–2023.</w:t>
      </w:r>
    </w:p>
    <w:p w14:paraId="7F7CABA7" w14:textId="77777777" w:rsidR="00B81F63" w:rsidRDefault="00B81F63" w:rsidP="00B81F63">
      <w:pPr>
        <w:pStyle w:val="ANormal"/>
      </w:pPr>
    </w:p>
    <w:p w14:paraId="6CD2324E" w14:textId="072E1DE4" w:rsidR="00B81F63" w:rsidRDefault="00B81F63" w:rsidP="00481678">
      <w:pPr>
        <w:pStyle w:val="LagParagraf"/>
      </w:pPr>
      <w:r>
        <w:t>2</w:t>
      </w:r>
      <w:r w:rsidR="00F23C2B">
        <w:t> §</w:t>
      </w:r>
    </w:p>
    <w:p w14:paraId="56E0D84A" w14:textId="77777777" w:rsidR="00B81F63" w:rsidRDefault="00B81F63" w:rsidP="00481678">
      <w:pPr>
        <w:pStyle w:val="LagPararubrik"/>
      </w:pPr>
      <w:r>
        <w:t>Höjd avskrivning på maskiner, inventarier och andra därmed jämförbara lösa anläggningstillgångar</w:t>
      </w:r>
    </w:p>
    <w:p w14:paraId="0AD675C3" w14:textId="37B1EDA7" w:rsidR="00B81F63" w:rsidRDefault="00481678" w:rsidP="00B81F63">
      <w:pPr>
        <w:pStyle w:val="ANormal"/>
      </w:pPr>
      <w:r>
        <w:tab/>
      </w:r>
      <w:r w:rsidR="00B81F63">
        <w:t>Med avvikelse från 30</w:t>
      </w:r>
      <w:r w:rsidR="00F23C2B">
        <w:t> §</w:t>
      </w:r>
      <w:r w:rsidR="00B81F63">
        <w:t xml:space="preserve"> i lagen om beskattning av inkomst av näringsverksamhet (360/1968) och 8</w:t>
      </w:r>
      <w:r w:rsidR="00F23C2B">
        <w:t> §</w:t>
      </w:r>
      <w:r w:rsidR="00B81F63">
        <w:t xml:space="preserve"> i inkomstskattelagen för gårdsbruk (543/1967) får de avskrivningar som skatteåren 2020–2023 görs på anskaffningsutgiften för nya maskiner, inventarier eller andra därmed jämförbara lösa anläggningstillgångar vara högst 50 procent av den oavskrivna anskaffningsutgiften för maskinen eller anläggningen.</w:t>
      </w:r>
    </w:p>
    <w:p w14:paraId="5660541A" w14:textId="72E6026C" w:rsidR="00B81F63" w:rsidRDefault="00481678" w:rsidP="00B81F63">
      <w:pPr>
        <w:pStyle w:val="ANormal"/>
      </w:pPr>
      <w:r>
        <w:tab/>
      </w:r>
      <w:r w:rsidR="00B81F63">
        <w:t>Höjd avskrivning får göras det skatteår då de lösa anläggningstillgångarna har tagits i bruk samt de därpå följande skatteåren under den tid denna lag är i kraft.</w:t>
      </w:r>
    </w:p>
    <w:p w14:paraId="4887527F" w14:textId="77777777" w:rsidR="00B81F63" w:rsidRDefault="00B81F63" w:rsidP="00B81F63">
      <w:pPr>
        <w:pStyle w:val="ANormal"/>
      </w:pPr>
    </w:p>
    <w:p w14:paraId="0A749EF1" w14:textId="022D7D97" w:rsidR="00B81F63" w:rsidRDefault="00B81F63" w:rsidP="00481678">
      <w:pPr>
        <w:pStyle w:val="LagParagraf"/>
      </w:pPr>
      <w:r>
        <w:t>3</w:t>
      </w:r>
      <w:r w:rsidR="00F23C2B">
        <w:t> §</w:t>
      </w:r>
    </w:p>
    <w:p w14:paraId="37023DFF" w14:textId="77777777" w:rsidR="00B81F63" w:rsidRDefault="00B81F63" w:rsidP="00481678">
      <w:pPr>
        <w:pStyle w:val="LagPararubrik"/>
      </w:pPr>
      <w:r>
        <w:t>Bokföring och rapportering</w:t>
      </w:r>
    </w:p>
    <w:p w14:paraId="6C112D2F" w14:textId="7CF7DFFF" w:rsidR="00B81F63" w:rsidRDefault="00481678" w:rsidP="00B81F63">
      <w:pPr>
        <w:pStyle w:val="ANormal"/>
      </w:pPr>
      <w:r>
        <w:tab/>
      </w:r>
      <w:r w:rsidR="00B81F63">
        <w:t>En förutsättning för att avskrivningarna enligt denna lag ska kunna dras av i näringsbeskattningen är att den avskrivning som görs på anskaffningsutgiften har dragits av som utgift också i den skattskyldiges bokföring. Den skattskyldige ska med avseende på verkställandet av beskattningen på ett tillförlitligt sätt redogöra för den tidpunkt då tillgångarna togs i bruk. Anskaffningsutgifterna för lösa anläggningstillgångar ska i den skattskyldiges bokföring specificeras så att de lätt kan särskiljas från övriga utgifter.</w:t>
      </w:r>
    </w:p>
    <w:p w14:paraId="69FF6433" w14:textId="77777777" w:rsidR="00B81F63" w:rsidRDefault="00B81F63" w:rsidP="00B81F63">
      <w:pPr>
        <w:pStyle w:val="ANormal"/>
      </w:pPr>
    </w:p>
    <w:p w14:paraId="05B3E9BF" w14:textId="41872D27" w:rsidR="00B81F63" w:rsidRDefault="00B81F63" w:rsidP="00481678">
      <w:pPr>
        <w:pStyle w:val="LagParagraf"/>
      </w:pPr>
      <w:r>
        <w:t>4</w:t>
      </w:r>
      <w:r w:rsidR="00F23C2B">
        <w:t> §</w:t>
      </w:r>
    </w:p>
    <w:p w14:paraId="621B0978" w14:textId="77777777" w:rsidR="00B81F63" w:rsidRDefault="00B81F63" w:rsidP="00481678">
      <w:pPr>
        <w:pStyle w:val="LagPararubrik"/>
      </w:pPr>
      <w:r>
        <w:t>Ikraftträdande</w:t>
      </w:r>
    </w:p>
    <w:p w14:paraId="42472C91" w14:textId="4C5926A8" w:rsidR="00B81F63" w:rsidRDefault="00481678" w:rsidP="00B81F63">
      <w:pPr>
        <w:pStyle w:val="ANormal"/>
      </w:pPr>
      <w:r>
        <w:tab/>
      </w:r>
      <w:r w:rsidR="00B81F63">
        <w:t>Denna lag träder i kraft den 1 januari 2020.</w:t>
      </w:r>
    </w:p>
    <w:p w14:paraId="008D5A92" w14:textId="132CDFF6" w:rsidR="00B81F63" w:rsidRDefault="00481678" w:rsidP="00B81F63">
      <w:pPr>
        <w:pStyle w:val="ANormal"/>
      </w:pPr>
      <w:r>
        <w:tab/>
      </w:r>
      <w:r w:rsidR="00B81F63">
        <w:t>Lagen tillämpas vid beskattningen för skatteåren 2020–2023.</w:t>
      </w:r>
    </w:p>
    <w:p w14:paraId="49D848D6" w14:textId="3B98AD8B" w:rsidR="00B81F63" w:rsidRDefault="00B81F63" w:rsidP="00B81F63">
      <w:pPr>
        <w:pStyle w:val="ANormal"/>
      </w:pPr>
    </w:p>
    <w:p w14:paraId="6B468AC8" w14:textId="77777777" w:rsidR="00481678" w:rsidRDefault="00481678" w:rsidP="00B81F63">
      <w:pPr>
        <w:pStyle w:val="ANormal"/>
      </w:pPr>
    </w:p>
    <w:p w14:paraId="16545A2D" w14:textId="77777777" w:rsidR="00B81F63" w:rsidRDefault="00B81F63" w:rsidP="00481678">
      <w:pPr>
        <w:pStyle w:val="ANormal"/>
        <w:jc w:val="center"/>
      </w:pPr>
      <w:r>
        <w:t>Helsingfors den 30 december 2019</w:t>
      </w:r>
    </w:p>
    <w:p w14:paraId="3D143668" w14:textId="77777777" w:rsidR="00B81F63" w:rsidRDefault="00B81F63" w:rsidP="00481678">
      <w:pPr>
        <w:pStyle w:val="ANormal"/>
        <w:jc w:val="center"/>
      </w:pPr>
    </w:p>
    <w:p w14:paraId="4B780740" w14:textId="77777777" w:rsidR="00B81F63" w:rsidRDefault="00B81F63" w:rsidP="00481678">
      <w:pPr>
        <w:pStyle w:val="ANormal"/>
        <w:jc w:val="center"/>
      </w:pPr>
      <w:r>
        <w:t>Republikens President</w:t>
      </w:r>
    </w:p>
    <w:p w14:paraId="56BB096D" w14:textId="77777777" w:rsidR="00B81F63" w:rsidRDefault="00B81F63" w:rsidP="00481678">
      <w:pPr>
        <w:pStyle w:val="ANormal"/>
        <w:jc w:val="center"/>
      </w:pPr>
      <w:r>
        <w:t>Sauli Niinistö</w:t>
      </w:r>
    </w:p>
    <w:p w14:paraId="60657901" w14:textId="77777777" w:rsidR="00B81F63" w:rsidRDefault="00B81F63" w:rsidP="00481678">
      <w:pPr>
        <w:pStyle w:val="ANormal"/>
        <w:jc w:val="center"/>
      </w:pPr>
    </w:p>
    <w:p w14:paraId="2FE01679" w14:textId="77777777" w:rsidR="00B81F63" w:rsidRDefault="00B81F63" w:rsidP="00481678">
      <w:pPr>
        <w:pStyle w:val="ANormal"/>
        <w:jc w:val="center"/>
      </w:pPr>
      <w:r>
        <w:t>Finansminister</w:t>
      </w:r>
    </w:p>
    <w:p w14:paraId="30C8DF4D" w14:textId="42CAE424" w:rsidR="00B81F63" w:rsidRPr="00B81F63" w:rsidRDefault="00B81F63" w:rsidP="00481678">
      <w:pPr>
        <w:pStyle w:val="ANormal"/>
        <w:jc w:val="center"/>
      </w:pPr>
      <w:r>
        <w:t>Katri Kulmuni</w:t>
      </w:r>
    </w:p>
    <w:sectPr w:rsidR="00B81F63" w:rsidRPr="00B81F63">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1FC7B" w14:textId="77777777" w:rsidR="00B81F63" w:rsidRDefault="00B81F63">
      <w:r>
        <w:separator/>
      </w:r>
    </w:p>
  </w:endnote>
  <w:endnote w:type="continuationSeparator" w:id="0">
    <w:p w14:paraId="7E48CB24" w14:textId="77777777" w:rsidR="00B81F63" w:rsidRDefault="00B8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0FC95" w14:textId="77777777" w:rsidR="00B81F63" w:rsidRDefault="00B81F63">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BE708" w14:textId="29C742A7" w:rsidR="00B81F63" w:rsidRDefault="00F23C2B">
    <w:pPr>
      <w:pStyle w:val="Sidfot"/>
      <w:rPr>
        <w:lang w:val="fi-FI"/>
      </w:rPr>
    </w:pPr>
    <w:r>
      <w:t>LF1220192020.docx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8652C" w14:textId="77777777" w:rsidR="00B81F63" w:rsidRDefault="00B81F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63D67" w14:textId="77777777" w:rsidR="00B81F63" w:rsidRDefault="00B81F63">
      <w:r>
        <w:separator/>
      </w:r>
    </w:p>
  </w:footnote>
  <w:footnote w:type="continuationSeparator" w:id="0">
    <w:p w14:paraId="6B599096" w14:textId="77777777" w:rsidR="00B81F63" w:rsidRDefault="00B81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BA633" w14:textId="77777777" w:rsidR="00B81F63" w:rsidRDefault="00B81F6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3E63C70C" w14:textId="77777777" w:rsidR="00B81F63" w:rsidRDefault="00B81F6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3F19D" w14:textId="77777777" w:rsidR="00B81F63" w:rsidRDefault="00B81F6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072EAE"/>
    <w:multiLevelType w:val="hybridMultilevel"/>
    <w:tmpl w:val="24263162"/>
    <w:lvl w:ilvl="0" w:tplc="98321F40">
      <w:start w:val="3"/>
      <w:numFmt w:val="bullet"/>
      <w:lvlText w:val="-"/>
      <w:lvlJc w:val="left"/>
      <w:pPr>
        <w:ind w:left="720" w:hanging="360"/>
      </w:pPr>
      <w:rPr>
        <w:rFonts w:ascii="Arial" w:eastAsia="Times New Roman"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4"/>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166"/>
    <w:rsid w:val="00003B49"/>
    <w:rsid w:val="000140BF"/>
    <w:rsid w:val="00026BD0"/>
    <w:rsid w:val="0003121E"/>
    <w:rsid w:val="00060672"/>
    <w:rsid w:val="000C1279"/>
    <w:rsid w:val="000F115F"/>
    <w:rsid w:val="001044E9"/>
    <w:rsid w:val="00117E0E"/>
    <w:rsid w:val="00131298"/>
    <w:rsid w:val="00176899"/>
    <w:rsid w:val="00195D5D"/>
    <w:rsid w:val="001A0335"/>
    <w:rsid w:val="00202894"/>
    <w:rsid w:val="00226DA0"/>
    <w:rsid w:val="00283B7D"/>
    <w:rsid w:val="00290AEE"/>
    <w:rsid w:val="002A1230"/>
    <w:rsid w:val="002A394D"/>
    <w:rsid w:val="002A53DE"/>
    <w:rsid w:val="002B78EE"/>
    <w:rsid w:val="002C4E91"/>
    <w:rsid w:val="00300A3E"/>
    <w:rsid w:val="003223EA"/>
    <w:rsid w:val="0033123C"/>
    <w:rsid w:val="00342FC4"/>
    <w:rsid w:val="00361402"/>
    <w:rsid w:val="003701F2"/>
    <w:rsid w:val="003B1EAE"/>
    <w:rsid w:val="003B2EEC"/>
    <w:rsid w:val="003D1EEC"/>
    <w:rsid w:val="00405893"/>
    <w:rsid w:val="00464E03"/>
    <w:rsid w:val="004666D6"/>
    <w:rsid w:val="00474823"/>
    <w:rsid w:val="00481678"/>
    <w:rsid w:val="0048502E"/>
    <w:rsid w:val="004A6BA1"/>
    <w:rsid w:val="004C431B"/>
    <w:rsid w:val="004D27C7"/>
    <w:rsid w:val="004D5946"/>
    <w:rsid w:val="004F0E0E"/>
    <w:rsid w:val="004F5E38"/>
    <w:rsid w:val="0051310F"/>
    <w:rsid w:val="00552AE5"/>
    <w:rsid w:val="0058529C"/>
    <w:rsid w:val="005C71D2"/>
    <w:rsid w:val="005F1DF9"/>
    <w:rsid w:val="00601652"/>
    <w:rsid w:val="00610DBB"/>
    <w:rsid w:val="006126D6"/>
    <w:rsid w:val="00621F21"/>
    <w:rsid w:val="006240E4"/>
    <w:rsid w:val="006566B1"/>
    <w:rsid w:val="00686DC6"/>
    <w:rsid w:val="0069176B"/>
    <w:rsid w:val="006B633C"/>
    <w:rsid w:val="006D46DC"/>
    <w:rsid w:val="006D6214"/>
    <w:rsid w:val="00715B19"/>
    <w:rsid w:val="00722128"/>
    <w:rsid w:val="007927BC"/>
    <w:rsid w:val="007A6E9F"/>
    <w:rsid w:val="007D67E3"/>
    <w:rsid w:val="007E24AB"/>
    <w:rsid w:val="007E5421"/>
    <w:rsid w:val="007F43B6"/>
    <w:rsid w:val="007F4436"/>
    <w:rsid w:val="00815FD5"/>
    <w:rsid w:val="00822131"/>
    <w:rsid w:val="008450DA"/>
    <w:rsid w:val="00847119"/>
    <w:rsid w:val="00857DAF"/>
    <w:rsid w:val="0087261C"/>
    <w:rsid w:val="0087674C"/>
    <w:rsid w:val="00894166"/>
    <w:rsid w:val="008C6C64"/>
    <w:rsid w:val="008E2735"/>
    <w:rsid w:val="008E6B3A"/>
    <w:rsid w:val="00902DBF"/>
    <w:rsid w:val="00932F60"/>
    <w:rsid w:val="00944F2F"/>
    <w:rsid w:val="009821D7"/>
    <w:rsid w:val="009A69E9"/>
    <w:rsid w:val="009C1469"/>
    <w:rsid w:val="009F19B7"/>
    <w:rsid w:val="00A03088"/>
    <w:rsid w:val="00A27705"/>
    <w:rsid w:val="00A32351"/>
    <w:rsid w:val="00A534C0"/>
    <w:rsid w:val="00A617C3"/>
    <w:rsid w:val="00A95424"/>
    <w:rsid w:val="00AB66FA"/>
    <w:rsid w:val="00AE65BC"/>
    <w:rsid w:val="00AF03E2"/>
    <w:rsid w:val="00AF3004"/>
    <w:rsid w:val="00B04BCF"/>
    <w:rsid w:val="00B0651F"/>
    <w:rsid w:val="00B07741"/>
    <w:rsid w:val="00B53F8D"/>
    <w:rsid w:val="00B621D2"/>
    <w:rsid w:val="00B73F4C"/>
    <w:rsid w:val="00B81F63"/>
    <w:rsid w:val="00B83AEF"/>
    <w:rsid w:val="00B86626"/>
    <w:rsid w:val="00BC2B70"/>
    <w:rsid w:val="00BF5354"/>
    <w:rsid w:val="00BF7196"/>
    <w:rsid w:val="00C03B55"/>
    <w:rsid w:val="00C22C30"/>
    <w:rsid w:val="00C303FC"/>
    <w:rsid w:val="00C42F85"/>
    <w:rsid w:val="00C43471"/>
    <w:rsid w:val="00C8056A"/>
    <w:rsid w:val="00C82BF9"/>
    <w:rsid w:val="00CB3D0A"/>
    <w:rsid w:val="00CB3D6F"/>
    <w:rsid w:val="00CB683E"/>
    <w:rsid w:val="00CC58EA"/>
    <w:rsid w:val="00CD0D2A"/>
    <w:rsid w:val="00D03392"/>
    <w:rsid w:val="00D22E9C"/>
    <w:rsid w:val="00D64B59"/>
    <w:rsid w:val="00D92474"/>
    <w:rsid w:val="00DD5E39"/>
    <w:rsid w:val="00DE60A5"/>
    <w:rsid w:val="00E353AC"/>
    <w:rsid w:val="00E81B83"/>
    <w:rsid w:val="00F04A22"/>
    <w:rsid w:val="00F1365C"/>
    <w:rsid w:val="00F1395D"/>
    <w:rsid w:val="00F23C2B"/>
    <w:rsid w:val="00F34770"/>
    <w:rsid w:val="00F41D1B"/>
    <w:rsid w:val="00F428AB"/>
    <w:rsid w:val="00F42E2D"/>
    <w:rsid w:val="00F5362A"/>
    <w:rsid w:val="00F5368A"/>
    <w:rsid w:val="00F648CB"/>
    <w:rsid w:val="00F92DA0"/>
    <w:rsid w:val="00F95A96"/>
    <w:rsid w:val="00F96C95"/>
    <w:rsid w:val="00FA2EE9"/>
    <w:rsid w:val="00FD45DB"/>
    <w:rsid w:val="00FD6449"/>
    <w:rsid w:val="00FE0C8E"/>
    <w:rsid w:val="00FE1F1B"/>
    <w:rsid w:val="00FE5135"/>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99121"/>
  <w15:chartTrackingRefBased/>
  <w15:docId w15:val="{10BCAE00-E8E9-483F-8E1D-165E33AA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56A"/>
    <w:rPr>
      <w:sz w:val="24"/>
      <w:szCs w:val="24"/>
      <w:lang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lang w:val="sv-SE"/>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lang w:val="sv-SE"/>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lang w:val="sv-SE"/>
    </w:rPr>
  </w:style>
  <w:style w:type="paragraph" w:styleId="Rubrik4">
    <w:name w:val="heading 4"/>
    <w:basedOn w:val="Normal"/>
    <w:next w:val="Normal"/>
    <w:qFormat/>
    <w:pPr>
      <w:keepNext/>
      <w:numPr>
        <w:ilvl w:val="3"/>
        <w:numId w:val="40"/>
      </w:numPr>
      <w:spacing w:before="240" w:after="60"/>
      <w:outlineLvl w:val="3"/>
    </w:pPr>
    <w:rPr>
      <w:b/>
      <w:bCs/>
      <w:sz w:val="28"/>
      <w:szCs w:val="28"/>
      <w:lang w:val="sv-SE"/>
    </w:rPr>
  </w:style>
  <w:style w:type="paragraph" w:styleId="Rubrik5">
    <w:name w:val="heading 5"/>
    <w:basedOn w:val="Normal"/>
    <w:next w:val="Normal"/>
    <w:qFormat/>
    <w:pPr>
      <w:numPr>
        <w:ilvl w:val="4"/>
        <w:numId w:val="41"/>
      </w:numPr>
      <w:spacing w:before="240" w:after="60"/>
      <w:outlineLvl w:val="4"/>
    </w:pPr>
    <w:rPr>
      <w:b/>
      <w:bCs/>
      <w:i/>
      <w:iCs/>
      <w:sz w:val="26"/>
      <w:szCs w:val="26"/>
      <w:lang w:val="sv-SE"/>
    </w:rPr>
  </w:style>
  <w:style w:type="paragraph" w:styleId="Rubrik6">
    <w:name w:val="heading 6"/>
    <w:basedOn w:val="Normal"/>
    <w:next w:val="Normal"/>
    <w:qFormat/>
    <w:pPr>
      <w:numPr>
        <w:ilvl w:val="5"/>
        <w:numId w:val="42"/>
      </w:numPr>
      <w:spacing w:before="240" w:after="60"/>
      <w:outlineLvl w:val="5"/>
    </w:pPr>
    <w:rPr>
      <w:b/>
      <w:bCs/>
      <w:sz w:val="22"/>
      <w:szCs w:val="22"/>
      <w:lang w:val="sv-SE"/>
    </w:rPr>
  </w:style>
  <w:style w:type="paragraph" w:styleId="Rubrik7">
    <w:name w:val="heading 7"/>
    <w:basedOn w:val="Normal"/>
    <w:next w:val="Normal"/>
    <w:qFormat/>
    <w:pPr>
      <w:numPr>
        <w:ilvl w:val="6"/>
        <w:numId w:val="43"/>
      </w:numPr>
      <w:spacing w:before="240" w:after="60"/>
      <w:outlineLvl w:val="6"/>
    </w:pPr>
    <w:rPr>
      <w:lang w:val="sv-SE"/>
    </w:rPr>
  </w:style>
  <w:style w:type="paragraph" w:styleId="Rubrik8">
    <w:name w:val="heading 8"/>
    <w:basedOn w:val="Normal"/>
    <w:next w:val="Normal"/>
    <w:qFormat/>
    <w:pPr>
      <w:numPr>
        <w:ilvl w:val="7"/>
        <w:numId w:val="44"/>
      </w:numPr>
      <w:spacing w:before="240" w:after="60"/>
      <w:outlineLvl w:val="7"/>
    </w:pPr>
    <w:rPr>
      <w:i/>
      <w:iCs/>
      <w:lang w:val="sv-SE"/>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rPr>
      <w:lang w:val="sv-SE"/>
    </w:rPr>
  </w:style>
  <w:style w:type="paragraph" w:styleId="Brdtextmedindrag">
    <w:name w:val="Body Text Indent"/>
    <w:basedOn w:val="Normal"/>
    <w:semiHidden/>
    <w:pPr>
      <w:spacing w:after="120"/>
      <w:ind w:left="283"/>
    </w:pPr>
    <w:rPr>
      <w:lang w:val="sv-SE"/>
    </w:r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lang w:val="sv-SE"/>
    </w:rPr>
  </w:style>
  <w:style w:type="paragraph" w:styleId="Sidfot">
    <w:name w:val="footer"/>
    <w:basedOn w:val="Normal"/>
    <w:semiHidden/>
    <w:pPr>
      <w:tabs>
        <w:tab w:val="right" w:pos="8165"/>
      </w:tabs>
    </w:pPr>
    <w:rPr>
      <w:rFonts w:ascii="Verdana" w:hAnsi="Verdana" w:cs="Arial"/>
      <w:sz w:val="14"/>
      <w:lang w:val="sv-SE"/>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rPr>
      <w:lang w:val="sv-SE"/>
    </w:r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table" w:styleId="Tabellrutnt">
    <w:name w:val="Table Grid"/>
    <w:basedOn w:val="Normaltabell"/>
    <w:uiPriority w:val="59"/>
    <w:rsid w:val="00C80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47482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74823"/>
    <w:rPr>
      <w:rFonts w:ascii="Segoe UI"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LS-Framställning.dot</Template>
  <TotalTime>1</TotalTime>
  <Pages>11</Pages>
  <Words>3655</Words>
  <Characters>23653</Characters>
  <Application>Microsoft Office Word</Application>
  <DocSecurity>0</DocSecurity>
  <Lines>197</Lines>
  <Paragraphs>54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27254</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Diana Lönngren</dc:creator>
  <cp:keywords/>
  <dc:description/>
  <cp:lastModifiedBy>Jessica Laaksonen</cp:lastModifiedBy>
  <cp:revision>2</cp:revision>
  <cp:lastPrinted>2020-01-29T09:15:00Z</cp:lastPrinted>
  <dcterms:created xsi:type="dcterms:W3CDTF">2020-03-13T10:32:00Z</dcterms:created>
  <dcterms:modified xsi:type="dcterms:W3CDTF">2020-03-13T10:32:00Z</dcterms:modified>
</cp:coreProperties>
</file>