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E023D9" w14:paraId="6387AE89" w14:textId="77777777">
        <w:trPr>
          <w:cantSplit/>
          <w:trHeight w:val="20"/>
        </w:trPr>
        <w:tc>
          <w:tcPr>
            <w:tcW w:w="861" w:type="dxa"/>
            <w:vMerge w:val="restart"/>
          </w:tcPr>
          <w:p w14:paraId="57DB7A16" w14:textId="1EC45072" w:rsidR="00E023D9" w:rsidRDefault="00F464BB">
            <w:pPr>
              <w:pStyle w:val="xLedtext"/>
              <w:rPr>
                <w:noProof/>
              </w:rPr>
            </w:pPr>
            <w:bookmarkStart w:id="0" w:name="_GoBack"/>
            <w:bookmarkEnd w:id="0"/>
            <w:r>
              <w:rPr>
                <w:noProof/>
              </w:rPr>
              <w:drawing>
                <wp:anchor distT="0" distB="0" distL="114300" distR="114300" simplePos="0" relativeHeight="251657728" behindDoc="0" locked="0" layoutInCell="1" allowOverlap="1" wp14:anchorId="30E06E02" wp14:editId="1DC16174">
                  <wp:simplePos x="0" y="0"/>
                  <wp:positionH relativeFrom="column">
                    <wp:posOffset>-31115</wp:posOffset>
                  </wp:positionH>
                  <wp:positionV relativeFrom="paragraph">
                    <wp:posOffset>635</wp:posOffset>
                  </wp:positionV>
                  <wp:extent cx="2647950" cy="685800"/>
                  <wp:effectExtent l="0" t="0" r="0" b="0"/>
                  <wp:wrapNone/>
                  <wp:docPr id="3"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regeringen_svartv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19E78FE3" w14:textId="2D97F8D4" w:rsidR="00E023D9" w:rsidRDefault="00F464BB">
            <w:pPr>
              <w:pStyle w:val="xMellanrum"/>
            </w:pPr>
            <w:r>
              <w:rPr>
                <w:noProof/>
              </w:rPr>
              <w:drawing>
                <wp:inline distT="0" distB="0" distL="0" distR="0" wp14:anchorId="2CE907D0" wp14:editId="54D940CE">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E023D9" w14:paraId="24A6362A" w14:textId="77777777">
        <w:trPr>
          <w:cantSplit/>
          <w:trHeight w:val="299"/>
        </w:trPr>
        <w:tc>
          <w:tcPr>
            <w:tcW w:w="861" w:type="dxa"/>
            <w:vMerge/>
          </w:tcPr>
          <w:p w14:paraId="673FAB03" w14:textId="77777777" w:rsidR="00E023D9" w:rsidRDefault="00E023D9">
            <w:pPr>
              <w:pStyle w:val="xLedtext"/>
            </w:pPr>
          </w:p>
        </w:tc>
        <w:tc>
          <w:tcPr>
            <w:tcW w:w="4448" w:type="dxa"/>
            <w:vAlign w:val="bottom"/>
          </w:tcPr>
          <w:p w14:paraId="10908BDA" w14:textId="77777777" w:rsidR="00E023D9" w:rsidRDefault="00E023D9">
            <w:pPr>
              <w:pStyle w:val="xAvsandare1"/>
            </w:pPr>
          </w:p>
        </w:tc>
        <w:tc>
          <w:tcPr>
            <w:tcW w:w="4288" w:type="dxa"/>
            <w:gridSpan w:val="2"/>
            <w:vAlign w:val="bottom"/>
          </w:tcPr>
          <w:p w14:paraId="1451E40B" w14:textId="77777777" w:rsidR="00E023D9" w:rsidRDefault="00E023D9">
            <w:pPr>
              <w:pStyle w:val="xDokTypNr"/>
            </w:pPr>
            <w:r>
              <w:t>PARALLELLTEXTER</w:t>
            </w:r>
          </w:p>
        </w:tc>
      </w:tr>
      <w:tr w:rsidR="00E023D9" w14:paraId="442D3B2C" w14:textId="77777777">
        <w:trPr>
          <w:cantSplit/>
          <w:trHeight w:val="238"/>
        </w:trPr>
        <w:tc>
          <w:tcPr>
            <w:tcW w:w="861" w:type="dxa"/>
            <w:vMerge/>
          </w:tcPr>
          <w:p w14:paraId="1778BDA1" w14:textId="77777777" w:rsidR="00E023D9" w:rsidRDefault="00E023D9">
            <w:pPr>
              <w:pStyle w:val="xLedtext"/>
            </w:pPr>
          </w:p>
        </w:tc>
        <w:tc>
          <w:tcPr>
            <w:tcW w:w="4448" w:type="dxa"/>
            <w:vAlign w:val="bottom"/>
          </w:tcPr>
          <w:p w14:paraId="0E0F9133" w14:textId="77777777" w:rsidR="00E023D9" w:rsidRDefault="00E023D9">
            <w:pPr>
              <w:pStyle w:val="xLedtext"/>
            </w:pPr>
          </w:p>
        </w:tc>
        <w:tc>
          <w:tcPr>
            <w:tcW w:w="1725" w:type="dxa"/>
            <w:vAlign w:val="bottom"/>
          </w:tcPr>
          <w:p w14:paraId="0641FE7D" w14:textId="77777777" w:rsidR="00E023D9" w:rsidRDefault="00E023D9">
            <w:pPr>
              <w:pStyle w:val="xLedtext"/>
            </w:pPr>
            <w:r>
              <w:t>Datum</w:t>
            </w:r>
          </w:p>
        </w:tc>
        <w:tc>
          <w:tcPr>
            <w:tcW w:w="2563" w:type="dxa"/>
            <w:vAlign w:val="bottom"/>
          </w:tcPr>
          <w:p w14:paraId="2CCCB44A" w14:textId="77777777" w:rsidR="00E023D9" w:rsidRDefault="00E023D9">
            <w:pPr>
              <w:pStyle w:val="xLedtext"/>
            </w:pPr>
          </w:p>
        </w:tc>
      </w:tr>
      <w:tr w:rsidR="00E023D9" w14:paraId="6412212D" w14:textId="77777777">
        <w:trPr>
          <w:cantSplit/>
          <w:trHeight w:val="238"/>
        </w:trPr>
        <w:tc>
          <w:tcPr>
            <w:tcW w:w="861" w:type="dxa"/>
            <w:vMerge/>
          </w:tcPr>
          <w:p w14:paraId="1643DAFB" w14:textId="77777777" w:rsidR="00E023D9" w:rsidRDefault="00E023D9">
            <w:pPr>
              <w:pStyle w:val="xAvsandare2"/>
            </w:pPr>
          </w:p>
        </w:tc>
        <w:tc>
          <w:tcPr>
            <w:tcW w:w="4448" w:type="dxa"/>
            <w:vAlign w:val="center"/>
          </w:tcPr>
          <w:p w14:paraId="44349A69" w14:textId="77777777" w:rsidR="00E023D9" w:rsidRDefault="00E023D9">
            <w:pPr>
              <w:pStyle w:val="xAvsandare2"/>
            </w:pPr>
          </w:p>
        </w:tc>
        <w:tc>
          <w:tcPr>
            <w:tcW w:w="1725" w:type="dxa"/>
            <w:vAlign w:val="center"/>
          </w:tcPr>
          <w:p w14:paraId="31149612" w14:textId="34C5A7C5" w:rsidR="00E023D9" w:rsidRDefault="00E023D9">
            <w:pPr>
              <w:pStyle w:val="xDatum1"/>
            </w:pPr>
            <w:r>
              <w:t>20</w:t>
            </w:r>
            <w:r w:rsidR="00285A07">
              <w:t>0X</w:t>
            </w:r>
            <w:r>
              <w:t>-</w:t>
            </w:r>
            <w:r w:rsidR="00601796">
              <w:t>03</w:t>
            </w:r>
            <w:r>
              <w:t>-</w:t>
            </w:r>
            <w:r w:rsidR="00601796">
              <w:t>05</w:t>
            </w:r>
          </w:p>
        </w:tc>
        <w:tc>
          <w:tcPr>
            <w:tcW w:w="2563" w:type="dxa"/>
            <w:vAlign w:val="center"/>
          </w:tcPr>
          <w:p w14:paraId="7DCE07E7" w14:textId="77777777" w:rsidR="00E023D9" w:rsidRDefault="00E023D9">
            <w:pPr>
              <w:pStyle w:val="xBeteckning1"/>
            </w:pPr>
          </w:p>
        </w:tc>
      </w:tr>
      <w:tr w:rsidR="00E023D9" w14:paraId="36BCCDDD" w14:textId="77777777">
        <w:trPr>
          <w:cantSplit/>
          <w:trHeight w:val="238"/>
        </w:trPr>
        <w:tc>
          <w:tcPr>
            <w:tcW w:w="861" w:type="dxa"/>
            <w:vMerge/>
          </w:tcPr>
          <w:p w14:paraId="268FA9B8" w14:textId="77777777" w:rsidR="00E023D9" w:rsidRDefault="00E023D9">
            <w:pPr>
              <w:pStyle w:val="xLedtext"/>
            </w:pPr>
          </w:p>
        </w:tc>
        <w:tc>
          <w:tcPr>
            <w:tcW w:w="4448" w:type="dxa"/>
            <w:vAlign w:val="bottom"/>
          </w:tcPr>
          <w:p w14:paraId="706EC0AC" w14:textId="77777777" w:rsidR="00E023D9" w:rsidRDefault="00E023D9">
            <w:pPr>
              <w:pStyle w:val="xLedtext"/>
            </w:pPr>
          </w:p>
        </w:tc>
        <w:tc>
          <w:tcPr>
            <w:tcW w:w="1725" w:type="dxa"/>
            <w:vAlign w:val="bottom"/>
          </w:tcPr>
          <w:p w14:paraId="63E2759A" w14:textId="77777777" w:rsidR="00E023D9" w:rsidRDefault="00E023D9">
            <w:pPr>
              <w:pStyle w:val="xLedtext"/>
            </w:pPr>
          </w:p>
        </w:tc>
        <w:tc>
          <w:tcPr>
            <w:tcW w:w="2563" w:type="dxa"/>
            <w:vAlign w:val="bottom"/>
          </w:tcPr>
          <w:p w14:paraId="01C67D2D" w14:textId="77777777" w:rsidR="00E023D9" w:rsidRDefault="00E023D9">
            <w:pPr>
              <w:pStyle w:val="xLedtext"/>
            </w:pPr>
          </w:p>
        </w:tc>
      </w:tr>
      <w:tr w:rsidR="00E023D9" w14:paraId="10B875DC" w14:textId="77777777">
        <w:trPr>
          <w:cantSplit/>
          <w:trHeight w:val="238"/>
        </w:trPr>
        <w:tc>
          <w:tcPr>
            <w:tcW w:w="861" w:type="dxa"/>
            <w:vMerge/>
            <w:tcBorders>
              <w:bottom w:val="single" w:sz="4" w:space="0" w:color="auto"/>
            </w:tcBorders>
          </w:tcPr>
          <w:p w14:paraId="043258B4" w14:textId="77777777" w:rsidR="00E023D9" w:rsidRDefault="00E023D9">
            <w:pPr>
              <w:pStyle w:val="xAvsandare3"/>
            </w:pPr>
          </w:p>
        </w:tc>
        <w:tc>
          <w:tcPr>
            <w:tcW w:w="4448" w:type="dxa"/>
            <w:tcBorders>
              <w:bottom w:val="single" w:sz="4" w:space="0" w:color="auto"/>
            </w:tcBorders>
            <w:vAlign w:val="center"/>
          </w:tcPr>
          <w:p w14:paraId="1A81AB76" w14:textId="77777777" w:rsidR="00E023D9" w:rsidRDefault="00E023D9">
            <w:pPr>
              <w:pStyle w:val="xAvsandare3"/>
            </w:pPr>
          </w:p>
        </w:tc>
        <w:tc>
          <w:tcPr>
            <w:tcW w:w="1725" w:type="dxa"/>
            <w:tcBorders>
              <w:bottom w:val="single" w:sz="4" w:space="0" w:color="auto"/>
            </w:tcBorders>
            <w:vAlign w:val="center"/>
          </w:tcPr>
          <w:p w14:paraId="7B9B9EF0" w14:textId="77777777" w:rsidR="00E023D9" w:rsidRDefault="00E023D9">
            <w:pPr>
              <w:pStyle w:val="xDatum2"/>
            </w:pPr>
          </w:p>
        </w:tc>
        <w:tc>
          <w:tcPr>
            <w:tcW w:w="2563" w:type="dxa"/>
            <w:tcBorders>
              <w:bottom w:val="single" w:sz="4" w:space="0" w:color="auto"/>
            </w:tcBorders>
            <w:vAlign w:val="center"/>
          </w:tcPr>
          <w:p w14:paraId="1C2D4B8F" w14:textId="77777777" w:rsidR="00E023D9" w:rsidRDefault="00E023D9">
            <w:pPr>
              <w:pStyle w:val="xBeteckning2"/>
            </w:pPr>
          </w:p>
        </w:tc>
      </w:tr>
      <w:tr w:rsidR="00E023D9" w14:paraId="59777E38" w14:textId="77777777">
        <w:trPr>
          <w:cantSplit/>
          <w:trHeight w:val="238"/>
        </w:trPr>
        <w:tc>
          <w:tcPr>
            <w:tcW w:w="861" w:type="dxa"/>
            <w:tcBorders>
              <w:top w:val="single" w:sz="4" w:space="0" w:color="auto"/>
            </w:tcBorders>
            <w:vAlign w:val="bottom"/>
          </w:tcPr>
          <w:p w14:paraId="0F8E2249" w14:textId="77777777" w:rsidR="00E023D9" w:rsidRDefault="00E023D9">
            <w:pPr>
              <w:pStyle w:val="xLedtext"/>
            </w:pPr>
          </w:p>
        </w:tc>
        <w:tc>
          <w:tcPr>
            <w:tcW w:w="4448" w:type="dxa"/>
            <w:tcBorders>
              <w:top w:val="single" w:sz="4" w:space="0" w:color="auto"/>
            </w:tcBorders>
            <w:vAlign w:val="bottom"/>
          </w:tcPr>
          <w:p w14:paraId="5AC6082F" w14:textId="77777777" w:rsidR="00E023D9" w:rsidRDefault="00E023D9">
            <w:pPr>
              <w:pStyle w:val="xLedtext"/>
            </w:pPr>
          </w:p>
        </w:tc>
        <w:tc>
          <w:tcPr>
            <w:tcW w:w="4288" w:type="dxa"/>
            <w:gridSpan w:val="2"/>
            <w:tcBorders>
              <w:top w:val="single" w:sz="4" w:space="0" w:color="auto"/>
            </w:tcBorders>
            <w:vAlign w:val="bottom"/>
          </w:tcPr>
          <w:p w14:paraId="7A34DFB8" w14:textId="77777777" w:rsidR="00E023D9" w:rsidRDefault="00E023D9">
            <w:pPr>
              <w:pStyle w:val="xLedtext"/>
            </w:pPr>
          </w:p>
        </w:tc>
      </w:tr>
    </w:tbl>
    <w:p w14:paraId="5832053B" w14:textId="77777777" w:rsidR="00E023D9" w:rsidRDefault="00E023D9">
      <w:pPr>
        <w:rPr>
          <w:b/>
          <w:bCs/>
        </w:rPr>
        <w:sectPr w:rsidR="00E023D9">
          <w:footerReference w:type="even" r:id="rId10"/>
          <w:footerReference w:type="default" r:id="rId11"/>
          <w:pgSz w:w="11906" w:h="16838" w:code="9"/>
          <w:pgMar w:top="567" w:right="1134" w:bottom="1418" w:left="1191" w:header="624" w:footer="851" w:gutter="0"/>
          <w:cols w:space="708"/>
          <w:docGrid w:linePitch="360"/>
        </w:sectPr>
      </w:pPr>
    </w:p>
    <w:p w14:paraId="11FF8EF0" w14:textId="475BBE67" w:rsidR="00E023D9" w:rsidRDefault="00E023D9">
      <w:pPr>
        <w:pStyle w:val="ArendeOverRubrik"/>
      </w:pPr>
      <w:r>
        <w:t xml:space="preserve">Parallelltexter till landskapsregeringens </w:t>
      </w:r>
      <w:r w:rsidR="004319AB">
        <w:t>lagförslag</w:t>
      </w:r>
    </w:p>
    <w:p w14:paraId="141B5340" w14:textId="121F712E" w:rsidR="00E023D9" w:rsidRDefault="004319AB">
      <w:pPr>
        <w:pStyle w:val="ArendeRubrik"/>
      </w:pPr>
      <w:r w:rsidRPr="004319AB">
        <w:t>Teknisk ändring av landskapslagen om planering av socialvården</w:t>
      </w:r>
    </w:p>
    <w:p w14:paraId="77556B5B" w14:textId="75903FD0" w:rsidR="00E023D9" w:rsidRDefault="00E023D9">
      <w:pPr>
        <w:pStyle w:val="ArendeUnderRubrik"/>
      </w:pPr>
      <w:r>
        <w:t xml:space="preserve">Landskapsregeringens </w:t>
      </w:r>
      <w:r w:rsidR="004319AB">
        <w:t>lagförslag</w:t>
      </w:r>
      <w:r>
        <w:t xml:space="preserve"> nr </w:t>
      </w:r>
      <w:r w:rsidR="00601796">
        <w:t>9</w:t>
      </w:r>
      <w:r>
        <w:t>/20</w:t>
      </w:r>
      <w:r w:rsidR="004319AB">
        <w:t>1</w:t>
      </w:r>
      <w:r w:rsidR="00601796">
        <w:t>9</w:t>
      </w:r>
      <w:r w:rsidR="004319AB">
        <w:t>–</w:t>
      </w:r>
      <w:r>
        <w:t>20</w:t>
      </w:r>
      <w:r w:rsidR="004319AB">
        <w:t>2</w:t>
      </w:r>
      <w:r w:rsidR="00285A07">
        <w:t>0</w:t>
      </w:r>
    </w:p>
    <w:p w14:paraId="2304693D" w14:textId="77777777" w:rsidR="00E023D9" w:rsidRDefault="00E023D9">
      <w:pPr>
        <w:pStyle w:val="ANormal"/>
      </w:pPr>
    </w:p>
    <w:p w14:paraId="7B460147" w14:textId="77777777" w:rsidR="00E023D9" w:rsidRDefault="00E023D9">
      <w:pPr>
        <w:pStyle w:val="Innehll1"/>
      </w:pPr>
      <w:r>
        <w:t>INNEHÅLL</w:t>
      </w:r>
    </w:p>
    <w:p w14:paraId="7568485E" w14:textId="0E14D360" w:rsidR="00A07358" w:rsidRDefault="00E023D9">
      <w:pPr>
        <w:pStyle w:val="Innehll1"/>
        <w:rPr>
          <w:rFonts w:asciiTheme="minorHAnsi" w:eastAsiaTheme="minorEastAsia" w:hAnsiTheme="minorHAnsi" w:cstheme="minorBidi"/>
          <w:sz w:val="22"/>
          <w:szCs w:val="22"/>
          <w:lang w:val="sv-FI" w:eastAsia="sv-FI"/>
        </w:rPr>
      </w:pPr>
      <w:r>
        <w:fldChar w:fldCharType="begin"/>
      </w:r>
      <w:r>
        <w:instrText xml:space="preserve"> TOC \o "1-1" \h \z \t "LagHuvRubr;1" </w:instrText>
      </w:r>
      <w:r>
        <w:fldChar w:fldCharType="separate"/>
      </w:r>
      <w:hyperlink w:anchor="_Toc33685797" w:history="1">
        <w:r w:rsidR="00A07358" w:rsidRPr="009F5B83">
          <w:rPr>
            <w:rStyle w:val="Hyperlnk"/>
            <w:lang w:val="en-GB"/>
          </w:rPr>
          <w:t>L A N D S K A P S L A G om ändring av landskapslagen om planering av socialvården</w:t>
        </w:r>
        <w:r w:rsidR="00A07358">
          <w:rPr>
            <w:webHidden/>
          </w:rPr>
          <w:tab/>
        </w:r>
        <w:r w:rsidR="00A07358">
          <w:rPr>
            <w:webHidden/>
          </w:rPr>
          <w:fldChar w:fldCharType="begin"/>
        </w:r>
        <w:r w:rsidR="00A07358">
          <w:rPr>
            <w:webHidden/>
          </w:rPr>
          <w:instrText xml:space="preserve"> PAGEREF _Toc33685797 \h </w:instrText>
        </w:r>
        <w:r w:rsidR="00A07358">
          <w:rPr>
            <w:webHidden/>
          </w:rPr>
        </w:r>
        <w:r w:rsidR="00A07358">
          <w:rPr>
            <w:webHidden/>
          </w:rPr>
          <w:fldChar w:fldCharType="separate"/>
        </w:r>
        <w:r w:rsidR="00A07358">
          <w:rPr>
            <w:webHidden/>
          </w:rPr>
          <w:t>1</w:t>
        </w:r>
        <w:r w:rsidR="00A07358">
          <w:rPr>
            <w:webHidden/>
          </w:rPr>
          <w:fldChar w:fldCharType="end"/>
        </w:r>
      </w:hyperlink>
    </w:p>
    <w:p w14:paraId="16BEEF5C" w14:textId="3CAD27B9" w:rsidR="00E023D9" w:rsidRDefault="00E023D9">
      <w:pPr>
        <w:pStyle w:val="ANormal"/>
        <w:tabs>
          <w:tab w:val="right" w:leader="dot" w:pos="7809"/>
        </w:tabs>
        <w:rPr>
          <w:rFonts w:ascii="Verdana" w:hAnsi="Verdana"/>
          <w:noProof/>
          <w:sz w:val="16"/>
          <w:szCs w:val="36"/>
        </w:rPr>
      </w:pPr>
      <w:r>
        <w:rPr>
          <w:rFonts w:ascii="Verdana" w:hAnsi="Verdana"/>
          <w:noProof/>
          <w:sz w:val="16"/>
          <w:szCs w:val="36"/>
        </w:rPr>
        <w:fldChar w:fldCharType="end"/>
      </w:r>
    </w:p>
    <w:p w14:paraId="35F14DA7" w14:textId="77777777" w:rsidR="00E023D9" w:rsidRDefault="00E023D9">
      <w:pPr>
        <w:pStyle w:val="ANormal"/>
        <w:rPr>
          <w:noProof/>
        </w:rPr>
      </w:pPr>
    </w:p>
    <w:p w14:paraId="0E2F6587" w14:textId="20530688" w:rsidR="002E7E13" w:rsidRDefault="00E023D9" w:rsidP="002E7E13">
      <w:pPr>
        <w:pStyle w:val="LagHuvRubr"/>
        <w:rPr>
          <w:lang w:val="en-GB"/>
        </w:rPr>
      </w:pPr>
      <w:bookmarkStart w:id="1" w:name="_Toc500921111"/>
      <w:bookmarkStart w:id="2" w:name="_Toc528640435"/>
      <w:bookmarkStart w:id="3" w:name="_Toc33685797"/>
      <w:r w:rsidRPr="00D13B66">
        <w:rPr>
          <w:lang w:val="en-GB"/>
        </w:rPr>
        <w:t>L A N D S K A P S L A G</w:t>
      </w:r>
      <w:r w:rsidRPr="00D13B66">
        <w:rPr>
          <w:lang w:val="en-GB"/>
        </w:rPr>
        <w:br/>
        <w:t>om</w:t>
      </w:r>
      <w:bookmarkEnd w:id="1"/>
      <w:bookmarkEnd w:id="2"/>
      <w:r w:rsidR="002E7E13" w:rsidRPr="002E7E13">
        <w:rPr>
          <w:lang w:val="en-GB"/>
        </w:rPr>
        <w:t xml:space="preserve"> </w:t>
      </w:r>
      <w:r w:rsidR="002E7E13">
        <w:rPr>
          <w:lang w:val="en-GB"/>
        </w:rPr>
        <w:t>ändring av landskapslagen om planering av socialvården</w:t>
      </w:r>
      <w:bookmarkEnd w:id="3"/>
    </w:p>
    <w:p w14:paraId="4B569BFF" w14:textId="1A2AD41C" w:rsidR="002E7E13" w:rsidRDefault="002E7E13" w:rsidP="002E7E13">
      <w:pPr>
        <w:pStyle w:val="ANormal"/>
        <w:rPr>
          <w:lang w:val="en-GB"/>
        </w:rPr>
      </w:pPr>
    </w:p>
    <w:p w14:paraId="7817FF99" w14:textId="77777777" w:rsidR="00601796" w:rsidRDefault="00601796" w:rsidP="002E7E13">
      <w:pPr>
        <w:pStyle w:val="ANormal"/>
        <w:rPr>
          <w:lang w:val="en-GB"/>
        </w:rPr>
      </w:pPr>
    </w:p>
    <w:p w14:paraId="54AB6911" w14:textId="39ED06D3" w:rsidR="002E7E13" w:rsidRDefault="002E7E13" w:rsidP="002E7E13">
      <w:pPr>
        <w:pStyle w:val="ANormal"/>
      </w:pPr>
      <w:r>
        <w:tab/>
        <w:t>I enlighet med lagtingets beslut</w:t>
      </w:r>
    </w:p>
    <w:p w14:paraId="4EEA8C70" w14:textId="6A59643C" w:rsidR="002E7E13" w:rsidRDefault="002E7E13" w:rsidP="002E7E13">
      <w:pPr>
        <w:pStyle w:val="ANormal"/>
      </w:pPr>
      <w:r>
        <w:tab/>
      </w:r>
      <w:r w:rsidRPr="00A53D02">
        <w:rPr>
          <w:b/>
          <w:bCs/>
        </w:rPr>
        <w:t>upphävs</w:t>
      </w:r>
      <w:r>
        <w:t xml:space="preserve"> 14b–i §§ </w:t>
      </w:r>
      <w:r w:rsidR="00613BF2">
        <w:t xml:space="preserve">och övergångsreglerna i 1–5 mom. ikraftträdandebestämmelsen till landskapslagen (1993:71) om planering av socialvården sådana de lyder i landskapslagen (…/…) </w:t>
      </w:r>
      <w:r>
        <w:t>samt</w:t>
      </w:r>
    </w:p>
    <w:p w14:paraId="171A87AC" w14:textId="03F2E03B" w:rsidR="002E7E13" w:rsidRDefault="002E7E13" w:rsidP="002E7E13">
      <w:pPr>
        <w:pStyle w:val="ANormal"/>
      </w:pPr>
      <w:r>
        <w:tab/>
      </w:r>
      <w:r w:rsidRPr="00A53D02">
        <w:rPr>
          <w:b/>
          <w:bCs/>
        </w:rPr>
        <w:t>ändras</w:t>
      </w:r>
      <w:r>
        <w:t xml:space="preserve"> lagens 5 § 1 mom. 3</w:t>
      </w:r>
      <w:r w:rsidR="00601796">
        <w:t> </w:t>
      </w:r>
      <w:r>
        <w:t>punkt sådan den lyder i landskapslagen (…/…) som följer:</w:t>
      </w:r>
    </w:p>
    <w:p w14:paraId="7A62D666" w14:textId="7A7DACDD" w:rsidR="00E023D9" w:rsidRDefault="00E023D9">
      <w:pPr>
        <w:pStyle w:val="ANormal"/>
        <w:rPr>
          <w:lang w:val="en-GB"/>
        </w:rPr>
      </w:pPr>
    </w:p>
    <w:p w14:paraId="425D8E59" w14:textId="77777777" w:rsidR="00601796" w:rsidRPr="00D13B66" w:rsidRDefault="00601796">
      <w:pPr>
        <w:pStyle w:val="ANormal"/>
        <w:rPr>
          <w:lang w:val="en-GB"/>
        </w:rPr>
      </w:pPr>
    </w:p>
    <w:tbl>
      <w:tblPr>
        <w:tblW w:w="5000" w:type="pct"/>
        <w:tblLayout w:type="fixed"/>
        <w:tblCellMar>
          <w:left w:w="0" w:type="dxa"/>
          <w:right w:w="0" w:type="dxa"/>
        </w:tblCellMar>
        <w:tblLook w:val="0000" w:firstRow="0" w:lastRow="0" w:firstColumn="0" w:lastColumn="0" w:noHBand="0" w:noVBand="0"/>
      </w:tblPr>
      <w:tblGrid>
        <w:gridCol w:w="3798"/>
        <w:gridCol w:w="228"/>
        <w:gridCol w:w="3798"/>
      </w:tblGrid>
      <w:tr w:rsidR="00E023D9" w14:paraId="3C4B2623" w14:textId="77777777" w:rsidTr="00A96420">
        <w:tc>
          <w:tcPr>
            <w:tcW w:w="2427" w:type="pct"/>
          </w:tcPr>
          <w:p w14:paraId="3CC7FDBE" w14:textId="472BCF87" w:rsidR="00E023D9" w:rsidRDefault="002E7E13">
            <w:pPr>
              <w:pStyle w:val="xCelltext"/>
              <w:jc w:val="center"/>
            </w:pPr>
            <w:r>
              <w:t>L</w:t>
            </w:r>
            <w:r w:rsidR="00E023D9">
              <w:t>ydelse</w:t>
            </w:r>
            <w:r>
              <w:t xml:space="preserve"> enligt LTB 81/2015</w:t>
            </w:r>
          </w:p>
        </w:tc>
        <w:tc>
          <w:tcPr>
            <w:tcW w:w="146" w:type="pct"/>
          </w:tcPr>
          <w:p w14:paraId="5F5E3112" w14:textId="77777777" w:rsidR="00E023D9" w:rsidRDefault="00E023D9">
            <w:pPr>
              <w:pStyle w:val="xCelltext"/>
              <w:jc w:val="center"/>
            </w:pPr>
          </w:p>
        </w:tc>
        <w:tc>
          <w:tcPr>
            <w:tcW w:w="2427" w:type="pct"/>
          </w:tcPr>
          <w:p w14:paraId="3B8D7195" w14:textId="77777777" w:rsidR="00E023D9" w:rsidRDefault="00E023D9">
            <w:pPr>
              <w:pStyle w:val="xCelltext"/>
              <w:jc w:val="center"/>
            </w:pPr>
            <w:r>
              <w:t>Föreslagen lydelse</w:t>
            </w:r>
          </w:p>
        </w:tc>
      </w:tr>
      <w:tr w:rsidR="00E023D9" w14:paraId="49677F65" w14:textId="77777777" w:rsidTr="00A96420">
        <w:tc>
          <w:tcPr>
            <w:tcW w:w="2427" w:type="pct"/>
          </w:tcPr>
          <w:p w14:paraId="2A02F1B8" w14:textId="77777777" w:rsidR="00E023D9" w:rsidRDefault="00E023D9">
            <w:pPr>
              <w:pStyle w:val="ANormal"/>
            </w:pPr>
            <w:bookmarkStart w:id="4" w:name="_Hlk33621382"/>
          </w:p>
          <w:p w14:paraId="5023757C" w14:textId="2B015BCE" w:rsidR="00E023D9" w:rsidRDefault="002E7E13">
            <w:pPr>
              <w:pStyle w:val="LagParagraf"/>
            </w:pPr>
            <w:r>
              <w:t>5</w:t>
            </w:r>
            <w:r w:rsidR="00601796">
              <w:t> </w:t>
            </w:r>
            <w:r w:rsidR="00E023D9">
              <w:t>§</w:t>
            </w:r>
          </w:p>
          <w:p w14:paraId="6C86B8C8" w14:textId="77777777" w:rsidR="002E7E13" w:rsidRDefault="002E7E13" w:rsidP="002E7E13">
            <w:pPr>
              <w:pStyle w:val="LagPararubrik"/>
            </w:pPr>
            <w:r>
              <w:t>Socialvårdsplanens innehåll</w:t>
            </w:r>
          </w:p>
          <w:p w14:paraId="76E213D7" w14:textId="77777777" w:rsidR="002E7E13" w:rsidRDefault="002E7E13">
            <w:pPr>
              <w:pStyle w:val="ANormal"/>
            </w:pPr>
            <w:r>
              <w:t>- - - - - - - - - - - - - - - - - - - - - - - - - - - - - -</w:t>
            </w:r>
          </w:p>
          <w:p w14:paraId="79E882AE" w14:textId="79CEC852" w:rsidR="002E7E13" w:rsidRPr="00D151BD" w:rsidRDefault="002E7E13" w:rsidP="002E7E13">
            <w:pPr>
              <w:pStyle w:val="ANormal"/>
            </w:pPr>
            <w:r w:rsidRPr="00D151BD">
              <w:tab/>
              <w:t>3) de landskapsandelar som ska erläggas för socialvården</w:t>
            </w:r>
            <w:r>
              <w:t xml:space="preserve"> </w:t>
            </w:r>
            <w:r w:rsidRPr="002E7E13">
              <w:rPr>
                <w:b/>
                <w:bCs/>
              </w:rPr>
              <w:t>(tillägg)</w:t>
            </w:r>
            <w:r w:rsidRPr="00D151BD">
              <w:t xml:space="preserve">, basbelopp enligt åldersgrupp per invånare, </w:t>
            </w:r>
            <w:r w:rsidRPr="00635485">
              <w:rPr>
                <w:b/>
                <w:bCs/>
              </w:rPr>
              <w:t>de kalkylerade nettodriftskostnaderna för den samordnade socialtjänsten</w:t>
            </w:r>
            <w:r w:rsidRPr="00D151BD">
              <w:t xml:space="preserve"> samt en uppskattning av det sammanlagda beloppet av driftskostnaderna för den socialvård som kommunerna ordnar,</w:t>
            </w:r>
          </w:p>
          <w:p w14:paraId="51E44766" w14:textId="77777777" w:rsidR="002E7E13" w:rsidRDefault="002E7E13" w:rsidP="002E7E13">
            <w:pPr>
              <w:pStyle w:val="ANormal"/>
            </w:pPr>
            <w:r>
              <w:t>- - - - - - - - - - - - - - - - - - - - - - - - - - - - - -</w:t>
            </w:r>
          </w:p>
          <w:p w14:paraId="4DFFF3FD" w14:textId="30AF5889" w:rsidR="00601796" w:rsidRPr="002E7E13" w:rsidRDefault="00601796" w:rsidP="002E7E13">
            <w:pPr>
              <w:pStyle w:val="ANormal"/>
            </w:pPr>
          </w:p>
        </w:tc>
        <w:tc>
          <w:tcPr>
            <w:tcW w:w="146" w:type="pct"/>
          </w:tcPr>
          <w:p w14:paraId="6F400A12" w14:textId="77777777" w:rsidR="00E023D9" w:rsidRDefault="00E023D9">
            <w:pPr>
              <w:pStyle w:val="ANormal"/>
            </w:pPr>
          </w:p>
        </w:tc>
        <w:tc>
          <w:tcPr>
            <w:tcW w:w="2427" w:type="pct"/>
          </w:tcPr>
          <w:p w14:paraId="06CF5A97" w14:textId="77777777" w:rsidR="00E023D9" w:rsidRDefault="00E023D9">
            <w:pPr>
              <w:pStyle w:val="ANormal"/>
            </w:pPr>
          </w:p>
          <w:p w14:paraId="6E405719" w14:textId="1D9B6BEC" w:rsidR="00E023D9" w:rsidRDefault="002E7E13">
            <w:pPr>
              <w:pStyle w:val="LagParagraf"/>
            </w:pPr>
            <w:r>
              <w:t>5</w:t>
            </w:r>
            <w:r w:rsidR="00601796">
              <w:t> </w:t>
            </w:r>
            <w:r w:rsidR="00E023D9">
              <w:t>§</w:t>
            </w:r>
          </w:p>
          <w:p w14:paraId="70CC4B39" w14:textId="77777777" w:rsidR="002E7E13" w:rsidRDefault="002E7E13" w:rsidP="002E7E13">
            <w:pPr>
              <w:pStyle w:val="LagPararubrik"/>
            </w:pPr>
            <w:r>
              <w:t>Socialvårdsplanens innehåll</w:t>
            </w:r>
          </w:p>
          <w:p w14:paraId="686EAF75" w14:textId="77777777" w:rsidR="002E7E13" w:rsidRDefault="002E7E13">
            <w:pPr>
              <w:pStyle w:val="ANormal"/>
            </w:pPr>
            <w:r>
              <w:t>- - - - - - - - - - - - - - - - - - - - - - - - - - - - - -</w:t>
            </w:r>
          </w:p>
          <w:p w14:paraId="0F78D9A4" w14:textId="58AA143D" w:rsidR="002E7E13" w:rsidRDefault="002E7E13" w:rsidP="002E7E13">
            <w:pPr>
              <w:pStyle w:val="ANormal"/>
            </w:pPr>
            <w:r>
              <w:tab/>
              <w:t xml:space="preserve">3) de landskapsandelar som ska erläggas för socialvården </w:t>
            </w:r>
            <w:r w:rsidRPr="002E7E13">
              <w:rPr>
                <w:b/>
                <w:bCs/>
              </w:rPr>
              <w:t>och för den samordnade socialtjänsten</w:t>
            </w:r>
            <w:r>
              <w:t xml:space="preserve">, basbelopp enligt åldersgrupp per invånare </w:t>
            </w:r>
            <w:r w:rsidR="00635485">
              <w:rPr>
                <w:b/>
                <w:bCs/>
              </w:rPr>
              <w:t>(</w:t>
            </w:r>
            <w:proofErr w:type="spellStart"/>
            <w:r w:rsidR="00635485">
              <w:rPr>
                <w:b/>
                <w:bCs/>
              </w:rPr>
              <w:t>utesl</w:t>
            </w:r>
            <w:proofErr w:type="spellEnd"/>
            <w:r w:rsidR="00635485">
              <w:rPr>
                <w:b/>
                <w:bCs/>
              </w:rPr>
              <w:t xml:space="preserve">.) </w:t>
            </w:r>
            <w:r>
              <w:t>samt en uppskattning av det sammanlagda beloppet av driftskostnaderna för den socialvård som kommunerna ordnar,</w:t>
            </w:r>
          </w:p>
          <w:p w14:paraId="5FF09B94" w14:textId="77777777" w:rsidR="002E7E13" w:rsidRDefault="002E7E13" w:rsidP="002E7E13">
            <w:pPr>
              <w:pStyle w:val="ANormal"/>
            </w:pPr>
          </w:p>
          <w:p w14:paraId="72D490ED" w14:textId="77777777" w:rsidR="002E7E13" w:rsidRDefault="002E7E13" w:rsidP="002E7E13">
            <w:pPr>
              <w:pStyle w:val="ANormal"/>
            </w:pPr>
            <w:r>
              <w:t>- - - - - - - - - - - - - - - - - - - - - - - - - - - - - -</w:t>
            </w:r>
          </w:p>
          <w:p w14:paraId="5BD304AE" w14:textId="3D9406C5" w:rsidR="00601796" w:rsidRPr="002E7E13" w:rsidRDefault="00601796" w:rsidP="002E7E13">
            <w:pPr>
              <w:pStyle w:val="ANormal"/>
            </w:pPr>
          </w:p>
        </w:tc>
      </w:tr>
      <w:tr w:rsidR="00E023D9" w14:paraId="555B1112" w14:textId="77777777" w:rsidTr="00A96420">
        <w:tc>
          <w:tcPr>
            <w:tcW w:w="2427" w:type="pct"/>
          </w:tcPr>
          <w:p w14:paraId="228F2D05" w14:textId="77777777" w:rsidR="00E023D9" w:rsidRDefault="00E023D9">
            <w:pPr>
              <w:pStyle w:val="ANormal"/>
            </w:pPr>
          </w:p>
          <w:p w14:paraId="71FC01F4" w14:textId="7352F40A" w:rsidR="00E023D9" w:rsidRDefault="002E7E13">
            <w:pPr>
              <w:pStyle w:val="LagParagraf"/>
            </w:pPr>
            <w:r>
              <w:t>14b</w:t>
            </w:r>
            <w:r w:rsidR="00601796">
              <w:t> </w:t>
            </w:r>
            <w:r w:rsidR="00E023D9">
              <w:t>§</w:t>
            </w:r>
          </w:p>
          <w:p w14:paraId="5EBEEE75" w14:textId="77777777" w:rsidR="002E7E13" w:rsidRDefault="002E7E13" w:rsidP="002E7E13">
            <w:pPr>
              <w:pStyle w:val="LagPararubrik"/>
            </w:pPr>
            <w:r>
              <w:t>Fastställande av en särskild landskapsandel för en samordnad socialtjänst</w:t>
            </w:r>
          </w:p>
          <w:p w14:paraId="7F5B271F" w14:textId="77777777" w:rsidR="002E7E13" w:rsidRDefault="002E7E13" w:rsidP="002E7E13">
            <w:pPr>
              <w:pStyle w:val="ANormal"/>
            </w:pPr>
            <w:r>
              <w:tab/>
              <w:t>Utöver den landskapsandel som avses i 10 § fastställs årligen i socialvårdsplanen en särskild landskapsandel för en samordnad socialtjänst. För att kunna fastställa denna särskilda landskapsandel, som den kommunala myndighet som ska handha skötseln av den samordnade socialtjänsten ska erhålla, måste en särskild landskapsandel per kommun först beräknas.</w:t>
            </w:r>
          </w:p>
          <w:p w14:paraId="69BEDECC" w14:textId="0F8BC041" w:rsidR="00601796" w:rsidRPr="002E7E13" w:rsidRDefault="00601796" w:rsidP="002E7E13">
            <w:pPr>
              <w:pStyle w:val="ANormal"/>
            </w:pPr>
          </w:p>
        </w:tc>
        <w:tc>
          <w:tcPr>
            <w:tcW w:w="146" w:type="pct"/>
          </w:tcPr>
          <w:p w14:paraId="5A762AF9" w14:textId="77777777" w:rsidR="00E023D9" w:rsidRDefault="00E023D9">
            <w:pPr>
              <w:pStyle w:val="ANormal"/>
            </w:pPr>
          </w:p>
        </w:tc>
        <w:tc>
          <w:tcPr>
            <w:tcW w:w="2427" w:type="pct"/>
          </w:tcPr>
          <w:p w14:paraId="025B7DC2" w14:textId="77777777" w:rsidR="00E023D9" w:rsidRDefault="00E023D9">
            <w:pPr>
              <w:pStyle w:val="ANormal"/>
            </w:pPr>
          </w:p>
          <w:p w14:paraId="0AF43327" w14:textId="3710B93B" w:rsidR="00E023D9" w:rsidRPr="00A07358" w:rsidRDefault="002B0659">
            <w:pPr>
              <w:pStyle w:val="LagParagraf"/>
              <w:rPr>
                <w:b/>
                <w:bCs/>
              </w:rPr>
            </w:pPr>
            <w:r w:rsidRPr="00A07358">
              <w:rPr>
                <w:b/>
                <w:bCs/>
              </w:rPr>
              <w:t>Paragrafen upphävs</w:t>
            </w:r>
          </w:p>
        </w:tc>
      </w:tr>
      <w:bookmarkEnd w:id="4"/>
      <w:tr w:rsidR="002E7E13" w14:paraId="71708466" w14:textId="77777777" w:rsidTr="00A96420">
        <w:tc>
          <w:tcPr>
            <w:tcW w:w="2427" w:type="pct"/>
          </w:tcPr>
          <w:p w14:paraId="1F1926A0" w14:textId="77777777" w:rsidR="002E7E13" w:rsidRDefault="002E7E13" w:rsidP="002D0EFD">
            <w:pPr>
              <w:pStyle w:val="ANormal"/>
            </w:pPr>
          </w:p>
          <w:p w14:paraId="57B4A63B" w14:textId="32A2CC78" w:rsidR="002E7E13" w:rsidRDefault="002E7E13" w:rsidP="002D0EFD">
            <w:pPr>
              <w:pStyle w:val="LagParagraf"/>
            </w:pPr>
            <w:r>
              <w:t>14c</w:t>
            </w:r>
            <w:r w:rsidR="00601796">
              <w:t> </w:t>
            </w:r>
            <w:r>
              <w:t>§</w:t>
            </w:r>
          </w:p>
          <w:p w14:paraId="5A072F02" w14:textId="77777777" w:rsidR="002E7E13" w:rsidRDefault="002E7E13" w:rsidP="002E7E13">
            <w:pPr>
              <w:pStyle w:val="LagPararubrik"/>
            </w:pPr>
            <w:r>
              <w:t>De särskilda landskapsandelarnas beräkningsgrund</w:t>
            </w:r>
          </w:p>
          <w:p w14:paraId="0D32B5E9" w14:textId="77777777" w:rsidR="002E7E13" w:rsidRPr="00310B5B" w:rsidRDefault="002E7E13" w:rsidP="002E7E13">
            <w:pPr>
              <w:pStyle w:val="ANormal"/>
            </w:pPr>
            <w:r w:rsidRPr="00310B5B">
              <w:tab/>
              <w:t>Den särskilda landskapsandelen beräknas med utgångspunkt från de kalkylerade nettodriftskostnaderna för den samordnade socialtjänsten. De kalkylerade nettodriftskostnaderna fastställs på basen av föregående fastställelseårs kalkylerade nettodriftskostnader justerat med förändringen i kostnadsnivån enligt prisindex för den kommunala basservicen fastställelseåret. Vid fastställandet beaktas även de beräknade förändringarna i omfattningen och arten av de landskapsandelsuppgifter som kan hänföras till den samordnade socialtjänsten.</w:t>
            </w:r>
          </w:p>
          <w:p w14:paraId="6D7968EF" w14:textId="77777777" w:rsidR="002E7E13" w:rsidRPr="00310B5B" w:rsidRDefault="002E7E13" w:rsidP="002E7E13">
            <w:pPr>
              <w:pStyle w:val="ANormal"/>
            </w:pPr>
            <w:r w:rsidRPr="00310B5B">
              <w:tab/>
              <w:t>De kalkylerade nettodriftskostnaderna fördelas mellan kommunerna i två steg. Först fördelas de kalkylerade nettodriftskostnaderna till 50 procent enligt kommunens invånarantal och till 50 procent enligt kommunens skattekraft (</w:t>
            </w:r>
            <w:r w:rsidRPr="00310B5B">
              <w:rPr>
                <w:i/>
              </w:rPr>
              <w:t>solidarisk fördelning</w:t>
            </w:r>
            <w:r w:rsidRPr="00310B5B">
              <w:t>). Hälften av det belopp som erhålls vid den solidariska fördelningen för kommunen utgör kommunens solidariska fördelningsgrund (</w:t>
            </w:r>
            <w:r w:rsidRPr="00310B5B">
              <w:rPr>
                <w:i/>
              </w:rPr>
              <w:t>solidariskt belopp</w:t>
            </w:r>
            <w:r w:rsidRPr="00310B5B">
              <w:t>). Den andra hälften av det belopp som erhålls vid den solidariska fördelningen för kommunen viktas därefter med ett vägt medelvärde för kommunens fyra koefficienter enligt 14d-g</w:t>
            </w:r>
            <w:r>
              <w:t> §</w:t>
            </w:r>
            <w:r w:rsidRPr="00310B5B">
              <w:t>§ (</w:t>
            </w:r>
            <w:r w:rsidRPr="00310B5B">
              <w:rPr>
                <w:i/>
              </w:rPr>
              <w:t>nyckelbelopp</w:t>
            </w:r>
            <w:r w:rsidRPr="00310B5B">
              <w:t>).</w:t>
            </w:r>
          </w:p>
          <w:p w14:paraId="0BF17609" w14:textId="77777777" w:rsidR="002E7E13" w:rsidRDefault="002E7E13" w:rsidP="002E7E13">
            <w:pPr>
              <w:pStyle w:val="ANormal"/>
            </w:pPr>
            <w:r w:rsidRPr="00310B5B">
              <w:tab/>
              <w:t xml:space="preserve">Kommunens skattekraft beräknas utgående från den senast slutförda </w:t>
            </w:r>
            <w:r w:rsidRPr="00E01DDD">
              <w:t>förvärvsinkomst- och samfundsbeskattningen</w:t>
            </w:r>
            <w:r w:rsidRPr="00310B5B">
              <w:t>. I fråga om kommunens invånarantal ska bestämmelserna i 32</w:t>
            </w:r>
            <w:r>
              <w:t> §</w:t>
            </w:r>
            <w:r w:rsidRPr="00310B5B">
              <w:t xml:space="preserve"> iakttas.</w:t>
            </w:r>
          </w:p>
          <w:p w14:paraId="22EB9B13" w14:textId="16BDD718" w:rsidR="00601796" w:rsidRPr="002E7E13" w:rsidRDefault="00601796" w:rsidP="002E7E13">
            <w:pPr>
              <w:pStyle w:val="ANormal"/>
            </w:pPr>
          </w:p>
        </w:tc>
        <w:tc>
          <w:tcPr>
            <w:tcW w:w="146" w:type="pct"/>
          </w:tcPr>
          <w:p w14:paraId="43A8DE4D" w14:textId="77777777" w:rsidR="002E7E13" w:rsidRDefault="002E7E13" w:rsidP="002D0EFD">
            <w:pPr>
              <w:pStyle w:val="ANormal"/>
            </w:pPr>
          </w:p>
        </w:tc>
        <w:tc>
          <w:tcPr>
            <w:tcW w:w="2427" w:type="pct"/>
          </w:tcPr>
          <w:p w14:paraId="406504DE" w14:textId="77777777" w:rsidR="002E7E13" w:rsidRDefault="002E7E13" w:rsidP="002D0EFD">
            <w:pPr>
              <w:pStyle w:val="ANormal"/>
            </w:pPr>
          </w:p>
          <w:p w14:paraId="7E788AC4" w14:textId="176923D4" w:rsidR="002E7E13" w:rsidRPr="00A07358" w:rsidRDefault="002B0659" w:rsidP="002D0EFD">
            <w:pPr>
              <w:pStyle w:val="LagParagraf"/>
              <w:rPr>
                <w:b/>
                <w:bCs/>
              </w:rPr>
            </w:pPr>
            <w:r w:rsidRPr="00A07358">
              <w:rPr>
                <w:b/>
                <w:bCs/>
              </w:rPr>
              <w:t>Paragrafen upphävs</w:t>
            </w:r>
          </w:p>
        </w:tc>
      </w:tr>
      <w:tr w:rsidR="002E7E13" w14:paraId="4E442BBA" w14:textId="77777777" w:rsidTr="00A96420">
        <w:tc>
          <w:tcPr>
            <w:tcW w:w="2427" w:type="pct"/>
          </w:tcPr>
          <w:p w14:paraId="04943F5C" w14:textId="77777777" w:rsidR="002E7E13" w:rsidRDefault="002E7E13" w:rsidP="002D0EFD">
            <w:pPr>
              <w:pStyle w:val="ANormal"/>
            </w:pPr>
          </w:p>
          <w:p w14:paraId="1A40E7E9" w14:textId="2B8E8CD7" w:rsidR="002E7E13" w:rsidRDefault="002E7E13" w:rsidP="002D0EFD">
            <w:pPr>
              <w:pStyle w:val="LagParagraf"/>
            </w:pPr>
            <w:r>
              <w:t>14d</w:t>
            </w:r>
            <w:r w:rsidR="00601796">
              <w:t> </w:t>
            </w:r>
            <w:r>
              <w:t>§</w:t>
            </w:r>
          </w:p>
          <w:p w14:paraId="55C2F6AA" w14:textId="77777777" w:rsidR="002E7E13" w:rsidRDefault="002E7E13" w:rsidP="002E7E13">
            <w:pPr>
              <w:pStyle w:val="LagPararubrik"/>
            </w:pPr>
            <w:r>
              <w:t>Arbetslöshetskoefficient</w:t>
            </w:r>
          </w:p>
          <w:p w14:paraId="7B13F3BB" w14:textId="77777777" w:rsidR="002E7E13" w:rsidRPr="007071EB" w:rsidRDefault="002E7E13" w:rsidP="002E7E13">
            <w:pPr>
              <w:pStyle w:val="ANormal"/>
            </w:pPr>
            <w:r w:rsidRPr="007071EB">
              <w:tab/>
              <w:t xml:space="preserve">Kommunens arbetslöshetskoefficient erhålls genom att andelen </w:t>
            </w:r>
            <w:r>
              <w:t xml:space="preserve">öppet </w:t>
            </w:r>
            <w:r w:rsidRPr="007071EB">
              <w:t>arbetslösa av arbetskraften i kommunen divideras med motsvarande andel för hela Åland.</w:t>
            </w:r>
          </w:p>
          <w:p w14:paraId="3252637C" w14:textId="77777777" w:rsidR="002E7E13" w:rsidRDefault="002E7E13" w:rsidP="002E7E13">
            <w:pPr>
              <w:pStyle w:val="ANormal"/>
            </w:pPr>
            <w:r w:rsidRPr="007071EB">
              <w:tab/>
              <w:t xml:space="preserve">När koefficienten beräknas används </w:t>
            </w:r>
            <w:r>
              <w:t xml:space="preserve">uppgifter från </w:t>
            </w:r>
            <w:r w:rsidRPr="007071EB">
              <w:t xml:space="preserve">Ålands statistik- och utredningsbyrå över andelen </w:t>
            </w:r>
            <w:r>
              <w:t xml:space="preserve">öppet </w:t>
            </w:r>
            <w:r w:rsidRPr="007071EB">
              <w:t>arbetslösa av arbetskraften under året före det år som har föregått verksamhetsåret</w:t>
            </w:r>
            <w:r>
              <w:t>.</w:t>
            </w:r>
          </w:p>
          <w:p w14:paraId="464F5B1A" w14:textId="4949E13B" w:rsidR="00601796" w:rsidRPr="002E7E13" w:rsidRDefault="00601796" w:rsidP="002E7E13">
            <w:pPr>
              <w:pStyle w:val="ANormal"/>
            </w:pPr>
          </w:p>
        </w:tc>
        <w:tc>
          <w:tcPr>
            <w:tcW w:w="146" w:type="pct"/>
          </w:tcPr>
          <w:p w14:paraId="6D66D480" w14:textId="77777777" w:rsidR="002E7E13" w:rsidRDefault="002E7E13" w:rsidP="002D0EFD">
            <w:pPr>
              <w:pStyle w:val="ANormal"/>
            </w:pPr>
          </w:p>
        </w:tc>
        <w:tc>
          <w:tcPr>
            <w:tcW w:w="2427" w:type="pct"/>
          </w:tcPr>
          <w:p w14:paraId="1CF32D76" w14:textId="77777777" w:rsidR="002E7E13" w:rsidRDefault="002E7E13" w:rsidP="002D0EFD">
            <w:pPr>
              <w:pStyle w:val="ANormal"/>
            </w:pPr>
          </w:p>
          <w:p w14:paraId="3823BE31" w14:textId="6B0E3D8A" w:rsidR="002E7E13" w:rsidRPr="00A07358" w:rsidRDefault="002B0659" w:rsidP="002D0EFD">
            <w:pPr>
              <w:pStyle w:val="LagParagraf"/>
              <w:rPr>
                <w:b/>
                <w:bCs/>
              </w:rPr>
            </w:pPr>
            <w:r w:rsidRPr="00A07358">
              <w:rPr>
                <w:b/>
                <w:bCs/>
              </w:rPr>
              <w:t>Paragrafen upphävs</w:t>
            </w:r>
          </w:p>
        </w:tc>
      </w:tr>
      <w:tr w:rsidR="002E7E13" w14:paraId="49ED34EC" w14:textId="77777777" w:rsidTr="00A96420">
        <w:tc>
          <w:tcPr>
            <w:tcW w:w="2427" w:type="pct"/>
          </w:tcPr>
          <w:p w14:paraId="28C0A191" w14:textId="77777777" w:rsidR="002E7E13" w:rsidRDefault="002E7E13" w:rsidP="002D0EFD">
            <w:pPr>
              <w:pStyle w:val="ANormal"/>
            </w:pPr>
          </w:p>
          <w:p w14:paraId="0C4F2409" w14:textId="50953F94" w:rsidR="002E7E13" w:rsidRDefault="00C14BD6" w:rsidP="002D0EFD">
            <w:pPr>
              <w:pStyle w:val="LagParagraf"/>
            </w:pPr>
            <w:r>
              <w:t>14e</w:t>
            </w:r>
            <w:r w:rsidR="00601796">
              <w:t> </w:t>
            </w:r>
            <w:r w:rsidR="002E7E13">
              <w:t>§</w:t>
            </w:r>
          </w:p>
          <w:p w14:paraId="7290A282" w14:textId="77777777" w:rsidR="00C14BD6" w:rsidRDefault="00C14BD6" w:rsidP="00C14BD6">
            <w:pPr>
              <w:pStyle w:val="LagPararubrik"/>
            </w:pPr>
            <w:r>
              <w:t>Barnskyddskoefficient</w:t>
            </w:r>
          </w:p>
          <w:p w14:paraId="09AA99C8" w14:textId="77777777" w:rsidR="00C14BD6" w:rsidRPr="007071EB" w:rsidRDefault="00C14BD6" w:rsidP="00C14BD6">
            <w:pPr>
              <w:pStyle w:val="ANormal"/>
            </w:pPr>
            <w:r w:rsidRPr="007071EB">
              <w:tab/>
              <w:t xml:space="preserve">Kommunens barnskyddskoefficient erhålls genom att antalet barn som en </w:t>
            </w:r>
            <w:r w:rsidRPr="007071EB">
              <w:lastRenderedPageBreak/>
              <w:t>klientrelation har inletts för i kommunen divideras med kommunens invånarantal och den erhållna kvoten divideras med motsvarande kvot för hela Åland.</w:t>
            </w:r>
          </w:p>
          <w:p w14:paraId="21455AB7" w14:textId="77777777" w:rsidR="00C14BD6" w:rsidRDefault="00C14BD6" w:rsidP="00C14BD6">
            <w:pPr>
              <w:pStyle w:val="ANormal"/>
            </w:pPr>
            <w:r w:rsidRPr="007071EB">
              <w:tab/>
              <w:t xml:space="preserve">När koefficienten beräknas används </w:t>
            </w:r>
            <w:r>
              <w:t xml:space="preserve">uppgifter från </w:t>
            </w:r>
            <w:r w:rsidRPr="007071EB">
              <w:t>Ålands statistik- och utredningsbyrå över antalet barn som en klientrelation har inletts för under året före det år som har föregått verksamhetsåret</w:t>
            </w:r>
            <w:r>
              <w:t>.</w:t>
            </w:r>
          </w:p>
          <w:p w14:paraId="0102F3EC" w14:textId="08B4F5C6" w:rsidR="00601796" w:rsidRPr="00C14BD6" w:rsidRDefault="00601796" w:rsidP="00C14BD6">
            <w:pPr>
              <w:pStyle w:val="ANormal"/>
            </w:pPr>
          </w:p>
        </w:tc>
        <w:tc>
          <w:tcPr>
            <w:tcW w:w="146" w:type="pct"/>
          </w:tcPr>
          <w:p w14:paraId="695459B5" w14:textId="77777777" w:rsidR="002E7E13" w:rsidRDefault="002E7E13" w:rsidP="002D0EFD">
            <w:pPr>
              <w:pStyle w:val="ANormal"/>
            </w:pPr>
          </w:p>
        </w:tc>
        <w:tc>
          <w:tcPr>
            <w:tcW w:w="2427" w:type="pct"/>
          </w:tcPr>
          <w:p w14:paraId="64025EB4" w14:textId="77777777" w:rsidR="002E7E13" w:rsidRDefault="002E7E13" w:rsidP="002D0EFD">
            <w:pPr>
              <w:pStyle w:val="ANormal"/>
            </w:pPr>
          </w:p>
          <w:p w14:paraId="49F7FE8D" w14:textId="719B2DF9" w:rsidR="002E7E13" w:rsidRPr="00A07358" w:rsidRDefault="002B0659" w:rsidP="002D0EFD">
            <w:pPr>
              <w:pStyle w:val="LagParagraf"/>
              <w:rPr>
                <w:b/>
                <w:bCs/>
              </w:rPr>
            </w:pPr>
            <w:r w:rsidRPr="00A07358">
              <w:rPr>
                <w:b/>
                <w:bCs/>
              </w:rPr>
              <w:t>Paragrafen upphävs</w:t>
            </w:r>
          </w:p>
        </w:tc>
      </w:tr>
      <w:tr w:rsidR="002E7E13" w14:paraId="530CA9A8" w14:textId="77777777" w:rsidTr="00A96420">
        <w:tc>
          <w:tcPr>
            <w:tcW w:w="2427" w:type="pct"/>
          </w:tcPr>
          <w:p w14:paraId="2C142970" w14:textId="77777777" w:rsidR="002E7E13" w:rsidRDefault="002E7E13" w:rsidP="002D0EFD">
            <w:pPr>
              <w:pStyle w:val="ANormal"/>
            </w:pPr>
          </w:p>
          <w:p w14:paraId="01D87B2C" w14:textId="391936DE" w:rsidR="002E7E13" w:rsidRDefault="00C14BD6" w:rsidP="002D0EFD">
            <w:pPr>
              <w:pStyle w:val="LagParagraf"/>
            </w:pPr>
            <w:r>
              <w:t>14f</w:t>
            </w:r>
            <w:r w:rsidR="00601796">
              <w:t> </w:t>
            </w:r>
            <w:r w:rsidR="002E7E13">
              <w:t>§</w:t>
            </w:r>
          </w:p>
          <w:p w14:paraId="5A67398C" w14:textId="77777777" w:rsidR="00C14BD6" w:rsidRDefault="00C14BD6" w:rsidP="00C14BD6">
            <w:pPr>
              <w:pStyle w:val="LagPararubrik"/>
            </w:pPr>
            <w:r>
              <w:t>Handikappkoefficient</w:t>
            </w:r>
          </w:p>
          <w:p w14:paraId="6E6D64A5" w14:textId="49808820" w:rsidR="00C14BD6" w:rsidRPr="007071EB" w:rsidRDefault="00C14BD6" w:rsidP="00C14BD6">
            <w:pPr>
              <w:pStyle w:val="ANormal"/>
            </w:pPr>
            <w:r w:rsidRPr="007071EB">
              <w:tab/>
              <w:t xml:space="preserve">Kommunens handikappkoefficient erhålls genom att det totala antalet personer i kommunen som får handikappbidrag för personer under 16 år eller för personer över 16 år eller vårdbidrag för pensionstagare enligt </w:t>
            </w:r>
            <w:proofErr w:type="gramStart"/>
            <w:r w:rsidRPr="007071EB">
              <w:t>7-9</w:t>
            </w:r>
            <w:proofErr w:type="gramEnd"/>
            <w:r>
              <w:t> §</w:t>
            </w:r>
            <w:r w:rsidRPr="007071EB">
              <w:t>§ i lagen om handikappförmåner (FFS 570/2007) divideras med kommunens invånarantal och den erhållna kvoten divideras med motsvarande kvot för hela Åland.</w:t>
            </w:r>
          </w:p>
          <w:p w14:paraId="662A96D6" w14:textId="77777777" w:rsidR="00C14BD6" w:rsidRDefault="00C14BD6" w:rsidP="00C14BD6">
            <w:pPr>
              <w:pStyle w:val="ANormal"/>
            </w:pPr>
            <w:r w:rsidRPr="007071EB">
              <w:tab/>
              <w:t>När antalet personer som får handikappbidrag eller vårdbidrag enligt 1</w:t>
            </w:r>
            <w:r>
              <w:t> mom.</w:t>
            </w:r>
            <w:r w:rsidRPr="007071EB">
              <w:t xml:space="preserve"> bestäms beaktas inte personer som har fått kostersättning enligt lagen om handikappförmåner. Vid beräkningen av handikappkoefficienten används Folkpensionsanstaltens uppgifter för året före det år som har föregått verksamhetsåret.</w:t>
            </w:r>
          </w:p>
          <w:p w14:paraId="1C867027" w14:textId="7CB5D147" w:rsidR="00601796" w:rsidRPr="00C14BD6" w:rsidRDefault="00601796" w:rsidP="00C14BD6">
            <w:pPr>
              <w:pStyle w:val="ANormal"/>
            </w:pPr>
          </w:p>
        </w:tc>
        <w:tc>
          <w:tcPr>
            <w:tcW w:w="146" w:type="pct"/>
          </w:tcPr>
          <w:p w14:paraId="6C894010" w14:textId="77777777" w:rsidR="002E7E13" w:rsidRDefault="002E7E13" w:rsidP="002D0EFD">
            <w:pPr>
              <w:pStyle w:val="ANormal"/>
            </w:pPr>
          </w:p>
        </w:tc>
        <w:tc>
          <w:tcPr>
            <w:tcW w:w="2427" w:type="pct"/>
          </w:tcPr>
          <w:p w14:paraId="686B92FB" w14:textId="77777777" w:rsidR="002E7E13" w:rsidRDefault="002E7E13" w:rsidP="002D0EFD">
            <w:pPr>
              <w:pStyle w:val="ANormal"/>
            </w:pPr>
          </w:p>
          <w:p w14:paraId="01F29A0E" w14:textId="14E67F9C" w:rsidR="002E7E13" w:rsidRPr="00A07358" w:rsidRDefault="002B0659" w:rsidP="002D0EFD">
            <w:pPr>
              <w:pStyle w:val="LagParagraf"/>
              <w:rPr>
                <w:b/>
                <w:bCs/>
              </w:rPr>
            </w:pPr>
            <w:r w:rsidRPr="00A07358">
              <w:rPr>
                <w:b/>
                <w:bCs/>
              </w:rPr>
              <w:t>Paragrafen upphävs</w:t>
            </w:r>
          </w:p>
        </w:tc>
      </w:tr>
      <w:tr w:rsidR="002E7E13" w14:paraId="32FB7F7F" w14:textId="77777777" w:rsidTr="00A96420">
        <w:tc>
          <w:tcPr>
            <w:tcW w:w="2427" w:type="pct"/>
          </w:tcPr>
          <w:p w14:paraId="27D57012" w14:textId="77777777" w:rsidR="002E7E13" w:rsidRDefault="002E7E13" w:rsidP="002D0EFD">
            <w:pPr>
              <w:pStyle w:val="ANormal"/>
            </w:pPr>
          </w:p>
          <w:p w14:paraId="225129BD" w14:textId="0D03EFD9" w:rsidR="002E7E13" w:rsidRDefault="00C14BD6" w:rsidP="002D0EFD">
            <w:pPr>
              <w:pStyle w:val="LagParagraf"/>
            </w:pPr>
            <w:r>
              <w:t>14g</w:t>
            </w:r>
            <w:r w:rsidR="00601796">
              <w:t> </w:t>
            </w:r>
            <w:r w:rsidR="002E7E13">
              <w:t>§</w:t>
            </w:r>
          </w:p>
          <w:p w14:paraId="36E1E2A8" w14:textId="77777777" w:rsidR="00C14BD6" w:rsidRDefault="00C14BD6" w:rsidP="00C14BD6">
            <w:pPr>
              <w:pStyle w:val="LagPararubrik"/>
            </w:pPr>
            <w:r>
              <w:t>Utkomststödskoefficient</w:t>
            </w:r>
          </w:p>
          <w:p w14:paraId="73B03E94" w14:textId="77777777" w:rsidR="00C14BD6" w:rsidRPr="007071EB" w:rsidRDefault="00C14BD6" w:rsidP="00C14BD6">
            <w:pPr>
              <w:pStyle w:val="ANormal"/>
            </w:pPr>
            <w:r w:rsidRPr="007071EB">
              <w:tab/>
              <w:t>Kommunens utkomststödskoefficient erhålls genom att antalet hushåll i kommunen som har fått utkomststöd divideras med kommunens totala antal hushåll och den erhållna kvoten divideras med motsvarande kvot för hela Åland.</w:t>
            </w:r>
          </w:p>
          <w:p w14:paraId="3D04CB6E" w14:textId="77777777" w:rsidR="00C14BD6" w:rsidRDefault="00C14BD6" w:rsidP="00C14BD6">
            <w:pPr>
              <w:pStyle w:val="ANormal"/>
            </w:pPr>
            <w:r w:rsidRPr="007071EB">
              <w:tab/>
              <w:t xml:space="preserve">När koefficienten beräknas används </w:t>
            </w:r>
            <w:r>
              <w:t xml:space="preserve">uppgifter från </w:t>
            </w:r>
            <w:r w:rsidRPr="007071EB">
              <w:t>Ålands statistik- och utredningsbyrå över antalet hushåll som har fått utkomststöd och antalet hushåll under året före det år som har föregått verksamhetsåret</w:t>
            </w:r>
            <w:r>
              <w:t>.</w:t>
            </w:r>
          </w:p>
          <w:p w14:paraId="42392B72" w14:textId="0AE98E4D" w:rsidR="00601796" w:rsidRPr="00C14BD6" w:rsidRDefault="00601796" w:rsidP="00C14BD6">
            <w:pPr>
              <w:pStyle w:val="ANormal"/>
            </w:pPr>
          </w:p>
        </w:tc>
        <w:tc>
          <w:tcPr>
            <w:tcW w:w="146" w:type="pct"/>
          </w:tcPr>
          <w:p w14:paraId="26448424" w14:textId="77777777" w:rsidR="002E7E13" w:rsidRDefault="002E7E13" w:rsidP="002D0EFD">
            <w:pPr>
              <w:pStyle w:val="ANormal"/>
            </w:pPr>
          </w:p>
        </w:tc>
        <w:tc>
          <w:tcPr>
            <w:tcW w:w="2427" w:type="pct"/>
          </w:tcPr>
          <w:p w14:paraId="2D8E16BF" w14:textId="77777777" w:rsidR="002E7E13" w:rsidRDefault="002E7E13" w:rsidP="002D0EFD">
            <w:pPr>
              <w:pStyle w:val="ANormal"/>
            </w:pPr>
          </w:p>
          <w:p w14:paraId="3F0B63AB" w14:textId="0B0E560A" w:rsidR="002E7E13" w:rsidRPr="00A07358" w:rsidRDefault="002B0659" w:rsidP="002D0EFD">
            <w:pPr>
              <w:pStyle w:val="LagParagraf"/>
              <w:rPr>
                <w:b/>
                <w:bCs/>
              </w:rPr>
            </w:pPr>
            <w:r w:rsidRPr="00A07358">
              <w:rPr>
                <w:b/>
                <w:bCs/>
              </w:rPr>
              <w:t>Paragrafen upphävs</w:t>
            </w:r>
          </w:p>
        </w:tc>
      </w:tr>
      <w:tr w:rsidR="002E7E13" w14:paraId="72FCDE6F" w14:textId="77777777" w:rsidTr="00A96420">
        <w:tc>
          <w:tcPr>
            <w:tcW w:w="2427" w:type="pct"/>
          </w:tcPr>
          <w:p w14:paraId="755705F2" w14:textId="77777777" w:rsidR="002E7E13" w:rsidRDefault="002E7E13" w:rsidP="002D0EFD">
            <w:pPr>
              <w:pStyle w:val="ANormal"/>
            </w:pPr>
          </w:p>
          <w:p w14:paraId="40C1DED4" w14:textId="20C46E5B" w:rsidR="002E7E13" w:rsidRDefault="00C14BD6" w:rsidP="002D0EFD">
            <w:pPr>
              <w:pStyle w:val="LagParagraf"/>
            </w:pPr>
            <w:r>
              <w:t>14h</w:t>
            </w:r>
            <w:r w:rsidR="00601796">
              <w:t> </w:t>
            </w:r>
            <w:r w:rsidR="002E7E13">
              <w:t>§</w:t>
            </w:r>
          </w:p>
          <w:p w14:paraId="22ECC51C" w14:textId="77777777" w:rsidR="00C14BD6" w:rsidRDefault="00C14BD6" w:rsidP="00C14BD6">
            <w:pPr>
              <w:pStyle w:val="LagPararubrik"/>
            </w:pPr>
            <w:r>
              <w:t>Särskild landskapsandel för en samordnad socialtjänst</w:t>
            </w:r>
          </w:p>
          <w:p w14:paraId="119CCB06" w14:textId="77777777" w:rsidR="00C14BD6" w:rsidRPr="00076C55" w:rsidRDefault="00C14BD6" w:rsidP="00C14BD6">
            <w:pPr>
              <w:pStyle w:val="ANormal"/>
            </w:pPr>
            <w:r>
              <w:tab/>
              <w:t xml:space="preserve">Den särskilda landskapsandelen för en samordnad socialtjänst per kommun erhålls genom att summan av </w:t>
            </w:r>
            <w:r w:rsidRPr="00684463">
              <w:t xml:space="preserve">kommunens solidariska belopp och kommunens nyckelbelopp </w:t>
            </w:r>
            <w:r>
              <w:t xml:space="preserve">multipliceras med </w:t>
            </w:r>
            <w:r w:rsidRPr="00684463">
              <w:t xml:space="preserve">de </w:t>
            </w:r>
            <w:r w:rsidRPr="00684463">
              <w:lastRenderedPageBreak/>
              <w:t xml:space="preserve">landskapsandelsprocenter </w:t>
            </w:r>
            <w:r>
              <w:t>som bestäms enligt kommunens bosättningsstrukturgrupp eller kommuntyp.</w:t>
            </w:r>
          </w:p>
          <w:p w14:paraId="268C1AD0" w14:textId="49AC2690" w:rsidR="00601796" w:rsidRPr="00C14BD6" w:rsidRDefault="00C14BD6" w:rsidP="00A96420">
            <w:pPr>
              <w:pStyle w:val="ANormal"/>
            </w:pPr>
            <w:r>
              <w:tab/>
              <w:t>De särskilda landskapsandelar som beräknats för respektive kommun enligt 1 mom. slås sedan samman, varpå beloppet för den särskilda landskapsandelen för en samordnad socialtjänst erhålls.</w:t>
            </w:r>
          </w:p>
        </w:tc>
        <w:tc>
          <w:tcPr>
            <w:tcW w:w="146" w:type="pct"/>
          </w:tcPr>
          <w:p w14:paraId="67ED67D0" w14:textId="77777777" w:rsidR="002E7E13" w:rsidRDefault="002E7E13" w:rsidP="002D0EFD">
            <w:pPr>
              <w:pStyle w:val="ANormal"/>
            </w:pPr>
          </w:p>
        </w:tc>
        <w:tc>
          <w:tcPr>
            <w:tcW w:w="2427" w:type="pct"/>
          </w:tcPr>
          <w:p w14:paraId="19B496FE" w14:textId="77777777" w:rsidR="002E7E13" w:rsidRDefault="002E7E13" w:rsidP="002D0EFD">
            <w:pPr>
              <w:pStyle w:val="ANormal"/>
            </w:pPr>
          </w:p>
          <w:p w14:paraId="40114E7D" w14:textId="76466AF7" w:rsidR="002E7E13" w:rsidRPr="00A07358" w:rsidRDefault="002B0659" w:rsidP="002D0EFD">
            <w:pPr>
              <w:pStyle w:val="LagParagraf"/>
              <w:rPr>
                <w:b/>
                <w:bCs/>
              </w:rPr>
            </w:pPr>
            <w:r w:rsidRPr="00A07358">
              <w:rPr>
                <w:b/>
                <w:bCs/>
              </w:rPr>
              <w:t>Paragrafen upphävs</w:t>
            </w:r>
          </w:p>
        </w:tc>
      </w:tr>
      <w:tr w:rsidR="002E7E13" w14:paraId="4A3B523C" w14:textId="77777777" w:rsidTr="00A96420">
        <w:tc>
          <w:tcPr>
            <w:tcW w:w="2427" w:type="pct"/>
          </w:tcPr>
          <w:p w14:paraId="69EE3E09" w14:textId="77777777" w:rsidR="002E7E13" w:rsidRDefault="002E7E13" w:rsidP="004677E5">
            <w:pPr>
              <w:pStyle w:val="ANormal"/>
              <w:keepNext/>
            </w:pPr>
          </w:p>
          <w:p w14:paraId="3FC42CA0" w14:textId="6D455431" w:rsidR="002E7E13" w:rsidRDefault="00C14BD6" w:rsidP="004677E5">
            <w:pPr>
              <w:pStyle w:val="LagParagraf"/>
            </w:pPr>
            <w:r>
              <w:t>14i</w:t>
            </w:r>
            <w:r w:rsidR="00601796">
              <w:t> </w:t>
            </w:r>
            <w:r w:rsidR="002E7E13">
              <w:t>§</w:t>
            </w:r>
          </w:p>
          <w:p w14:paraId="4A7276EB" w14:textId="77777777" w:rsidR="00C14BD6" w:rsidRDefault="00C14BD6" w:rsidP="004677E5">
            <w:pPr>
              <w:pStyle w:val="LagPararubrik"/>
            </w:pPr>
            <w:r>
              <w:t>Landskapsandelsskalan</w:t>
            </w:r>
          </w:p>
          <w:p w14:paraId="720FF043" w14:textId="77777777" w:rsidR="00C14BD6" w:rsidRDefault="00C14BD6" w:rsidP="004677E5">
            <w:pPr>
              <w:pStyle w:val="ANormal"/>
              <w:keepNext/>
            </w:pPr>
            <w:r>
              <w:tab/>
              <w:t>Landskapsandelsprocenterna enligt de bosättningsstrukturgrupper som avses i landskapslagen om bosättningsstrukturgrupper samt kommuntypen ytterskärgård är följande:</w:t>
            </w:r>
          </w:p>
          <w:p w14:paraId="3CFB22EC" w14:textId="77777777" w:rsidR="00C14BD6" w:rsidRDefault="00C14BD6" w:rsidP="00C14BD6">
            <w:pPr>
              <w:pStyle w:val="ANormal"/>
            </w:pPr>
          </w:p>
          <w:tbl>
            <w:tblPr>
              <w:tblW w:w="35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805"/>
              <w:gridCol w:w="1739"/>
            </w:tblGrid>
            <w:tr w:rsidR="00C14BD6" w:rsidRPr="00CD1BED" w14:paraId="3B8E9818" w14:textId="77777777" w:rsidTr="00C14BD6">
              <w:trPr>
                <w:cantSplit/>
                <w:jc w:val="center"/>
              </w:trPr>
              <w:tc>
                <w:tcPr>
                  <w:tcW w:w="1805" w:type="dxa"/>
                </w:tcPr>
                <w:p w14:paraId="61935251" w14:textId="77777777" w:rsidR="00C14BD6" w:rsidRDefault="00C14BD6" w:rsidP="00C14BD6">
                  <w:pPr>
                    <w:pStyle w:val="Tabelltext"/>
                    <w:jc w:val="center"/>
                    <w:rPr>
                      <w:b/>
                      <w:bCs/>
                    </w:rPr>
                  </w:pPr>
                  <w:r>
                    <w:t>Bosättningsstruktur-grupp/Kommuntyp</w:t>
                  </w:r>
                </w:p>
              </w:tc>
              <w:tc>
                <w:tcPr>
                  <w:tcW w:w="1739" w:type="dxa"/>
                </w:tcPr>
                <w:p w14:paraId="6BC9E622" w14:textId="77777777" w:rsidR="00C14BD6" w:rsidRDefault="00C14BD6" w:rsidP="00C14BD6">
                  <w:pPr>
                    <w:pStyle w:val="Tabelltext"/>
                    <w:jc w:val="center"/>
                    <w:rPr>
                      <w:b/>
                      <w:bCs/>
                    </w:rPr>
                  </w:pPr>
                  <w:r>
                    <w:t>Procent</w:t>
                  </w:r>
                </w:p>
              </w:tc>
            </w:tr>
            <w:tr w:rsidR="00C14BD6" w:rsidRPr="00CD1BED" w14:paraId="4123C905" w14:textId="77777777" w:rsidTr="00C14BD6">
              <w:trPr>
                <w:cantSplit/>
                <w:jc w:val="center"/>
              </w:trPr>
              <w:tc>
                <w:tcPr>
                  <w:tcW w:w="1805" w:type="dxa"/>
                  <w:vAlign w:val="bottom"/>
                </w:tcPr>
                <w:p w14:paraId="686DA05E" w14:textId="77777777" w:rsidR="00C14BD6" w:rsidRDefault="00C14BD6" w:rsidP="00C14BD6">
                  <w:pPr>
                    <w:pStyle w:val="Tabelltext"/>
                    <w:jc w:val="center"/>
                  </w:pPr>
                  <w:r>
                    <w:t>Ytterskärgård</w:t>
                  </w:r>
                </w:p>
              </w:tc>
              <w:tc>
                <w:tcPr>
                  <w:tcW w:w="1739" w:type="dxa"/>
                  <w:vAlign w:val="bottom"/>
                </w:tcPr>
                <w:p w14:paraId="50AE1335" w14:textId="77777777" w:rsidR="00C14BD6" w:rsidRDefault="00C14BD6" w:rsidP="00C14BD6">
                  <w:pPr>
                    <w:pStyle w:val="Tabelltext"/>
                    <w:jc w:val="center"/>
                  </w:pPr>
                  <w:r>
                    <w:t>53,50</w:t>
                  </w:r>
                </w:p>
              </w:tc>
            </w:tr>
            <w:tr w:rsidR="00C14BD6" w:rsidRPr="00CD1BED" w14:paraId="5A02541D" w14:textId="77777777" w:rsidTr="00C14BD6">
              <w:trPr>
                <w:cantSplit/>
                <w:jc w:val="center"/>
              </w:trPr>
              <w:tc>
                <w:tcPr>
                  <w:tcW w:w="1805" w:type="dxa"/>
                  <w:vAlign w:val="bottom"/>
                </w:tcPr>
                <w:p w14:paraId="14E3ACD2" w14:textId="77777777" w:rsidR="00C14BD6" w:rsidRDefault="00C14BD6" w:rsidP="00C14BD6">
                  <w:pPr>
                    <w:pStyle w:val="Tabelltext"/>
                    <w:jc w:val="center"/>
                  </w:pPr>
                  <w:r>
                    <w:t>1</w:t>
                  </w:r>
                </w:p>
              </w:tc>
              <w:tc>
                <w:tcPr>
                  <w:tcW w:w="1739" w:type="dxa"/>
                  <w:vAlign w:val="bottom"/>
                </w:tcPr>
                <w:p w14:paraId="7D69AC42" w14:textId="77777777" w:rsidR="00C14BD6" w:rsidRDefault="00C14BD6" w:rsidP="00C14BD6">
                  <w:pPr>
                    <w:pStyle w:val="Tabelltext"/>
                    <w:jc w:val="center"/>
                  </w:pPr>
                  <w:r>
                    <w:t>49,50</w:t>
                  </w:r>
                </w:p>
              </w:tc>
            </w:tr>
            <w:tr w:rsidR="00C14BD6" w:rsidRPr="00CD1BED" w14:paraId="2AD56FA3" w14:textId="77777777" w:rsidTr="00C14BD6">
              <w:trPr>
                <w:cantSplit/>
                <w:jc w:val="center"/>
              </w:trPr>
              <w:tc>
                <w:tcPr>
                  <w:tcW w:w="1805" w:type="dxa"/>
                  <w:vAlign w:val="bottom"/>
                </w:tcPr>
                <w:p w14:paraId="2661CB5B" w14:textId="77777777" w:rsidR="00C14BD6" w:rsidRDefault="00C14BD6" w:rsidP="00C14BD6">
                  <w:pPr>
                    <w:pStyle w:val="Tabelltext"/>
                    <w:jc w:val="center"/>
                  </w:pPr>
                  <w:r>
                    <w:t>2</w:t>
                  </w:r>
                </w:p>
              </w:tc>
              <w:tc>
                <w:tcPr>
                  <w:tcW w:w="1739" w:type="dxa"/>
                  <w:vAlign w:val="bottom"/>
                </w:tcPr>
                <w:p w14:paraId="10C32E57" w14:textId="77777777" w:rsidR="00C14BD6" w:rsidRDefault="00C14BD6" w:rsidP="00C14BD6">
                  <w:pPr>
                    <w:pStyle w:val="Tabelltext"/>
                    <w:jc w:val="center"/>
                  </w:pPr>
                  <w:r>
                    <w:t>46,50</w:t>
                  </w:r>
                </w:p>
              </w:tc>
            </w:tr>
            <w:tr w:rsidR="00C14BD6" w:rsidRPr="00CD1BED" w14:paraId="2CD979AF" w14:textId="77777777" w:rsidTr="00C14BD6">
              <w:trPr>
                <w:cantSplit/>
                <w:jc w:val="center"/>
              </w:trPr>
              <w:tc>
                <w:tcPr>
                  <w:tcW w:w="1805" w:type="dxa"/>
                  <w:vAlign w:val="bottom"/>
                </w:tcPr>
                <w:p w14:paraId="59288440" w14:textId="77777777" w:rsidR="00C14BD6" w:rsidRDefault="00C14BD6" w:rsidP="00C14BD6">
                  <w:pPr>
                    <w:pStyle w:val="Tabelltext"/>
                    <w:jc w:val="center"/>
                  </w:pPr>
                  <w:r>
                    <w:t>3</w:t>
                  </w:r>
                </w:p>
              </w:tc>
              <w:tc>
                <w:tcPr>
                  <w:tcW w:w="1739" w:type="dxa"/>
                  <w:vAlign w:val="bottom"/>
                </w:tcPr>
                <w:p w14:paraId="02666265" w14:textId="77777777" w:rsidR="00C14BD6" w:rsidRDefault="00C14BD6" w:rsidP="00C14BD6">
                  <w:pPr>
                    <w:pStyle w:val="Tabelltext"/>
                    <w:jc w:val="center"/>
                  </w:pPr>
                  <w:r>
                    <w:t>41,50</w:t>
                  </w:r>
                </w:p>
              </w:tc>
            </w:tr>
            <w:tr w:rsidR="00C14BD6" w:rsidRPr="00CD1BED" w14:paraId="33CD467D" w14:textId="77777777" w:rsidTr="00C14BD6">
              <w:trPr>
                <w:cantSplit/>
                <w:jc w:val="center"/>
              </w:trPr>
              <w:tc>
                <w:tcPr>
                  <w:tcW w:w="1805" w:type="dxa"/>
                  <w:vAlign w:val="bottom"/>
                </w:tcPr>
                <w:p w14:paraId="2E1E02DF" w14:textId="77777777" w:rsidR="00C14BD6" w:rsidRDefault="00C14BD6" w:rsidP="00C14BD6">
                  <w:pPr>
                    <w:pStyle w:val="Tabelltext"/>
                    <w:jc w:val="center"/>
                  </w:pPr>
                  <w:r>
                    <w:t>4</w:t>
                  </w:r>
                </w:p>
              </w:tc>
              <w:tc>
                <w:tcPr>
                  <w:tcW w:w="1739" w:type="dxa"/>
                  <w:vAlign w:val="bottom"/>
                </w:tcPr>
                <w:p w14:paraId="5060FCC1" w14:textId="77777777" w:rsidR="00C14BD6" w:rsidRDefault="00C14BD6" w:rsidP="00C14BD6">
                  <w:pPr>
                    <w:pStyle w:val="Tabelltext"/>
                    <w:jc w:val="center"/>
                  </w:pPr>
                  <w:r>
                    <w:t>36,50</w:t>
                  </w:r>
                </w:p>
              </w:tc>
            </w:tr>
            <w:tr w:rsidR="00C14BD6" w:rsidRPr="00CD1BED" w14:paraId="44B68658" w14:textId="77777777" w:rsidTr="00C14BD6">
              <w:trPr>
                <w:cantSplit/>
                <w:jc w:val="center"/>
              </w:trPr>
              <w:tc>
                <w:tcPr>
                  <w:tcW w:w="1805" w:type="dxa"/>
                  <w:vAlign w:val="bottom"/>
                </w:tcPr>
                <w:p w14:paraId="65160319" w14:textId="77777777" w:rsidR="00C14BD6" w:rsidRDefault="00C14BD6" w:rsidP="00C14BD6">
                  <w:pPr>
                    <w:pStyle w:val="Tabelltext"/>
                    <w:jc w:val="center"/>
                  </w:pPr>
                  <w:r>
                    <w:t>5</w:t>
                  </w:r>
                </w:p>
              </w:tc>
              <w:tc>
                <w:tcPr>
                  <w:tcW w:w="1739" w:type="dxa"/>
                  <w:tcBorders>
                    <w:bottom w:val="single" w:sz="4" w:space="0" w:color="auto"/>
                  </w:tcBorders>
                  <w:vAlign w:val="bottom"/>
                </w:tcPr>
                <w:p w14:paraId="1881C02F" w14:textId="77777777" w:rsidR="00C14BD6" w:rsidRDefault="00C14BD6" w:rsidP="00C14BD6">
                  <w:pPr>
                    <w:pStyle w:val="Tabelltext"/>
                    <w:jc w:val="center"/>
                  </w:pPr>
                  <w:r>
                    <w:t>31,50</w:t>
                  </w:r>
                </w:p>
              </w:tc>
            </w:tr>
            <w:tr w:rsidR="00C14BD6" w:rsidRPr="00CD1BED" w14:paraId="01D37172" w14:textId="77777777" w:rsidTr="00C14BD6">
              <w:trPr>
                <w:cantSplit/>
                <w:jc w:val="center"/>
              </w:trPr>
              <w:tc>
                <w:tcPr>
                  <w:tcW w:w="1805" w:type="dxa"/>
                  <w:vAlign w:val="bottom"/>
                </w:tcPr>
                <w:p w14:paraId="294CAB72" w14:textId="77777777" w:rsidR="00C14BD6" w:rsidRDefault="00C14BD6" w:rsidP="00C14BD6">
                  <w:pPr>
                    <w:pStyle w:val="Tabelltext"/>
                    <w:jc w:val="center"/>
                  </w:pPr>
                  <w:r>
                    <w:t>6</w:t>
                  </w:r>
                </w:p>
              </w:tc>
              <w:tc>
                <w:tcPr>
                  <w:tcW w:w="1739" w:type="dxa"/>
                  <w:tcBorders>
                    <w:top w:val="single" w:sz="4" w:space="0" w:color="auto"/>
                  </w:tcBorders>
                  <w:vAlign w:val="bottom"/>
                </w:tcPr>
                <w:p w14:paraId="7D5A0735" w14:textId="77777777" w:rsidR="00C14BD6" w:rsidRDefault="00C14BD6" w:rsidP="00C14BD6">
                  <w:pPr>
                    <w:pStyle w:val="Tabelltext"/>
                    <w:jc w:val="center"/>
                  </w:pPr>
                  <w:r>
                    <w:t>26,50</w:t>
                  </w:r>
                </w:p>
              </w:tc>
            </w:tr>
            <w:tr w:rsidR="00C14BD6" w:rsidRPr="00CD1BED" w14:paraId="44271B15" w14:textId="77777777" w:rsidTr="00C14BD6">
              <w:trPr>
                <w:cantSplit/>
                <w:jc w:val="center"/>
              </w:trPr>
              <w:tc>
                <w:tcPr>
                  <w:tcW w:w="1805" w:type="dxa"/>
                  <w:vAlign w:val="bottom"/>
                </w:tcPr>
                <w:p w14:paraId="27B3D930" w14:textId="77777777" w:rsidR="00C14BD6" w:rsidRDefault="00C14BD6" w:rsidP="00C14BD6">
                  <w:pPr>
                    <w:pStyle w:val="Tabelltext"/>
                    <w:jc w:val="center"/>
                  </w:pPr>
                  <w:r>
                    <w:t>7</w:t>
                  </w:r>
                </w:p>
              </w:tc>
              <w:tc>
                <w:tcPr>
                  <w:tcW w:w="1739" w:type="dxa"/>
                  <w:vAlign w:val="bottom"/>
                </w:tcPr>
                <w:p w14:paraId="399FD7D0" w14:textId="77777777" w:rsidR="00C14BD6" w:rsidRDefault="00C14BD6" w:rsidP="00C14BD6">
                  <w:pPr>
                    <w:pStyle w:val="Tabelltext"/>
                    <w:jc w:val="center"/>
                  </w:pPr>
                  <w:r>
                    <w:t>21,50</w:t>
                  </w:r>
                </w:p>
              </w:tc>
            </w:tr>
            <w:tr w:rsidR="00C14BD6" w:rsidRPr="00CD1BED" w14:paraId="5AFC1737" w14:textId="77777777" w:rsidTr="00C14BD6">
              <w:trPr>
                <w:cantSplit/>
                <w:jc w:val="center"/>
              </w:trPr>
              <w:tc>
                <w:tcPr>
                  <w:tcW w:w="1805" w:type="dxa"/>
                  <w:vAlign w:val="bottom"/>
                </w:tcPr>
                <w:p w14:paraId="2B46CA46" w14:textId="77777777" w:rsidR="00C14BD6" w:rsidRDefault="00C14BD6" w:rsidP="00C14BD6">
                  <w:pPr>
                    <w:pStyle w:val="Tabelltext"/>
                    <w:jc w:val="center"/>
                  </w:pPr>
                  <w:r>
                    <w:t>8</w:t>
                  </w:r>
                </w:p>
              </w:tc>
              <w:tc>
                <w:tcPr>
                  <w:tcW w:w="1739" w:type="dxa"/>
                  <w:vAlign w:val="bottom"/>
                </w:tcPr>
                <w:p w14:paraId="55CAAA82" w14:textId="77777777" w:rsidR="00C14BD6" w:rsidRDefault="00C14BD6" w:rsidP="00C14BD6">
                  <w:pPr>
                    <w:pStyle w:val="Tabelltext"/>
                    <w:jc w:val="center"/>
                  </w:pPr>
                  <w:r>
                    <w:t>18,50</w:t>
                  </w:r>
                </w:p>
              </w:tc>
            </w:tr>
          </w:tbl>
          <w:p w14:paraId="692E93CB" w14:textId="77777777" w:rsidR="00C14BD6" w:rsidRDefault="00C14BD6" w:rsidP="00C14BD6">
            <w:pPr>
              <w:pStyle w:val="ANormal"/>
            </w:pPr>
          </w:p>
          <w:p w14:paraId="1188D6FB" w14:textId="77777777" w:rsidR="00601796" w:rsidRDefault="00C14BD6" w:rsidP="00A96420">
            <w:pPr>
              <w:pStyle w:val="ANormal"/>
            </w:pPr>
            <w:r>
              <w:tab/>
              <w:t>Med ytterskärgård avses kommunerna Brändö, Kumlinge, Kökar och Sottunga.</w:t>
            </w:r>
          </w:p>
          <w:p w14:paraId="73CEC6E4" w14:textId="0D12490B" w:rsidR="00A96420" w:rsidRPr="00C14BD6" w:rsidRDefault="00A96420" w:rsidP="00A96420">
            <w:pPr>
              <w:pStyle w:val="ANormal"/>
            </w:pPr>
          </w:p>
        </w:tc>
        <w:tc>
          <w:tcPr>
            <w:tcW w:w="146" w:type="pct"/>
          </w:tcPr>
          <w:p w14:paraId="5EB1210C" w14:textId="77777777" w:rsidR="002E7E13" w:rsidRDefault="002E7E13" w:rsidP="002D0EFD">
            <w:pPr>
              <w:pStyle w:val="ANormal"/>
            </w:pPr>
          </w:p>
        </w:tc>
        <w:tc>
          <w:tcPr>
            <w:tcW w:w="2427" w:type="pct"/>
          </w:tcPr>
          <w:p w14:paraId="4C4DABE4" w14:textId="77777777" w:rsidR="002E7E13" w:rsidRDefault="002E7E13" w:rsidP="002D0EFD">
            <w:pPr>
              <w:pStyle w:val="ANormal"/>
            </w:pPr>
          </w:p>
          <w:p w14:paraId="5AC81E32" w14:textId="65EDDAB7" w:rsidR="002E7E13" w:rsidRPr="00A07358" w:rsidRDefault="002B0659" w:rsidP="002D0EFD">
            <w:pPr>
              <w:pStyle w:val="LagParagraf"/>
              <w:rPr>
                <w:b/>
                <w:bCs/>
              </w:rPr>
            </w:pPr>
            <w:r w:rsidRPr="00A07358">
              <w:rPr>
                <w:b/>
                <w:bCs/>
              </w:rPr>
              <w:t>Paragrafen upphävs</w:t>
            </w:r>
          </w:p>
        </w:tc>
      </w:tr>
      <w:tr w:rsidR="002E7E13" w14:paraId="3CF163D4" w14:textId="77777777" w:rsidTr="00A96420">
        <w:tc>
          <w:tcPr>
            <w:tcW w:w="2427" w:type="pct"/>
          </w:tcPr>
          <w:p w14:paraId="79A29651" w14:textId="77777777" w:rsidR="00601796" w:rsidRDefault="000535CD">
            <w:pPr>
              <w:pStyle w:val="ANormal"/>
              <w:jc w:val="center"/>
            </w:pPr>
            <w:hyperlink w:anchor="_top" w:tooltip="Klicka för att gå till toppen av dokumentet" w:history="1">
              <w:r w:rsidR="00601796">
                <w:rPr>
                  <w:rStyle w:val="Hyperlnk"/>
                </w:rPr>
                <w:t>__________________</w:t>
              </w:r>
            </w:hyperlink>
          </w:p>
          <w:p w14:paraId="041C2D11" w14:textId="77777777" w:rsidR="00613BF2" w:rsidRDefault="00613BF2" w:rsidP="00613BF2">
            <w:pPr>
              <w:pStyle w:val="ANormal"/>
            </w:pPr>
          </w:p>
          <w:p w14:paraId="47F9A949" w14:textId="59C59B81" w:rsidR="00613BF2" w:rsidRPr="00613BF2" w:rsidRDefault="00613BF2" w:rsidP="00613BF2">
            <w:pPr>
              <w:pStyle w:val="ANormal"/>
              <w:rPr>
                <w:b/>
                <w:bCs/>
              </w:rPr>
            </w:pPr>
            <w:r w:rsidRPr="007071EB">
              <w:tab/>
              <w:t xml:space="preserve">Denna lag träder i kraft </w:t>
            </w:r>
            <w:r>
              <w:t>den</w:t>
            </w:r>
            <w:r w:rsidRPr="007071EB">
              <w:t xml:space="preserve"> </w:t>
            </w:r>
            <w:r>
              <w:t xml:space="preserve">… </w:t>
            </w:r>
            <w:r w:rsidRPr="00613BF2">
              <w:rPr>
                <w:b/>
                <w:bCs/>
              </w:rPr>
              <w:t>och tillämpas första gången på de landskapsandelar som fastställs för verksamhetsåret året efter det att denna lag har trätt i kraft. Bestämmelserna om basbelopp enligt åldersgrupp i 9 § och kommuninvånare i 32 § 2 mom., sådana de lyder när denna lag träder i kraft, ska dock tillämpas på de landskapsandelar som utbetalas för verksamhetsåret det år som denna lag träder i kraft.</w:t>
            </w:r>
          </w:p>
          <w:p w14:paraId="4FE033A1" w14:textId="77777777" w:rsidR="00613BF2" w:rsidRPr="00613BF2" w:rsidRDefault="00613BF2" w:rsidP="00613BF2">
            <w:pPr>
              <w:pStyle w:val="ANormal"/>
              <w:rPr>
                <w:b/>
                <w:bCs/>
              </w:rPr>
            </w:pPr>
            <w:r w:rsidRPr="00613BF2">
              <w:rPr>
                <w:b/>
                <w:bCs/>
              </w:rPr>
              <w:tab/>
              <w:t xml:space="preserve">Med avvikelse från bestämmelserna i 14c § beräknas den särskilda landskapsandelen för verksamhetsåret året efter det att denna lag har trätt i kraft med utgångspunkt från nettodriftskostnaderna för året två år innan denna lag träder i kraft för den verksamhet som omfattas av den samordnade socialtjänsten. </w:t>
            </w:r>
            <w:r w:rsidRPr="00613BF2">
              <w:rPr>
                <w:b/>
                <w:bCs/>
              </w:rPr>
              <w:lastRenderedPageBreak/>
              <w:t>Nettodriftskostnaderna justeras därefter med förändringen i kostnadsnivån enligt prisindex för den kommunala basservicen för åren två år innan denna lag har trätt i kraft till och med det år som denna lag träder i kraft. Vid beräkningen av den särskilda landskapsandelen för verksamhetsåret året efter det att denna lag har trätt i kraft höjs nettodriftskostnaderna utöver prisindexet temporärt med ytterligare fem procent. Denna temporära höjning ska inte beaktas i beräkningsunderlaget för den särskilda landskapsandelen från och med det andra verksamhetsåret året efter det att denna lag har trätt i kraft.</w:t>
            </w:r>
          </w:p>
          <w:p w14:paraId="672986B8" w14:textId="77777777" w:rsidR="00613BF2" w:rsidRPr="00613BF2" w:rsidRDefault="00613BF2" w:rsidP="00613BF2">
            <w:pPr>
              <w:pStyle w:val="ANormal"/>
              <w:rPr>
                <w:b/>
                <w:bCs/>
                <w:szCs w:val="22"/>
              </w:rPr>
            </w:pPr>
            <w:r w:rsidRPr="007071EB">
              <w:rPr>
                <w:szCs w:val="22"/>
              </w:rPr>
              <w:tab/>
            </w:r>
            <w:r w:rsidRPr="00613BF2">
              <w:rPr>
                <w:b/>
                <w:bCs/>
                <w:szCs w:val="22"/>
              </w:rPr>
              <w:t>Vid den kostnadsfördelningsutredning som genomförs första gången efter det att denna lag har trätt i kraft, och vars effekter enligt 13 § 5 mom. ska beaktas vid fastställandet av de kalkylerade nettodriftskostnaderna för en samordnad socialtjänst verksamhetsåret efter att utredningen har slutförts, ska till den del utredningen gäller de kalkylerade nettodriftskostnaderna för en samordnad socialtjänst göras utgående från hur kostnadsfördelningen var året fyra år innan denna lag har trätt i kraft.</w:t>
            </w:r>
          </w:p>
          <w:p w14:paraId="3F223BE0" w14:textId="77777777" w:rsidR="00613BF2" w:rsidRPr="00613BF2" w:rsidRDefault="00613BF2" w:rsidP="00613BF2">
            <w:pPr>
              <w:pStyle w:val="ANormal"/>
              <w:rPr>
                <w:b/>
                <w:bCs/>
              </w:rPr>
            </w:pPr>
            <w:r>
              <w:tab/>
            </w:r>
            <w:r w:rsidRPr="00613BF2">
              <w:rPr>
                <w:b/>
                <w:bCs/>
              </w:rPr>
              <w:t>För att utjämna utfallet av kommunernas finansiering av den samordnade socialtjänsten fastställer landskapsregeringen ett övergångssystem för kommunerna under åren året efter att denna lag har trätt i kraft till och med tredje året efter det att denna lag har trätt i kraft.</w:t>
            </w:r>
          </w:p>
          <w:p w14:paraId="7121A723" w14:textId="4BB59115" w:rsidR="00601796" w:rsidRPr="00613BF2" w:rsidRDefault="00613BF2" w:rsidP="00601796">
            <w:pPr>
              <w:pStyle w:val="ANormal"/>
              <w:rPr>
                <w:b/>
                <w:bCs/>
              </w:rPr>
            </w:pPr>
            <w:r w:rsidRPr="00613BF2">
              <w:rPr>
                <w:b/>
                <w:bCs/>
              </w:rPr>
              <w:tab/>
              <w:t xml:space="preserve">Övergångssystemet fastställs med utgångspunkt ifrån </w:t>
            </w:r>
            <w:r w:rsidRPr="00613BF2">
              <w:rPr>
                <w:b/>
                <w:bCs/>
                <w:szCs w:val="22"/>
              </w:rPr>
              <w:t>en provberäkning av hur finansieringen av den samordnade socialtjänsten skulle komma att utfalla under åren tre år innan denna lag har trätt i kraft till och med året innan denna lag har trätt i kraft enligt de bestämmelser som ingår i denna lag och hur utfallet skulle ha varit under samma tidsperiod om de landskapsandelsbestämmelser som var gällande fram till dess att denna lag trädde i kraft hade fortsatt att gälla. Som grund för jämförelsen mellan den nya och den gamla finansieringen används ett genomsnitt för de tre provräkningsåren.</w:t>
            </w:r>
          </w:p>
        </w:tc>
        <w:tc>
          <w:tcPr>
            <w:tcW w:w="146" w:type="pct"/>
          </w:tcPr>
          <w:p w14:paraId="3315D05E" w14:textId="77777777" w:rsidR="002E7E13" w:rsidRDefault="002E7E13" w:rsidP="002D0EFD">
            <w:pPr>
              <w:pStyle w:val="ANormal"/>
            </w:pPr>
          </w:p>
        </w:tc>
        <w:tc>
          <w:tcPr>
            <w:tcW w:w="2427" w:type="pct"/>
          </w:tcPr>
          <w:p w14:paraId="6D6DA91E" w14:textId="77777777" w:rsidR="00601796" w:rsidRDefault="000535CD">
            <w:pPr>
              <w:pStyle w:val="ANormal"/>
              <w:jc w:val="center"/>
            </w:pPr>
            <w:hyperlink w:anchor="_top" w:tooltip="Klicka för att gå till toppen av dokumentet" w:history="1">
              <w:r w:rsidR="00601796">
                <w:rPr>
                  <w:rStyle w:val="Hyperlnk"/>
                </w:rPr>
                <w:t>__________________</w:t>
              </w:r>
            </w:hyperlink>
          </w:p>
          <w:p w14:paraId="14EA001F" w14:textId="77777777" w:rsidR="00613BF2" w:rsidRDefault="00613BF2" w:rsidP="00613BF2">
            <w:pPr>
              <w:pStyle w:val="ANormal"/>
            </w:pPr>
          </w:p>
          <w:p w14:paraId="594B6869" w14:textId="3B78AAF9" w:rsidR="002E7E13" w:rsidRPr="00613BF2" w:rsidRDefault="00613BF2" w:rsidP="00613BF2">
            <w:pPr>
              <w:pStyle w:val="ANormal"/>
              <w:rPr>
                <w:b/>
                <w:bCs/>
              </w:rPr>
            </w:pPr>
            <w:r w:rsidRPr="007071EB">
              <w:tab/>
              <w:t xml:space="preserve">Denna lag träder i kraft </w:t>
            </w:r>
            <w:r>
              <w:t xml:space="preserve">den … </w:t>
            </w:r>
            <w:r>
              <w:rPr>
                <w:b/>
                <w:bCs/>
              </w:rPr>
              <w:t>(</w:t>
            </w:r>
            <w:proofErr w:type="spellStart"/>
            <w:r>
              <w:rPr>
                <w:b/>
                <w:bCs/>
              </w:rPr>
              <w:t>utesl</w:t>
            </w:r>
            <w:proofErr w:type="spellEnd"/>
            <w:r>
              <w:rPr>
                <w:b/>
                <w:bCs/>
              </w:rPr>
              <w:t>.)</w:t>
            </w:r>
          </w:p>
        </w:tc>
      </w:tr>
      <w:tr w:rsidR="002E7E13" w14:paraId="600081E7" w14:textId="77777777" w:rsidTr="00A96420">
        <w:tc>
          <w:tcPr>
            <w:tcW w:w="2427" w:type="pct"/>
          </w:tcPr>
          <w:p w14:paraId="138F9422" w14:textId="77777777" w:rsidR="002E7E13" w:rsidRDefault="002E7E13" w:rsidP="002D0EFD">
            <w:pPr>
              <w:pStyle w:val="ANormal"/>
            </w:pPr>
          </w:p>
          <w:p w14:paraId="0632A735" w14:textId="57BCD042" w:rsidR="002E7E13" w:rsidRDefault="002E7E13" w:rsidP="002D0EFD">
            <w:pPr>
              <w:pStyle w:val="LagParagraf"/>
            </w:pPr>
          </w:p>
        </w:tc>
        <w:tc>
          <w:tcPr>
            <w:tcW w:w="146" w:type="pct"/>
          </w:tcPr>
          <w:p w14:paraId="60456156" w14:textId="77777777" w:rsidR="002E7E13" w:rsidRDefault="002E7E13" w:rsidP="002D0EFD">
            <w:pPr>
              <w:pStyle w:val="ANormal"/>
            </w:pPr>
          </w:p>
        </w:tc>
        <w:tc>
          <w:tcPr>
            <w:tcW w:w="2427" w:type="pct"/>
          </w:tcPr>
          <w:p w14:paraId="6E5836DA" w14:textId="77777777" w:rsidR="00613BF2" w:rsidRDefault="000535CD" w:rsidP="00613BF2">
            <w:pPr>
              <w:pStyle w:val="ANormal"/>
              <w:jc w:val="center"/>
            </w:pPr>
            <w:hyperlink w:anchor="_top" w:tooltip="Klicka för att gå till toppen av dokumentet" w:history="1">
              <w:r w:rsidR="00613BF2">
                <w:rPr>
                  <w:rStyle w:val="Hyperlnk"/>
                </w:rPr>
                <w:t>__________________</w:t>
              </w:r>
            </w:hyperlink>
          </w:p>
          <w:p w14:paraId="493D35EB" w14:textId="77777777" w:rsidR="00613BF2" w:rsidRDefault="00613BF2" w:rsidP="00613BF2">
            <w:pPr>
              <w:pStyle w:val="ANormal"/>
            </w:pPr>
          </w:p>
          <w:p w14:paraId="7F799300" w14:textId="77777777" w:rsidR="002E7E13" w:rsidRDefault="00613BF2" w:rsidP="00613BF2">
            <w:pPr>
              <w:pStyle w:val="LagParagraf"/>
              <w:jc w:val="left"/>
            </w:pPr>
            <w:r>
              <w:tab/>
              <w:t>Denna lag träder i kraft den …</w:t>
            </w:r>
          </w:p>
          <w:p w14:paraId="76456A00" w14:textId="3060751C" w:rsidR="00601796" w:rsidRPr="00601796" w:rsidRDefault="00601796" w:rsidP="00601796">
            <w:pPr>
              <w:pStyle w:val="LagPararubrik"/>
            </w:pPr>
          </w:p>
        </w:tc>
      </w:tr>
    </w:tbl>
    <w:p w14:paraId="719EFB11" w14:textId="77777777" w:rsidR="002E7E13" w:rsidRDefault="002E7E13">
      <w:pPr>
        <w:pStyle w:val="ANormal"/>
      </w:pPr>
    </w:p>
    <w:sectPr w:rsidR="002E7E13">
      <w:headerReference w:type="even" r:id="rId12"/>
      <w:headerReference w:type="default" r:id="rId13"/>
      <w:footerReference w:type="default" r:id="rId14"/>
      <w:type w:val="continuous"/>
      <w:pgSz w:w="11906" w:h="16838" w:code="9"/>
      <w:pgMar w:top="1134" w:right="2041"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F9A7C" w14:textId="77777777" w:rsidR="008A66E6" w:rsidRDefault="008A66E6">
      <w:r>
        <w:separator/>
      </w:r>
    </w:p>
  </w:endnote>
  <w:endnote w:type="continuationSeparator" w:id="0">
    <w:p w14:paraId="744F09FE" w14:textId="77777777" w:rsidR="008A66E6" w:rsidRDefault="008A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Sakkal Majalla"/>
    <w:charset w:val="B2"/>
    <w:family w:val="auto"/>
    <w:pitch w:val="variable"/>
    <w:sig w:usb0="80002007" w:usb1="80000000" w:usb2="00000008" w:usb3="00000000" w:csb0="000000D3"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DD6B9" w14:textId="77777777" w:rsidR="00E023D9" w:rsidRDefault="00E023D9">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58DD3" w14:textId="23563418" w:rsidR="00E023D9" w:rsidRDefault="00A96420">
    <w:pPr>
      <w:pStyle w:val="Sidfot"/>
      <w:rPr>
        <w:lang w:val="fi-FI"/>
      </w:rPr>
    </w:pPr>
    <w:r>
      <w:t>LF0920192020-P.docx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464D2" w14:textId="77777777" w:rsidR="00E023D9" w:rsidRDefault="00E023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D7C2D" w14:textId="77777777" w:rsidR="008A66E6" w:rsidRDefault="008A66E6">
      <w:r>
        <w:separator/>
      </w:r>
    </w:p>
  </w:footnote>
  <w:footnote w:type="continuationSeparator" w:id="0">
    <w:p w14:paraId="1AFC4A45" w14:textId="77777777" w:rsidR="008A66E6" w:rsidRDefault="008A6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B22A5" w14:textId="77777777" w:rsidR="00E023D9" w:rsidRDefault="00E023D9">
    <w:pPr>
      <w:pStyle w:val="Sidhuvud"/>
      <w:ind w:left="-912"/>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6B1CE6A9" w14:textId="77777777" w:rsidR="00E023D9" w:rsidRDefault="00E023D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E9B5E" w14:textId="77777777" w:rsidR="00E023D9" w:rsidRDefault="00E023D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6E6"/>
    <w:rsid w:val="00050B22"/>
    <w:rsid w:val="000535CD"/>
    <w:rsid w:val="001610EB"/>
    <w:rsid w:val="00262245"/>
    <w:rsid w:val="00285A07"/>
    <w:rsid w:val="002B0659"/>
    <w:rsid w:val="002E7E13"/>
    <w:rsid w:val="00407EFE"/>
    <w:rsid w:val="00411F65"/>
    <w:rsid w:val="004319AB"/>
    <w:rsid w:val="004677E5"/>
    <w:rsid w:val="00505C57"/>
    <w:rsid w:val="00601796"/>
    <w:rsid w:val="00613BF2"/>
    <w:rsid w:val="00635485"/>
    <w:rsid w:val="00700BAE"/>
    <w:rsid w:val="008A66E6"/>
    <w:rsid w:val="00A07358"/>
    <w:rsid w:val="00A96420"/>
    <w:rsid w:val="00C14BD6"/>
    <w:rsid w:val="00D13B66"/>
    <w:rsid w:val="00E023D9"/>
    <w:rsid w:val="00F464B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08892"/>
  <w15:chartTrackingRefBased/>
  <w15:docId w15:val="{AB8F1C61-02DF-4E14-9F11-C4BF30427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BD6"/>
    <w:pPr>
      <w:widowControl w:val="0"/>
      <w:autoSpaceDE w:val="0"/>
      <w:autoSpaceDN w:val="0"/>
      <w:adjustRightInd w:val="0"/>
    </w:pPr>
    <w:rPr>
      <w:rFonts w:ascii="Sakkal Majalla" w:hAnsi="Sakkal Majalla" w:cs="Sakkal Majalla"/>
      <w:sz w:val="24"/>
      <w:szCs w:val="24"/>
      <w:lang w:val="en-US"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7938"/>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tabs>
        <w:tab w:val="left" w:pos="0"/>
        <w:tab w:val="left" w:pos="453"/>
        <w:tab w:val="left" w:pos="2592"/>
        <w:tab w:val="left" w:pos="3888"/>
        <w:tab w:val="left" w:pos="5184"/>
        <w:tab w:val="left" w:pos="6480"/>
        <w:tab w:val="left" w:pos="7776"/>
      </w:tabs>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Paralle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78EAA-1378-4ED1-B564-9A91C35EA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LS-Parallell.dot</Template>
  <TotalTime>2</TotalTime>
  <Pages>5</Pages>
  <Words>1355</Words>
  <Characters>8352</Characters>
  <Application>Microsoft Office Word</Application>
  <DocSecurity>0</DocSecurity>
  <Lines>69</Lines>
  <Paragraphs>19</Paragraphs>
  <ScaleCrop>false</ScaleCrop>
  <HeadingPairs>
    <vt:vector size="2" baseType="variant">
      <vt:variant>
        <vt:lpstr>Rubrik</vt:lpstr>
      </vt:variant>
      <vt:variant>
        <vt:i4>1</vt:i4>
      </vt:variant>
    </vt:vector>
  </HeadingPairs>
  <TitlesOfParts>
    <vt:vector size="1" baseType="lpstr">
      <vt:lpstr>NyLS-Parallell</vt:lpstr>
    </vt:vector>
  </TitlesOfParts>
  <Company>Ålands landskapsstyrelse</Company>
  <LinksUpToDate>false</LinksUpToDate>
  <CharactersWithSpaces>9688</CharactersWithSpaces>
  <SharedDoc>false</SharedDoc>
  <HLinks>
    <vt:vector size="12" baseType="variant">
      <vt:variant>
        <vt:i4>1310783</vt:i4>
      </vt:variant>
      <vt:variant>
        <vt:i4>8</vt:i4>
      </vt:variant>
      <vt:variant>
        <vt:i4>0</vt:i4>
      </vt:variant>
      <vt:variant>
        <vt:i4>5</vt:i4>
      </vt:variant>
      <vt:variant>
        <vt:lpwstr/>
      </vt:variant>
      <vt:variant>
        <vt:lpwstr>_Toc530991380</vt:lpwstr>
      </vt:variant>
      <vt:variant>
        <vt:i4>1769535</vt:i4>
      </vt:variant>
      <vt:variant>
        <vt:i4>2</vt:i4>
      </vt:variant>
      <vt:variant>
        <vt:i4>0</vt:i4>
      </vt:variant>
      <vt:variant>
        <vt:i4>5</vt:i4>
      </vt:variant>
      <vt:variant>
        <vt:lpwstr/>
      </vt:variant>
      <vt:variant>
        <vt:lpwstr>_Toc530991379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NyLS-Parallell</dc:title>
  <dc:subject>Ny parallellmall</dc:subject>
  <dc:creator>Diana Lönngren</dc:creator>
  <cp:keywords/>
  <dc:description/>
  <cp:lastModifiedBy>Marina Eriksson</cp:lastModifiedBy>
  <cp:revision>2</cp:revision>
  <cp:lastPrinted>2001-02-13T09:44:00Z</cp:lastPrinted>
  <dcterms:created xsi:type="dcterms:W3CDTF">2020-03-05T10:59:00Z</dcterms:created>
  <dcterms:modified xsi:type="dcterms:W3CDTF">2020-03-05T10:59:00Z</dcterms:modified>
</cp:coreProperties>
</file>