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727D36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727D3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090129">
            <w:pPr>
              <w:pStyle w:val="xDokTypNr"/>
            </w:pPr>
            <w:r>
              <w:t xml:space="preserve">BETÄNKANDE nr </w:t>
            </w:r>
            <w:r w:rsidR="00090129">
              <w:t>1</w:t>
            </w:r>
            <w:r w:rsidR="007566FA">
              <w:t>/</w:t>
            </w:r>
            <w:r>
              <w:t>20</w:t>
            </w:r>
            <w:r w:rsidR="00723B93">
              <w:t>1</w:t>
            </w:r>
            <w:r w:rsidR="00727D36">
              <w:t>9</w:t>
            </w:r>
            <w:r w:rsidR="0015337C">
              <w:t>-20</w:t>
            </w:r>
            <w:r w:rsidR="00727D36">
              <w:t>20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727D36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7A495E">
            <w:pPr>
              <w:pStyle w:val="xDatum1"/>
            </w:pPr>
            <w:r>
              <w:t>20</w:t>
            </w:r>
            <w:r w:rsidR="00727D36">
              <w:t>19-12-</w:t>
            </w:r>
            <w:r w:rsidR="007A495E">
              <w:t>12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727D36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727D36">
      <w:pPr>
        <w:pStyle w:val="ArendeRubrik"/>
      </w:pPr>
      <w:r w:rsidRPr="008F453C">
        <w:t>Ändring av vattenlagen</w:t>
      </w:r>
    </w:p>
    <w:p w:rsidR="002401D0" w:rsidRDefault="00727D36">
      <w:pPr>
        <w:pStyle w:val="ArendeUnderRubrik"/>
      </w:pPr>
      <w:r>
        <w:t>Landskapsregeringens lagförslag LF 6/2019-2020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B02372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27034527" w:history="1">
        <w:r w:rsidR="00B02372" w:rsidRPr="008267CC">
          <w:rPr>
            <w:rStyle w:val="Hyperlnk"/>
          </w:rPr>
          <w:t>Sammanfattning</w:t>
        </w:r>
        <w:r w:rsidR="00B02372">
          <w:rPr>
            <w:webHidden/>
          </w:rPr>
          <w:tab/>
        </w:r>
        <w:r w:rsidR="00B02372">
          <w:rPr>
            <w:webHidden/>
          </w:rPr>
          <w:fldChar w:fldCharType="begin"/>
        </w:r>
        <w:r w:rsidR="00B02372">
          <w:rPr>
            <w:webHidden/>
          </w:rPr>
          <w:instrText xml:space="preserve"> PAGEREF _Toc27034527 \h </w:instrText>
        </w:r>
        <w:r w:rsidR="00B02372">
          <w:rPr>
            <w:webHidden/>
          </w:rPr>
        </w:r>
        <w:r w:rsidR="00B02372">
          <w:rPr>
            <w:webHidden/>
          </w:rPr>
          <w:fldChar w:fldCharType="separate"/>
        </w:r>
        <w:r w:rsidR="004E37CB">
          <w:rPr>
            <w:webHidden/>
          </w:rPr>
          <w:t>1</w:t>
        </w:r>
        <w:r w:rsidR="00B02372">
          <w:rPr>
            <w:webHidden/>
          </w:rPr>
          <w:fldChar w:fldCharType="end"/>
        </w:r>
      </w:hyperlink>
    </w:p>
    <w:p w:rsidR="00B02372" w:rsidRDefault="004E37C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7034528" w:history="1">
        <w:r w:rsidR="00B02372" w:rsidRPr="008267CC">
          <w:rPr>
            <w:rStyle w:val="Hyperlnk"/>
          </w:rPr>
          <w:t>Landskapsregeringens förslag</w:t>
        </w:r>
        <w:r w:rsidR="00B02372">
          <w:rPr>
            <w:webHidden/>
          </w:rPr>
          <w:tab/>
        </w:r>
        <w:r w:rsidR="00B02372">
          <w:rPr>
            <w:webHidden/>
          </w:rPr>
          <w:fldChar w:fldCharType="begin"/>
        </w:r>
        <w:r w:rsidR="00B02372">
          <w:rPr>
            <w:webHidden/>
          </w:rPr>
          <w:instrText xml:space="preserve"> PAGEREF _Toc27034528 \h </w:instrText>
        </w:r>
        <w:r w:rsidR="00B02372">
          <w:rPr>
            <w:webHidden/>
          </w:rPr>
        </w:r>
        <w:r w:rsidR="00B02372">
          <w:rPr>
            <w:webHidden/>
          </w:rPr>
          <w:fldChar w:fldCharType="separate"/>
        </w:r>
        <w:r>
          <w:rPr>
            <w:webHidden/>
          </w:rPr>
          <w:t>1</w:t>
        </w:r>
        <w:r w:rsidR="00B02372">
          <w:rPr>
            <w:webHidden/>
          </w:rPr>
          <w:fldChar w:fldCharType="end"/>
        </w:r>
      </w:hyperlink>
    </w:p>
    <w:p w:rsidR="00B02372" w:rsidRDefault="004E37C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7034529" w:history="1">
        <w:r w:rsidR="00B02372" w:rsidRPr="008267CC">
          <w:rPr>
            <w:rStyle w:val="Hyperlnk"/>
          </w:rPr>
          <w:t>Utskottets förslag</w:t>
        </w:r>
        <w:r w:rsidR="00B02372">
          <w:rPr>
            <w:webHidden/>
          </w:rPr>
          <w:tab/>
        </w:r>
        <w:r w:rsidR="00B02372">
          <w:rPr>
            <w:webHidden/>
          </w:rPr>
          <w:fldChar w:fldCharType="begin"/>
        </w:r>
        <w:r w:rsidR="00B02372">
          <w:rPr>
            <w:webHidden/>
          </w:rPr>
          <w:instrText xml:space="preserve"> PAGEREF _Toc27034529 \h </w:instrText>
        </w:r>
        <w:r w:rsidR="00B02372">
          <w:rPr>
            <w:webHidden/>
          </w:rPr>
        </w:r>
        <w:r w:rsidR="00B02372">
          <w:rPr>
            <w:webHidden/>
          </w:rPr>
          <w:fldChar w:fldCharType="separate"/>
        </w:r>
        <w:r>
          <w:rPr>
            <w:webHidden/>
          </w:rPr>
          <w:t>1</w:t>
        </w:r>
        <w:r w:rsidR="00B02372">
          <w:rPr>
            <w:webHidden/>
          </w:rPr>
          <w:fldChar w:fldCharType="end"/>
        </w:r>
      </w:hyperlink>
    </w:p>
    <w:p w:rsidR="00B02372" w:rsidRDefault="004E37C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7034530" w:history="1">
        <w:r w:rsidR="00B02372" w:rsidRPr="008267CC">
          <w:rPr>
            <w:rStyle w:val="Hyperlnk"/>
          </w:rPr>
          <w:t>Ärendets behandling</w:t>
        </w:r>
        <w:r w:rsidR="00B02372">
          <w:rPr>
            <w:webHidden/>
          </w:rPr>
          <w:tab/>
        </w:r>
        <w:r w:rsidR="00B02372">
          <w:rPr>
            <w:webHidden/>
          </w:rPr>
          <w:fldChar w:fldCharType="begin"/>
        </w:r>
        <w:r w:rsidR="00B02372">
          <w:rPr>
            <w:webHidden/>
          </w:rPr>
          <w:instrText xml:space="preserve"> PAGEREF _Toc27034530 \h </w:instrText>
        </w:r>
        <w:r w:rsidR="00B02372">
          <w:rPr>
            <w:webHidden/>
          </w:rPr>
        </w:r>
        <w:r w:rsidR="00B02372">
          <w:rPr>
            <w:webHidden/>
          </w:rPr>
          <w:fldChar w:fldCharType="separate"/>
        </w:r>
        <w:r>
          <w:rPr>
            <w:webHidden/>
          </w:rPr>
          <w:t>1</w:t>
        </w:r>
        <w:r w:rsidR="00B02372">
          <w:rPr>
            <w:webHidden/>
          </w:rPr>
          <w:fldChar w:fldCharType="end"/>
        </w:r>
      </w:hyperlink>
    </w:p>
    <w:p w:rsidR="00B02372" w:rsidRDefault="004E37C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7034531" w:history="1">
        <w:r w:rsidR="00B02372" w:rsidRPr="008267CC">
          <w:rPr>
            <w:rStyle w:val="Hyperlnk"/>
          </w:rPr>
          <w:t>Utskottets förslag</w:t>
        </w:r>
        <w:r w:rsidR="00B02372">
          <w:rPr>
            <w:webHidden/>
          </w:rPr>
          <w:tab/>
        </w:r>
        <w:r w:rsidR="00B02372">
          <w:rPr>
            <w:webHidden/>
          </w:rPr>
          <w:fldChar w:fldCharType="begin"/>
        </w:r>
        <w:r w:rsidR="00B02372">
          <w:rPr>
            <w:webHidden/>
          </w:rPr>
          <w:instrText xml:space="preserve"> PAGEREF _Toc27034531 \h </w:instrText>
        </w:r>
        <w:r w:rsidR="00B02372">
          <w:rPr>
            <w:webHidden/>
          </w:rPr>
        </w:r>
        <w:r w:rsidR="00B02372">
          <w:rPr>
            <w:webHidden/>
          </w:rPr>
          <w:fldChar w:fldCharType="separate"/>
        </w:r>
        <w:r>
          <w:rPr>
            <w:webHidden/>
          </w:rPr>
          <w:t>1</w:t>
        </w:r>
        <w:r w:rsidR="00B02372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27034527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727D36">
      <w:pPr>
        <w:pStyle w:val="RubrikB"/>
      </w:pPr>
      <w:bookmarkStart w:id="4" w:name="_Toc529800933"/>
      <w:bookmarkStart w:id="5" w:name="_Toc27034528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727D36" w:rsidRPr="00727D36" w:rsidRDefault="00727D36" w:rsidP="00727D36">
      <w:pPr>
        <w:pStyle w:val="ANormal"/>
      </w:pPr>
      <w:r w:rsidRPr="00727D36">
        <w:t>Landskapsregering föreslår ändringar i vattenlagen med beaktande av u</w:t>
      </w:r>
      <w:r w:rsidRPr="00727D36">
        <w:t>n</w:t>
      </w:r>
      <w:r w:rsidRPr="00727D36">
        <w:t>ionslagstiftningen. Ändringarna utgör inte i grunden någon ändring i sak. Syftet är att med lagtekniska ändringar tydliggöra genomförandet i land-skapet av det så kallade marindirektivet.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27034529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7A495E">
      <w:pPr>
        <w:pStyle w:val="ANormal"/>
      </w:pPr>
      <w:r w:rsidRPr="007A495E">
        <w:t>Utskottet, som inte har något att anföra i ärendet, föreslår att lagtinget antar lagförslaget utan ändringar.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6"/>
      <w:bookmarkStart w:id="9" w:name="_Toc27034530"/>
      <w:r>
        <w:t>Ärendets behandling</w:t>
      </w:r>
      <w:bookmarkEnd w:id="8"/>
      <w:bookmarkEnd w:id="9"/>
    </w:p>
    <w:p w:rsidR="002401D0" w:rsidRDefault="002401D0">
      <w:pPr>
        <w:pStyle w:val="Rubrikmellanrum"/>
      </w:pPr>
    </w:p>
    <w:p w:rsidR="00727D36" w:rsidRDefault="00727D36" w:rsidP="00727D36">
      <w:pPr>
        <w:pStyle w:val="ANormal"/>
      </w:pPr>
      <w:r>
        <w:t>Lagtinget har den 11 december 2019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yttrande i ärendet.</w:t>
      </w:r>
    </w:p>
    <w:p w:rsidR="00727D36" w:rsidRDefault="00727D36" w:rsidP="00727D36">
      <w:pPr>
        <w:pStyle w:val="ANormal"/>
      </w:pPr>
      <w:r>
        <w:tab/>
        <w:t>Utskottet har i ärendet hört</w:t>
      </w:r>
      <w:r w:rsidR="007A495E">
        <w:t xml:space="preserve"> byråchefen Helena Blomqvist</w:t>
      </w:r>
      <w:r w:rsidR="00F457DD">
        <w:t xml:space="preserve"> och vattenbi</w:t>
      </w:r>
      <w:r w:rsidR="00F457DD">
        <w:t>o</w:t>
      </w:r>
      <w:r w:rsidR="00F457DD">
        <w:t>logen Mikael Wennström</w:t>
      </w:r>
      <w:r w:rsidR="007A495E">
        <w:t>.</w:t>
      </w:r>
      <w:r>
        <w:t xml:space="preserve"> </w:t>
      </w:r>
    </w:p>
    <w:p w:rsidR="00727D36" w:rsidRPr="00D91EE7" w:rsidRDefault="00727D36" w:rsidP="00727D36">
      <w:pPr>
        <w:pStyle w:val="ANormal"/>
      </w:pPr>
      <w:r>
        <w:tab/>
      </w:r>
      <w:r w:rsidRPr="009A273F">
        <w:t xml:space="preserve">I ärendets avgörande behandling deltog ordföranden </w:t>
      </w:r>
      <w:r>
        <w:t>Pernilla Söderlund</w:t>
      </w:r>
      <w:r w:rsidRPr="00D91EE7">
        <w:t xml:space="preserve">, </w:t>
      </w:r>
    </w:p>
    <w:p w:rsidR="00727D36" w:rsidRPr="00D91EE7" w:rsidRDefault="00727D36" w:rsidP="00727D36">
      <w:pPr>
        <w:pStyle w:val="ANormal"/>
      </w:pPr>
      <w:r w:rsidRPr="00D91EE7">
        <w:t>viceordföranden Mikael Lindholm</w:t>
      </w:r>
      <w:r>
        <w:t xml:space="preserve"> samt </w:t>
      </w:r>
      <w:r w:rsidRPr="00D91EE7">
        <w:t>ledamöterna</w:t>
      </w:r>
      <w:r>
        <w:t xml:space="preserve"> Stellan </w:t>
      </w:r>
      <w:proofErr w:type="spellStart"/>
      <w:r>
        <w:t>Egeland</w:t>
      </w:r>
      <w:proofErr w:type="spellEnd"/>
      <w:r>
        <w:t xml:space="preserve">,  </w:t>
      </w:r>
      <w:r w:rsidR="00925C61" w:rsidRPr="00925C61">
        <w:t>S</w:t>
      </w:r>
      <w:r w:rsidR="00925C61" w:rsidRPr="00925C61">
        <w:t>i</w:t>
      </w:r>
      <w:r w:rsidR="00925C61" w:rsidRPr="00925C61">
        <w:t>mon Holmström</w:t>
      </w:r>
      <w:r w:rsidR="00925C61">
        <w:t>,</w:t>
      </w:r>
      <w:r w:rsidR="00925C61" w:rsidRPr="00925C61">
        <w:t xml:space="preserve"> </w:t>
      </w:r>
      <w:r>
        <w:t>Jesper Josefsson</w:t>
      </w:r>
      <w:r w:rsidR="007A495E">
        <w:t xml:space="preserve"> </w:t>
      </w:r>
      <w:r w:rsidR="00925C61">
        <w:t>o</w:t>
      </w:r>
      <w:r w:rsidR="007A495E">
        <w:t xml:space="preserve">ch Simon </w:t>
      </w:r>
      <w:proofErr w:type="spellStart"/>
      <w:r w:rsidR="007A495E">
        <w:t>Påvals</w:t>
      </w:r>
      <w:proofErr w:type="spellEnd"/>
      <w:r w:rsidRPr="00D91EE7">
        <w:t>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7"/>
      <w:bookmarkStart w:id="11" w:name="_Toc27034531"/>
      <w:r>
        <w:t>Utskottets förslag</w:t>
      </w:r>
      <w:bookmarkEnd w:id="10"/>
      <w:bookmarkEnd w:id="11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727D36">
        <w:t xml:space="preserve"> antar lagförslaget i </w:t>
      </w:r>
      <w:r w:rsidR="007A495E">
        <w:t>oförändrad lydelse.</w:t>
      </w:r>
      <w:proofErr w:type="gramEnd"/>
      <w:r w:rsidR="007A495E">
        <w:t xml:space="preserve"> </w:t>
      </w:r>
    </w:p>
    <w:p w:rsidR="007A495E" w:rsidRDefault="007A495E" w:rsidP="00727D36">
      <w:pPr>
        <w:pStyle w:val="LagHuvRubr"/>
        <w:rPr>
          <w:lang w:val="sv-FI"/>
        </w:rPr>
      </w:pPr>
      <w:bookmarkStart w:id="12" w:name="_Toc26435218"/>
      <w:bookmarkStart w:id="13" w:name="_Hlk24625985"/>
    </w:p>
    <w:bookmarkEnd w:id="12"/>
    <w:p w:rsidR="00727D36" w:rsidRPr="008F453C" w:rsidRDefault="00727D36" w:rsidP="00727D36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bookmarkEnd w:id="13"/>
          <w:p w:rsidR="002401D0" w:rsidRDefault="002401D0" w:rsidP="007A495E">
            <w:pPr>
              <w:pStyle w:val="ANormal"/>
              <w:keepNext/>
            </w:pPr>
            <w:r>
              <w:t xml:space="preserve">Mariehamn den </w:t>
            </w:r>
            <w:r w:rsidR="007A495E">
              <w:t>12</w:t>
            </w:r>
            <w:r w:rsidR="00727D36">
              <w:t xml:space="preserve"> december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27D36">
            <w:pPr>
              <w:pStyle w:val="ANormal"/>
              <w:keepNext/>
            </w:pPr>
            <w:r>
              <w:t>Pernilla Söderlund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27D36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36" w:rsidRDefault="00727D36">
      <w:r>
        <w:separator/>
      </w:r>
    </w:p>
  </w:endnote>
  <w:endnote w:type="continuationSeparator" w:id="0">
    <w:p w:rsidR="00727D36" w:rsidRDefault="0072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E37CB">
      <w:rPr>
        <w:noProof/>
        <w:lang w:val="fi-FI"/>
      </w:rPr>
      <w:t>SMU0120192020.docx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36" w:rsidRDefault="00727D36">
      <w:r>
        <w:separator/>
      </w:r>
    </w:p>
  </w:footnote>
  <w:footnote w:type="continuationSeparator" w:id="0">
    <w:p w:rsidR="00727D36" w:rsidRDefault="0072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A495E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A495E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36"/>
    <w:rsid w:val="00015E9C"/>
    <w:rsid w:val="00051556"/>
    <w:rsid w:val="00090129"/>
    <w:rsid w:val="000B2DC9"/>
    <w:rsid w:val="000D6353"/>
    <w:rsid w:val="000F7417"/>
    <w:rsid w:val="0015337C"/>
    <w:rsid w:val="002401D0"/>
    <w:rsid w:val="0036359C"/>
    <w:rsid w:val="004E37CB"/>
    <w:rsid w:val="006A7022"/>
    <w:rsid w:val="006B2E9E"/>
    <w:rsid w:val="00723B93"/>
    <w:rsid w:val="00727D36"/>
    <w:rsid w:val="007566FA"/>
    <w:rsid w:val="007A495E"/>
    <w:rsid w:val="00811D50"/>
    <w:rsid w:val="00817B04"/>
    <w:rsid w:val="00925C61"/>
    <w:rsid w:val="00957C36"/>
    <w:rsid w:val="009D73B2"/>
    <w:rsid w:val="009F7CE2"/>
    <w:rsid w:val="00B02372"/>
    <w:rsid w:val="00B32E91"/>
    <w:rsid w:val="00B36A8F"/>
    <w:rsid w:val="00B90DEC"/>
    <w:rsid w:val="00C462F0"/>
    <w:rsid w:val="00CB087E"/>
    <w:rsid w:val="00CF700E"/>
    <w:rsid w:val="00DC45B2"/>
    <w:rsid w:val="00F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7A49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495E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7A49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495E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1</Pages>
  <Words>169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1825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xutskottets betänkande nr x/2013-2014</dc:title>
  <dc:creator>Jessica Laaksonen</dc:creator>
  <cp:lastModifiedBy>Jessica Laaksonen</cp:lastModifiedBy>
  <cp:revision>2</cp:revision>
  <cp:lastPrinted>2019-12-12T08:15:00Z</cp:lastPrinted>
  <dcterms:created xsi:type="dcterms:W3CDTF">2019-12-12T08:16:00Z</dcterms:created>
  <dcterms:modified xsi:type="dcterms:W3CDTF">2019-12-12T08:16:00Z</dcterms:modified>
</cp:coreProperties>
</file>