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trPr>
          <w:cantSplit/>
          <w:trHeight w:val="20"/>
        </w:trPr>
        <w:tc>
          <w:tcPr>
            <w:tcW w:w="861" w:type="dxa"/>
            <w:vMerge w:val="restart"/>
          </w:tcPr>
          <w:p w:rsidR="00337A19" w:rsidRDefault="00ED1930">
            <w:pPr>
              <w:pStyle w:val="xLedtext"/>
              <w:rPr>
                <w:noProof/>
              </w:rPr>
            </w:pPr>
            <w:bookmarkStart w:id="0" w:name="_top"/>
            <w:bookmarkStart w:id="1" w:name="_GoBack"/>
            <w:bookmarkEnd w:id="0"/>
            <w:bookmarkEnd w:id="1"/>
            <w:r>
              <w:rPr>
                <w:noProof/>
                <w:lang w:val="sv-FI" w:eastAsia="sv-FI"/>
              </w:rPr>
              <w:drawing>
                <wp:inline distT="0" distB="0" distL="0" distR="0">
                  <wp:extent cx="478155" cy="685800"/>
                  <wp:effectExtent l="0" t="0" r="0" b="0"/>
                  <wp:docPr id="1" name="Bild 1" descr="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Svape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rsidR="00337A19" w:rsidRDefault="00ED1930">
            <w:pPr>
              <w:pStyle w:val="xMellanrum"/>
            </w:pPr>
            <w:r>
              <w:rPr>
                <w:noProof/>
                <w:lang w:val="sv-FI" w:eastAsia="sv-FI"/>
              </w:rPr>
              <w:drawing>
                <wp:inline distT="0" distB="0" distL="0" distR="0">
                  <wp:extent cx="46355" cy="46355"/>
                  <wp:effectExtent l="0" t="0" r="0" b="0"/>
                  <wp:docPr id="2" name="Bild 2" descr="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x5px"/>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trPr>
          <w:cantSplit/>
          <w:trHeight w:val="299"/>
        </w:trPr>
        <w:tc>
          <w:tcPr>
            <w:tcW w:w="861" w:type="dxa"/>
            <w:vMerge/>
          </w:tcPr>
          <w:p w:rsidR="00337A19" w:rsidRDefault="00337A19">
            <w:pPr>
              <w:pStyle w:val="xLedtext"/>
            </w:pPr>
          </w:p>
        </w:tc>
        <w:tc>
          <w:tcPr>
            <w:tcW w:w="4448" w:type="dxa"/>
            <w:vAlign w:val="bottom"/>
          </w:tcPr>
          <w:p w:rsidR="00337A19" w:rsidRDefault="00337A19">
            <w:pPr>
              <w:pStyle w:val="xAvsandare1"/>
            </w:pPr>
            <w:r>
              <w:t>Ålands lagting</w:t>
            </w:r>
          </w:p>
        </w:tc>
        <w:tc>
          <w:tcPr>
            <w:tcW w:w="4288" w:type="dxa"/>
            <w:gridSpan w:val="2"/>
            <w:vAlign w:val="bottom"/>
          </w:tcPr>
          <w:p w:rsidR="00337A19" w:rsidRDefault="00337A19" w:rsidP="00ED1930">
            <w:pPr>
              <w:pStyle w:val="xDokTypNr"/>
            </w:pPr>
            <w:r>
              <w:t xml:space="preserve">BESLUT LTB </w:t>
            </w:r>
            <w:r w:rsidR="00ED1930">
              <w:t>82</w:t>
            </w:r>
            <w:r>
              <w:t>/20</w:t>
            </w:r>
            <w:r w:rsidR="008414E5">
              <w:t>1</w:t>
            </w:r>
            <w:r w:rsidR="00ED1930">
              <w:t>9</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r>
              <w:t>Datum</w:t>
            </w:r>
          </w:p>
        </w:tc>
        <w:tc>
          <w:tcPr>
            <w:tcW w:w="2563" w:type="dxa"/>
            <w:vAlign w:val="bottom"/>
          </w:tcPr>
          <w:p w:rsidR="00337A19" w:rsidRDefault="00337A19">
            <w:pPr>
              <w:pStyle w:val="xLedtext"/>
            </w:pPr>
            <w:r>
              <w:t>Ärende</w:t>
            </w:r>
          </w:p>
        </w:tc>
      </w:tr>
      <w:tr w:rsidR="00337A19">
        <w:trPr>
          <w:cantSplit/>
          <w:trHeight w:val="238"/>
        </w:trPr>
        <w:tc>
          <w:tcPr>
            <w:tcW w:w="861" w:type="dxa"/>
            <w:vMerge/>
          </w:tcPr>
          <w:p w:rsidR="00337A19" w:rsidRDefault="00337A19">
            <w:pPr>
              <w:pStyle w:val="xAvsandare2"/>
            </w:pPr>
          </w:p>
        </w:tc>
        <w:tc>
          <w:tcPr>
            <w:tcW w:w="4448" w:type="dxa"/>
            <w:vAlign w:val="center"/>
          </w:tcPr>
          <w:p w:rsidR="00337A19" w:rsidRDefault="00337A19">
            <w:pPr>
              <w:pStyle w:val="xAvsandare2"/>
            </w:pPr>
          </w:p>
        </w:tc>
        <w:tc>
          <w:tcPr>
            <w:tcW w:w="1725" w:type="dxa"/>
            <w:vAlign w:val="center"/>
          </w:tcPr>
          <w:p w:rsidR="00337A19" w:rsidRDefault="00337A19">
            <w:pPr>
              <w:pStyle w:val="xDatum1"/>
            </w:pPr>
            <w:r>
              <w:t>20</w:t>
            </w:r>
            <w:r w:rsidR="00004B5B">
              <w:t>1</w:t>
            </w:r>
            <w:r w:rsidR="00ED1930">
              <w:t>9-12-18</w:t>
            </w:r>
          </w:p>
        </w:tc>
        <w:tc>
          <w:tcPr>
            <w:tcW w:w="2563" w:type="dxa"/>
            <w:vAlign w:val="center"/>
          </w:tcPr>
          <w:p w:rsidR="00337A19" w:rsidRDefault="00ED1930">
            <w:pPr>
              <w:pStyle w:val="xBeteckning1"/>
            </w:pPr>
            <w:r>
              <w:t>LF 6/2019-2020</w:t>
            </w:r>
          </w:p>
        </w:tc>
      </w:tr>
      <w:tr w:rsidR="00337A19">
        <w:trPr>
          <w:cantSplit/>
          <w:trHeight w:val="238"/>
        </w:trPr>
        <w:tc>
          <w:tcPr>
            <w:tcW w:w="861" w:type="dxa"/>
            <w:vMerge/>
          </w:tcPr>
          <w:p w:rsidR="00337A19" w:rsidRDefault="00337A19">
            <w:pPr>
              <w:pStyle w:val="xLedtext"/>
            </w:pPr>
          </w:p>
        </w:tc>
        <w:tc>
          <w:tcPr>
            <w:tcW w:w="4448" w:type="dxa"/>
            <w:vAlign w:val="bottom"/>
          </w:tcPr>
          <w:p w:rsidR="00337A19" w:rsidRDefault="00337A19">
            <w:pPr>
              <w:pStyle w:val="xLedtext"/>
            </w:pPr>
          </w:p>
        </w:tc>
        <w:tc>
          <w:tcPr>
            <w:tcW w:w="1725" w:type="dxa"/>
            <w:vAlign w:val="bottom"/>
          </w:tcPr>
          <w:p w:rsidR="00337A19" w:rsidRDefault="00337A19">
            <w:pPr>
              <w:pStyle w:val="xLedtext"/>
            </w:pPr>
          </w:p>
        </w:tc>
        <w:tc>
          <w:tcPr>
            <w:tcW w:w="2563" w:type="dxa"/>
            <w:vAlign w:val="bottom"/>
          </w:tcPr>
          <w:p w:rsidR="00337A19" w:rsidRDefault="00337A19">
            <w:pPr>
              <w:pStyle w:val="xLedtext"/>
            </w:pPr>
          </w:p>
        </w:tc>
      </w:tr>
      <w:tr w:rsidR="00337A19">
        <w:trPr>
          <w:cantSplit/>
          <w:trHeight w:val="238"/>
        </w:trPr>
        <w:tc>
          <w:tcPr>
            <w:tcW w:w="861" w:type="dxa"/>
            <w:vMerge/>
            <w:tcBorders>
              <w:bottom w:val="single" w:sz="4" w:space="0" w:color="auto"/>
            </w:tcBorders>
          </w:tcPr>
          <w:p w:rsidR="00337A19" w:rsidRDefault="00337A19">
            <w:pPr>
              <w:pStyle w:val="xAvsandare3"/>
            </w:pPr>
          </w:p>
        </w:tc>
        <w:tc>
          <w:tcPr>
            <w:tcW w:w="4448" w:type="dxa"/>
            <w:tcBorders>
              <w:bottom w:val="single" w:sz="4" w:space="0" w:color="auto"/>
            </w:tcBorders>
            <w:vAlign w:val="center"/>
          </w:tcPr>
          <w:p w:rsidR="00337A19" w:rsidRDefault="00337A19">
            <w:pPr>
              <w:pStyle w:val="xAvsandare3"/>
            </w:pPr>
          </w:p>
        </w:tc>
        <w:tc>
          <w:tcPr>
            <w:tcW w:w="1725" w:type="dxa"/>
            <w:tcBorders>
              <w:bottom w:val="single" w:sz="4" w:space="0" w:color="auto"/>
            </w:tcBorders>
            <w:vAlign w:val="center"/>
          </w:tcPr>
          <w:p w:rsidR="00337A19" w:rsidRDefault="00337A19">
            <w:pPr>
              <w:pStyle w:val="xDatum2"/>
            </w:pPr>
          </w:p>
        </w:tc>
        <w:tc>
          <w:tcPr>
            <w:tcW w:w="2563" w:type="dxa"/>
            <w:tcBorders>
              <w:bottom w:val="single" w:sz="4" w:space="0" w:color="auto"/>
            </w:tcBorders>
            <w:vAlign w:val="center"/>
          </w:tcPr>
          <w:p w:rsidR="00337A19" w:rsidRDefault="00337A19">
            <w:pPr>
              <w:pStyle w:val="xBeteckning2"/>
            </w:pPr>
          </w:p>
        </w:tc>
      </w:tr>
      <w:tr w:rsidR="00337A19">
        <w:trPr>
          <w:cantSplit/>
          <w:trHeight w:val="238"/>
        </w:trPr>
        <w:tc>
          <w:tcPr>
            <w:tcW w:w="861" w:type="dxa"/>
            <w:tcBorders>
              <w:top w:val="single" w:sz="4" w:space="0" w:color="auto"/>
            </w:tcBorders>
            <w:vAlign w:val="bottom"/>
          </w:tcPr>
          <w:p w:rsidR="00337A19" w:rsidRDefault="00337A19">
            <w:pPr>
              <w:pStyle w:val="xLedtext"/>
            </w:pPr>
          </w:p>
        </w:tc>
        <w:tc>
          <w:tcPr>
            <w:tcW w:w="4448" w:type="dxa"/>
            <w:tcBorders>
              <w:top w:val="single" w:sz="4" w:space="0" w:color="auto"/>
            </w:tcBorders>
            <w:vAlign w:val="bottom"/>
          </w:tcPr>
          <w:p w:rsidR="00337A19" w:rsidRDefault="00337A19">
            <w:pPr>
              <w:pStyle w:val="xLedtext"/>
            </w:pPr>
          </w:p>
        </w:tc>
        <w:tc>
          <w:tcPr>
            <w:tcW w:w="4288" w:type="dxa"/>
            <w:gridSpan w:val="2"/>
            <w:tcBorders>
              <w:top w:val="single" w:sz="4" w:space="0" w:color="auto"/>
            </w:tcBorders>
            <w:vAlign w:val="bottom"/>
          </w:tcPr>
          <w:p w:rsidR="00337A19" w:rsidRDefault="00337A19">
            <w:pPr>
              <w:pStyle w:val="xLedtext"/>
            </w:pPr>
          </w:p>
        </w:tc>
      </w:tr>
      <w:tr w:rsidR="00337A19">
        <w:trPr>
          <w:cantSplit/>
          <w:trHeight w:val="238"/>
        </w:trPr>
        <w:tc>
          <w:tcPr>
            <w:tcW w:w="861" w:type="dxa"/>
          </w:tcPr>
          <w:p w:rsidR="00337A19" w:rsidRDefault="00337A19">
            <w:pPr>
              <w:pStyle w:val="xCelltext"/>
            </w:pPr>
          </w:p>
        </w:tc>
        <w:tc>
          <w:tcPr>
            <w:tcW w:w="4448" w:type="dxa"/>
            <w:vAlign w:val="center"/>
          </w:tcPr>
          <w:p w:rsidR="00337A19" w:rsidRDefault="00337A19">
            <w:pPr>
              <w:pStyle w:val="xCelltext"/>
            </w:pPr>
          </w:p>
        </w:tc>
        <w:tc>
          <w:tcPr>
            <w:tcW w:w="4288" w:type="dxa"/>
            <w:gridSpan w:val="2"/>
            <w:vAlign w:val="center"/>
          </w:tcPr>
          <w:p w:rsidR="00337A19" w:rsidRDefault="00337A19">
            <w:pPr>
              <w:pStyle w:val="xCelltext"/>
            </w:pPr>
          </w:p>
        </w:tc>
      </w:tr>
    </w:tbl>
    <w:p w:rsidR="00337A19" w:rsidRDefault="00337A19">
      <w:pPr>
        <w:rPr>
          <w:b/>
          <w:bCs/>
        </w:rPr>
        <w:sectPr w:rsidR="00337A19">
          <w:footerReference w:type="even" r:id="rId10"/>
          <w:footerReference w:type="default" r:id="rId11"/>
          <w:pgSz w:w="11906" w:h="16838" w:code="9"/>
          <w:pgMar w:top="567" w:right="1134" w:bottom="1134" w:left="1191" w:header="624" w:footer="737" w:gutter="0"/>
          <w:cols w:space="708"/>
          <w:docGrid w:linePitch="360"/>
        </w:sectPr>
      </w:pPr>
    </w:p>
    <w:p w:rsidR="00337A19" w:rsidRDefault="00337A19">
      <w:pPr>
        <w:pStyle w:val="ArendeOverRubrik"/>
      </w:pPr>
      <w:r>
        <w:lastRenderedPageBreak/>
        <w:t>Ålands lagtings beslut om antagande av</w:t>
      </w:r>
    </w:p>
    <w:p w:rsidR="00337A19" w:rsidRDefault="00337A19" w:rsidP="005C5E44">
      <w:pPr>
        <w:pStyle w:val="ArendeRubrik"/>
        <w:outlineLvl w:val="0"/>
      </w:pPr>
      <w:bookmarkStart w:id="2" w:name="_Toc65564307"/>
      <w:r>
        <w:t>Landskapslag</w:t>
      </w:r>
      <w:bookmarkEnd w:id="2"/>
      <w:r w:rsidR="00ED1930">
        <w:t xml:space="preserve"> </w:t>
      </w:r>
      <w:r w:rsidR="00ED1930" w:rsidRPr="008F453C">
        <w:rPr>
          <w:lang w:val="sv-FI"/>
        </w:rPr>
        <w:t>om ändring av vattenlagen för landskapet Åland</w:t>
      </w:r>
    </w:p>
    <w:p w:rsidR="00337A19" w:rsidRDefault="00337A19">
      <w:pPr>
        <w:pStyle w:val="ANormal"/>
      </w:pPr>
    </w:p>
    <w:p w:rsidR="00ED1930" w:rsidRPr="008F453C" w:rsidRDefault="00337A19" w:rsidP="00ED1930">
      <w:pPr>
        <w:pStyle w:val="ANormal"/>
      </w:pPr>
      <w:r>
        <w:tab/>
        <w:t xml:space="preserve">I enlighet med lagtingets beslut </w:t>
      </w:r>
      <w:r w:rsidR="00ED1930" w:rsidRPr="008F453C">
        <w:rPr>
          <w:b/>
          <w:bCs/>
        </w:rPr>
        <w:t>ändras</w:t>
      </w:r>
      <w:r w:rsidR="00ED1930" w:rsidRPr="008F453C">
        <w:t xml:space="preserve"> 18</w:t>
      </w:r>
      <w:r w:rsidR="00ED1930">
        <w:t> §</w:t>
      </w:r>
      <w:r w:rsidR="00ED1930" w:rsidRPr="008F453C">
        <w:t xml:space="preserve"> 2</w:t>
      </w:r>
      <w:r w:rsidR="00ED1930">
        <w:t> mom.</w:t>
      </w:r>
      <w:r w:rsidR="00ED1930" w:rsidRPr="008F453C">
        <w:t>, 19a</w:t>
      </w:r>
      <w:r w:rsidR="00ED1930">
        <w:t> §</w:t>
      </w:r>
      <w:r w:rsidR="00ED1930" w:rsidRPr="008F453C">
        <w:t xml:space="preserve"> 1</w:t>
      </w:r>
      <w:r w:rsidR="00ED1930">
        <w:t> mom.</w:t>
      </w:r>
      <w:r w:rsidR="00ED1930" w:rsidRPr="008F453C">
        <w:t>, 20</w:t>
      </w:r>
      <w:r w:rsidR="00ED1930">
        <w:t> §</w:t>
      </w:r>
      <w:r w:rsidR="00ED1930" w:rsidRPr="008F453C">
        <w:t xml:space="preserve"> 5</w:t>
      </w:r>
      <w:r w:rsidR="00ED1930">
        <w:t> mom.</w:t>
      </w:r>
      <w:r w:rsidR="00ED1930" w:rsidRPr="008F453C">
        <w:t xml:space="preserve"> och 21</w:t>
      </w:r>
      <w:r w:rsidR="00ED1930">
        <w:t> §</w:t>
      </w:r>
      <w:r w:rsidR="00ED1930" w:rsidRPr="008F453C">
        <w:t xml:space="preserve"> 3</w:t>
      </w:r>
      <w:r w:rsidR="00ED1930">
        <w:t> mom.</w:t>
      </w:r>
      <w:r w:rsidR="00ED1930" w:rsidRPr="008F453C">
        <w:t xml:space="preserve"> vattenlagen (1996:61) för landskapet Åland varav 18</w:t>
      </w:r>
      <w:r w:rsidR="00ED1930">
        <w:t> §</w:t>
      </w:r>
      <w:r w:rsidR="00ED1930" w:rsidRPr="008F453C">
        <w:t xml:space="preserve"> 2</w:t>
      </w:r>
      <w:r w:rsidR="00ED1930">
        <w:t> mom.</w:t>
      </w:r>
      <w:r w:rsidR="00ED1930" w:rsidRPr="008F453C">
        <w:t xml:space="preserve"> sådant det lyder i landskapslagen 2005/54 samt 19a</w:t>
      </w:r>
      <w:r w:rsidR="00ED1930">
        <w:t> §</w:t>
      </w:r>
      <w:r w:rsidR="00ED1930" w:rsidRPr="008F453C">
        <w:t xml:space="preserve"> 1</w:t>
      </w:r>
      <w:r w:rsidR="00ED1930">
        <w:t> mom.</w:t>
      </w:r>
      <w:r w:rsidR="00ED1930" w:rsidRPr="008F453C">
        <w:t>, 20</w:t>
      </w:r>
      <w:r w:rsidR="00ED1930">
        <w:t> §</w:t>
      </w:r>
      <w:r w:rsidR="00ED1930" w:rsidRPr="008F453C">
        <w:t xml:space="preserve"> 5</w:t>
      </w:r>
      <w:r w:rsidR="00ED1930">
        <w:t> mom.</w:t>
      </w:r>
      <w:r w:rsidR="00ED1930" w:rsidRPr="008F453C">
        <w:t xml:space="preserve"> och 21</w:t>
      </w:r>
      <w:r w:rsidR="00ED1930">
        <w:t> §</w:t>
      </w:r>
      <w:r w:rsidR="00ED1930" w:rsidRPr="008F453C">
        <w:t xml:space="preserve"> 3</w:t>
      </w:r>
      <w:r w:rsidR="00ED1930">
        <w:t> mom.</w:t>
      </w:r>
      <w:r w:rsidR="00ED1930" w:rsidRPr="008F453C">
        <w:t xml:space="preserve"> sådana de lyder i landskapslagen 2010/92, som följer:</w:t>
      </w:r>
    </w:p>
    <w:p w:rsidR="00ED1930" w:rsidRPr="008F453C" w:rsidRDefault="00ED1930" w:rsidP="00ED1930">
      <w:pPr>
        <w:pStyle w:val="ANormal"/>
      </w:pPr>
    </w:p>
    <w:p w:rsidR="00ED1930" w:rsidRPr="008F453C" w:rsidRDefault="00ED1930" w:rsidP="00ED1930">
      <w:pPr>
        <w:pStyle w:val="LagParagraf"/>
      </w:pPr>
      <w:r w:rsidRPr="008F453C">
        <w:t>18</w:t>
      </w:r>
      <w:r>
        <w:t> §</w:t>
      </w:r>
    </w:p>
    <w:p w:rsidR="00ED1930" w:rsidRPr="008F453C" w:rsidRDefault="00ED1930" w:rsidP="00ED1930">
      <w:pPr>
        <w:pStyle w:val="LagPararubrik"/>
      </w:pPr>
      <w:r w:rsidRPr="008F453C">
        <w:t>Övervakning</w:t>
      </w:r>
    </w:p>
    <w:p w:rsidR="00ED1930" w:rsidRPr="008F453C" w:rsidRDefault="00ED1930" w:rsidP="00ED1930">
      <w:pPr>
        <w:pStyle w:val="ANormal"/>
      </w:pPr>
      <w:r w:rsidRPr="008F453C">
        <w:t>- - - - - - - - - - - - - - - - - - - - - - - - - - - - - - - - - - - - - - - - - - - - - - - - - - - -</w:t>
      </w:r>
    </w:p>
    <w:p w:rsidR="00ED1930" w:rsidRPr="007F34A8" w:rsidRDefault="00ED1930" w:rsidP="00ED1930">
      <w:pPr>
        <w:pStyle w:val="ANormal"/>
      </w:pPr>
      <w:r w:rsidRPr="008F453C">
        <w:tab/>
        <w:t>För övervakningen ska utarbetas, fastställas och genomföras ett öve</w:t>
      </w:r>
      <w:r w:rsidRPr="008F453C">
        <w:t>r</w:t>
      </w:r>
      <w:r w:rsidRPr="008F453C">
        <w:t xml:space="preserve">vakningsprogram. Övervakningsprogram för ytvatten ska minst omfatta ekologisk och kemisk kvalitet inräknat väsentliga faktorer som styr dessa, såsom vattenflöden, nedfall från luften, näringsläckage från bottnar, utsläpp i vatten samt ekologisk potential. Övervakningsprogram för grundvatten ska omfatta </w:t>
      </w:r>
      <w:r w:rsidRPr="007F34A8">
        <w:t>övervakning av kemisk kvalitet och kvantitativ kvalitet. Om ett vattenskyddsområde avgränsats eller en kvalitetsnorm gäller för området ska övervakningsprogrammet omfatta tillämpliga frågor som rör områdets skyddsbehov. Vid utarbetandet av övervakningsprogram ska beaktas up</w:t>
      </w:r>
      <w:r w:rsidRPr="007F34A8">
        <w:t>p</w:t>
      </w:r>
      <w:r w:rsidRPr="007F34A8">
        <w:t>gifter från tillsyn och från sådan egenkontroll som ska utföras av en ver</w:t>
      </w:r>
      <w:r w:rsidRPr="007F34A8">
        <w:t>k</w:t>
      </w:r>
      <w:r w:rsidRPr="007F34A8">
        <w:t xml:space="preserve">samhetsutövare. </w:t>
      </w:r>
      <w:bookmarkStart w:id="3" w:name="_Hlk25835061"/>
      <w:r w:rsidRPr="007F34A8">
        <w:t>Landskapsregeringen ska grundat på den inledande b</w:t>
      </w:r>
      <w:r w:rsidRPr="007F34A8">
        <w:t>e</w:t>
      </w:r>
      <w:r w:rsidRPr="007F34A8">
        <w:t>dömning som gjorts enligt 19a</w:t>
      </w:r>
      <w:r>
        <w:t> §</w:t>
      </w:r>
      <w:r w:rsidRPr="007F34A8">
        <w:t xml:space="preserve"> fastställa ett samordnat övervakningspr</w:t>
      </w:r>
      <w:r w:rsidRPr="007F34A8">
        <w:t>o</w:t>
      </w:r>
      <w:r w:rsidRPr="007F34A8">
        <w:t>gram för bedömningen av vattenkvaliteten i områden med marina vatten. Detta ska ske i enlighet med de gällande bestämmelserna i Europaparl</w:t>
      </w:r>
      <w:r w:rsidRPr="007F34A8">
        <w:t>a</w:t>
      </w:r>
      <w:r w:rsidRPr="007F34A8">
        <w:t>mentets och rådets direktiv 2008/56/EG om upprättande av en ram för g</w:t>
      </w:r>
      <w:r w:rsidRPr="007F34A8">
        <w:t>e</w:t>
      </w:r>
      <w:r w:rsidRPr="007F34A8">
        <w:t>menskapens åtgärder på havsmiljöpolitikens område, nedan kallat marind</w:t>
      </w:r>
      <w:r w:rsidRPr="007F34A8">
        <w:t>i</w:t>
      </w:r>
      <w:r w:rsidRPr="007F34A8">
        <w:t>rektivet, samt med beaktande av kraven i marindirektivets artikel 11 i b</w:t>
      </w:r>
      <w:r w:rsidRPr="007F34A8">
        <w:t>i</w:t>
      </w:r>
      <w:r w:rsidRPr="007F34A8">
        <w:t>laga III och V. Samordningen ska ske med berörda organisationer och myndigheter utanför landskapet i enlighet med 26</w:t>
      </w:r>
      <w:r>
        <w:t> §</w:t>
      </w:r>
      <w:r w:rsidRPr="007F34A8">
        <w:t>.</w:t>
      </w:r>
    </w:p>
    <w:bookmarkEnd w:id="3"/>
    <w:p w:rsidR="00ED1930" w:rsidRPr="007F34A8" w:rsidRDefault="00ED1930" w:rsidP="00ED1930">
      <w:pPr>
        <w:pStyle w:val="ANormal"/>
      </w:pPr>
      <w:r w:rsidRPr="007F34A8">
        <w:t>- - - - - - - - - - - - - - - - - - - - - - - - - - - - - - - - - - - - - - - - - - - - - - - - - - - -</w:t>
      </w:r>
    </w:p>
    <w:p w:rsidR="00ED1930" w:rsidRPr="007F34A8" w:rsidRDefault="00ED1930" w:rsidP="00ED1930">
      <w:pPr>
        <w:pStyle w:val="ANormal"/>
      </w:pPr>
    </w:p>
    <w:p w:rsidR="00ED1930" w:rsidRPr="008F453C" w:rsidRDefault="00ED1930" w:rsidP="00ED1930">
      <w:pPr>
        <w:pStyle w:val="LagParagraf"/>
      </w:pPr>
      <w:r w:rsidRPr="008F453C">
        <w:t>19a</w:t>
      </w:r>
      <w:r>
        <w:t> §</w:t>
      </w:r>
    </w:p>
    <w:p w:rsidR="00ED1930" w:rsidRPr="008F453C" w:rsidRDefault="00ED1930" w:rsidP="00ED1930">
      <w:pPr>
        <w:pStyle w:val="LagPararubrik"/>
      </w:pPr>
      <w:r w:rsidRPr="008F453C">
        <w:t>Bedömning av vattenområden</w:t>
      </w:r>
    </w:p>
    <w:p w:rsidR="00ED1930" w:rsidRPr="008F453C" w:rsidRDefault="00ED1930" w:rsidP="00ED1930">
      <w:pPr>
        <w:pStyle w:val="ANormal"/>
      </w:pPr>
      <w:r w:rsidRPr="008F453C">
        <w:tab/>
        <w:t>För ett avrinningsdistrikt och för marina vatten ska landskapsregeringen göra en bedömning som innefattar en bedömning av dessa områdens kara</w:t>
      </w:r>
      <w:r w:rsidRPr="008F453C">
        <w:t>k</w:t>
      </w:r>
      <w:r w:rsidRPr="008F453C">
        <w:t xml:space="preserve">teristika, en översyn av sådan påverkan och effekt på vattenkvaliteten som orsakats områdena till följd av mänsklig verksamhet samt en ekonomisk bedömning av vattenanvändningen inom områdena. Bedömningarna och översynen ska genomföras med beaktande av kraven i bilaga II, III och V vattendirektivet samt bilaga III marindirektivet, där ekologiska, kemiska, ekonomiska och sociala faktorer av avgörande betydelse ska beaktas. För marina vatten ska </w:t>
      </w:r>
      <w:r>
        <w:t>analysen</w:t>
      </w:r>
      <w:r w:rsidRPr="008F453C">
        <w:t xml:space="preserve"> även baseras på en kombination av olika kval</w:t>
      </w:r>
      <w:r w:rsidRPr="008F453C">
        <w:t>i</w:t>
      </w:r>
      <w:r w:rsidRPr="008F453C">
        <w:t xml:space="preserve">tativa och kvantitativa påverkansfaktorer samt urskiljbara trender. </w:t>
      </w:r>
      <w:r>
        <w:t>Dess</w:t>
      </w:r>
      <w:r>
        <w:t>u</w:t>
      </w:r>
      <w:r>
        <w:t>tom</w:t>
      </w:r>
      <w:r w:rsidRPr="008F453C">
        <w:t xml:space="preserve"> ska bedömningen </w:t>
      </w:r>
      <w:r>
        <w:t xml:space="preserve">omfatta </w:t>
      </w:r>
      <w:r w:rsidRPr="008F453C">
        <w:t xml:space="preserve">grundläggande egenskaper och förhållanden </w:t>
      </w:r>
      <w:r>
        <w:t xml:space="preserve">samt </w:t>
      </w:r>
      <w:r w:rsidRPr="008F453C">
        <w:t>aktuell miljöstatus i dessa vatten, på grundval av de vägledande fö</w:t>
      </w:r>
      <w:r w:rsidRPr="008F453C">
        <w:t>r</w:t>
      </w:r>
      <w:r w:rsidRPr="008F453C">
        <w:t xml:space="preserve">teckningar över faktorer som anges i tabell 1 i bilaga III till marindirektivet, och omfattande fysikalisk-kemiska förhållanden, livsmiljötyper, biologiska förhållanden och hydromorfologi. Med </w:t>
      </w:r>
      <w:r w:rsidRPr="008F453C">
        <w:rPr>
          <w:i/>
          <w:iCs/>
        </w:rPr>
        <w:t>miljöstatus</w:t>
      </w:r>
      <w:r w:rsidRPr="008F453C">
        <w:t xml:space="preserve"> avses det allmänna til</w:t>
      </w:r>
      <w:r w:rsidRPr="008F453C">
        <w:t>l</w:t>
      </w:r>
      <w:r w:rsidRPr="008F453C">
        <w:t xml:space="preserve">ståndet för miljön i marina vatten, med beaktande av de ingående marina </w:t>
      </w:r>
      <w:r w:rsidRPr="008F453C">
        <w:lastRenderedPageBreak/>
        <w:t>ekosystemens struktur, funktion och processer tillsammans med naturliga geomorfologiska, geografiska, biologiska, geologiska och klimatiska fa</w:t>
      </w:r>
      <w:r w:rsidRPr="008F453C">
        <w:t>k</w:t>
      </w:r>
      <w:r w:rsidRPr="008F453C">
        <w:t xml:space="preserve">torer samt fysikaliska, akustiska och kemiska förhållanden, inbegripet dem som är resultatet av mänskliga aktiviteter inom eller utanför det berörda området. </w:t>
      </w:r>
      <w:r>
        <w:t>Bedömningar</w:t>
      </w:r>
      <w:r w:rsidRPr="008F453C">
        <w:t xml:space="preserve"> och översynen </w:t>
      </w:r>
      <w:r>
        <w:t>samt</w:t>
      </w:r>
      <w:r w:rsidRPr="008F453C">
        <w:t xml:space="preserve"> nödvändiga uppdateringar av dessa ska göras minst vart sjätte år. Till den del bedömningen gäller marina vatten ska samordningen ske med berörda organisationer och myndigheter i enlighet med 26</w:t>
      </w:r>
      <w:r>
        <w:t> §</w:t>
      </w:r>
      <w:r w:rsidRPr="008F453C">
        <w:t>.</w:t>
      </w:r>
    </w:p>
    <w:p w:rsidR="00ED1930" w:rsidRPr="008F453C" w:rsidRDefault="00ED1930" w:rsidP="00ED1930">
      <w:pPr>
        <w:pStyle w:val="ANormal"/>
      </w:pPr>
      <w:r w:rsidRPr="008F453C">
        <w:t>- - - - - - - - - - - - - - - - - - - - - - - - - - - - - - - - - - - - - - - - - - - - - - - - - - - -</w:t>
      </w:r>
    </w:p>
    <w:p w:rsidR="00ED1930" w:rsidRPr="008F453C" w:rsidRDefault="00ED1930" w:rsidP="00ED1930">
      <w:pPr>
        <w:pStyle w:val="ANormal"/>
      </w:pPr>
    </w:p>
    <w:p w:rsidR="00ED1930" w:rsidRPr="008F453C" w:rsidRDefault="00ED1930" w:rsidP="00ED1930">
      <w:pPr>
        <w:pStyle w:val="LagParagraf"/>
      </w:pPr>
      <w:r w:rsidRPr="008F453C">
        <w:t>20</w:t>
      </w:r>
      <w:r>
        <w:t> §</w:t>
      </w:r>
    </w:p>
    <w:p w:rsidR="00ED1930" w:rsidRPr="008F453C" w:rsidRDefault="00ED1930" w:rsidP="00ED1930">
      <w:pPr>
        <w:pStyle w:val="LagPararubrik"/>
      </w:pPr>
      <w:r w:rsidRPr="008F453C">
        <w:t>Klassificering av vattenkvalitet och miljökvalitet</w:t>
      </w:r>
    </w:p>
    <w:p w:rsidR="00ED1930" w:rsidRPr="008F453C" w:rsidRDefault="00ED1930" w:rsidP="00ED1930">
      <w:pPr>
        <w:pStyle w:val="ANormal"/>
      </w:pPr>
      <w:r w:rsidRPr="008F453C">
        <w:t>- - - - - - - - - - - - - - - - - - - - - - - - - - - - - - - - - - - - - - - - - - - - - - - - - - - -</w:t>
      </w:r>
    </w:p>
    <w:p w:rsidR="00ED1930" w:rsidRPr="008F453C" w:rsidRDefault="00ED1930" w:rsidP="00ED1930">
      <w:pPr>
        <w:pStyle w:val="ANormal"/>
      </w:pPr>
      <w:r w:rsidRPr="008F453C">
        <w:tab/>
        <w:t>Landskapsregeringen ska grundat på den inledande bedömningen av miljöstatus enligt 19a</w:t>
      </w:r>
      <w:r>
        <w:t> §</w:t>
      </w:r>
      <w:r w:rsidRPr="008F453C">
        <w:t xml:space="preserve"> fastställa kriterier för en god miljökvalitet i marina vatten, med beaktande av kraven i bilaga I och III marindirektivet. Innan kriterierna fastställs ska en samordning ske med berörda organisationer och myndigheter utanför landskapet i enlighet med 26</w:t>
      </w:r>
      <w:r>
        <w:t> §</w:t>
      </w:r>
      <w:r w:rsidRPr="008F453C">
        <w:t xml:space="preserve">. Med </w:t>
      </w:r>
      <w:r w:rsidRPr="008F453C">
        <w:rPr>
          <w:i/>
          <w:iCs/>
        </w:rPr>
        <w:t>kriterier</w:t>
      </w:r>
      <w:r w:rsidRPr="008F453C">
        <w:t xml:space="preserve"> avses sådana särskiljande tekniska kännetecken som har nära samband med kval</w:t>
      </w:r>
      <w:r w:rsidRPr="008F453C">
        <w:t>i</w:t>
      </w:r>
      <w:r w:rsidRPr="008F453C">
        <w:t xml:space="preserve">tativa </w:t>
      </w:r>
      <w:proofErr w:type="spellStart"/>
      <w:r w:rsidRPr="008F453C">
        <w:t>deskriptorer</w:t>
      </w:r>
      <w:proofErr w:type="spellEnd"/>
      <w:r w:rsidRPr="008F453C">
        <w:t xml:space="preserve"> som förtecknas i bilaga I </w:t>
      </w:r>
      <w:proofErr w:type="spellStart"/>
      <w:r w:rsidRPr="008F453C">
        <w:t>i</w:t>
      </w:r>
      <w:proofErr w:type="spellEnd"/>
      <w:r w:rsidRPr="008F453C">
        <w:t xml:space="preserve"> marindirektivet. Med </w:t>
      </w:r>
      <w:r w:rsidRPr="008F453C">
        <w:rPr>
          <w:i/>
          <w:iCs/>
        </w:rPr>
        <w:t>god mi</w:t>
      </w:r>
      <w:r w:rsidRPr="008F453C">
        <w:rPr>
          <w:i/>
          <w:iCs/>
        </w:rPr>
        <w:t>l</w:t>
      </w:r>
      <w:r w:rsidRPr="008F453C">
        <w:rPr>
          <w:i/>
          <w:iCs/>
        </w:rPr>
        <w:t>jöstatus</w:t>
      </w:r>
      <w:r w:rsidRPr="008F453C">
        <w:t xml:space="preserve"> avses den miljöstatus för marina vatten där dessa utgör ekologiskt variationsrika och dynamiska oceaner och hav som är rena, friska och pr</w:t>
      </w:r>
      <w:r w:rsidRPr="008F453C">
        <w:t>o</w:t>
      </w:r>
      <w:r w:rsidRPr="008F453C">
        <w:t xml:space="preserve">duktiva utifrån sina inneboende förutsättningar och användningen av den marina miljön befinner sig på en nivå som är hållbar och därigenom tryggar möjligheten till användning och verksamhet för nuvarande och framtida generationer. God miljöstatus fastställs grundat på de kvalitativa </w:t>
      </w:r>
      <w:proofErr w:type="spellStart"/>
      <w:r w:rsidRPr="008F453C">
        <w:t>deskript</w:t>
      </w:r>
      <w:r w:rsidRPr="008F453C">
        <w:t>o</w:t>
      </w:r>
      <w:r w:rsidRPr="008F453C">
        <w:t>rer</w:t>
      </w:r>
      <w:proofErr w:type="spellEnd"/>
      <w:r w:rsidRPr="008F453C">
        <w:t xml:space="preserve"> som förtecknas i bilaga I </w:t>
      </w:r>
      <w:proofErr w:type="spellStart"/>
      <w:r w:rsidRPr="008F453C">
        <w:t>i</w:t>
      </w:r>
      <w:proofErr w:type="spellEnd"/>
      <w:r w:rsidRPr="008F453C">
        <w:t xml:space="preserve"> marindirektivet. </w:t>
      </w:r>
    </w:p>
    <w:p w:rsidR="00ED1930" w:rsidRPr="008F453C" w:rsidRDefault="00ED1930" w:rsidP="00ED1930">
      <w:pPr>
        <w:pStyle w:val="ANormal"/>
      </w:pPr>
      <w:r w:rsidRPr="008F453C">
        <w:t>- - - - - - - - - - - - - - - - - - - - - - - - - - - - - - - - - - - - - - - - - - - - - - - - - - - -</w:t>
      </w:r>
    </w:p>
    <w:p w:rsidR="00ED1930" w:rsidRPr="008F453C" w:rsidRDefault="00ED1930" w:rsidP="00ED1930">
      <w:pPr>
        <w:pStyle w:val="ANormal"/>
      </w:pPr>
    </w:p>
    <w:p w:rsidR="00ED1930" w:rsidRPr="008F453C" w:rsidRDefault="00ED1930" w:rsidP="00ED1930">
      <w:pPr>
        <w:pStyle w:val="LagParagraf"/>
      </w:pPr>
      <w:r w:rsidRPr="008F453C">
        <w:t>21</w:t>
      </w:r>
      <w:r>
        <w:t> §</w:t>
      </w:r>
    </w:p>
    <w:p w:rsidR="00ED1930" w:rsidRPr="008F453C" w:rsidRDefault="00ED1930" w:rsidP="00ED1930">
      <w:pPr>
        <w:pStyle w:val="LagPararubrik"/>
      </w:pPr>
      <w:r w:rsidRPr="008F453C">
        <w:t>Kvalitetsmål för ytvatten i sjöar, kustvatten och kraftigt modifierade vattenförekomster samt grundvatten och marina vatten</w:t>
      </w:r>
    </w:p>
    <w:p w:rsidR="00ED1930" w:rsidRPr="008F453C" w:rsidRDefault="00ED1930" w:rsidP="00ED1930">
      <w:pPr>
        <w:pStyle w:val="ANormal"/>
      </w:pPr>
      <w:r w:rsidRPr="008F453C">
        <w:t>- - - - - - - - - - - - - - - - - - - - - - - - - - - - - - - - - - - - - - - - - - - - - - - - - - - -</w:t>
      </w:r>
    </w:p>
    <w:p w:rsidR="00ED1930" w:rsidRPr="008F453C" w:rsidRDefault="00ED1930" w:rsidP="00ED1930">
      <w:pPr>
        <w:pStyle w:val="ANormal"/>
      </w:pPr>
      <w:r w:rsidRPr="008F453C">
        <w:tab/>
        <w:t>För marina vatten ska landskapsregeringen fastställa vägledande milj</w:t>
      </w:r>
      <w:r w:rsidRPr="008F453C">
        <w:t>ö</w:t>
      </w:r>
      <w:r w:rsidRPr="008F453C">
        <w:t>mål i syfte att stegvis uppnå målen i 1</w:t>
      </w:r>
      <w:r>
        <w:t> mom.</w:t>
      </w:r>
      <w:r w:rsidRPr="008F453C">
        <w:t xml:space="preserve"> med beaktande av kraven i b</w:t>
      </w:r>
      <w:r w:rsidRPr="008F453C">
        <w:t>i</w:t>
      </w:r>
      <w:r w:rsidRPr="008F453C">
        <w:t xml:space="preserve">laga III och IV marindirektivet. </w:t>
      </w:r>
      <w:r>
        <w:t>Innan</w:t>
      </w:r>
      <w:r w:rsidRPr="008F453C">
        <w:t xml:space="preserve"> miljömålen är fastställda ska hänsyn tas till befintliga mål på nationell nivå, unionsnivå samt internationell nivå och samordning ske med organisationer och myndigheter utanför landska</w:t>
      </w:r>
      <w:r w:rsidRPr="008F453C">
        <w:t>p</w:t>
      </w:r>
      <w:r w:rsidRPr="008F453C">
        <w:t>et i enlighet med 26</w:t>
      </w:r>
      <w:r>
        <w:t> §</w:t>
      </w:r>
      <w:r w:rsidRPr="008F453C">
        <w:t>. Grundat på den inledande bedömning som görs e</w:t>
      </w:r>
      <w:r w:rsidRPr="008F453C">
        <w:t>n</w:t>
      </w:r>
      <w:r w:rsidRPr="008F453C">
        <w:t>ligt 19a</w:t>
      </w:r>
      <w:r>
        <w:t> §</w:t>
      </w:r>
      <w:r w:rsidRPr="008F453C">
        <w:t xml:space="preserve"> ska för varje berörd marin region eller delregion, fastställas en allsidig uppsättning miljömål och tillhörande indikatorer för de marina vattnen, som vägledning för de framsteg som ska uppnås beträffande en god miljöstatus i den marina miljön, med beaktande av de vägledande fö</w:t>
      </w:r>
      <w:r w:rsidRPr="008F453C">
        <w:t>r</w:t>
      </w:r>
      <w:r w:rsidRPr="008F453C">
        <w:t>teckningar över belastning och påverkan som anges i bilaga III till marind</w:t>
      </w:r>
      <w:r w:rsidRPr="008F453C">
        <w:t>i</w:t>
      </w:r>
      <w:r w:rsidRPr="008F453C">
        <w:t>rektivet och över grundläggande förhållanden som anges i bilaga IV. Hä</w:t>
      </w:r>
      <w:r w:rsidRPr="008F453C">
        <w:t>n</w:t>
      </w:r>
      <w:r w:rsidRPr="008F453C">
        <w:t>syn ska tas till fortsatt tillämpning av tillämpliga befintliga miljömål, fas</w:t>
      </w:r>
      <w:r w:rsidRPr="008F453C">
        <w:t>t</w:t>
      </w:r>
      <w:r w:rsidRPr="008F453C">
        <w:t>ställda på nationell nivå, unionsnivå eller internationell nivå för samma va</w:t>
      </w:r>
      <w:r w:rsidRPr="008F453C">
        <w:t>t</w:t>
      </w:r>
      <w:r w:rsidRPr="008F453C">
        <w:t>ten och se till att dessa mål överensstämmer med varandra och att största möjliga hänsyn tas till gränsöverskridande inverkan och gränsöverskr</w:t>
      </w:r>
      <w:r w:rsidRPr="008F453C">
        <w:t>i</w:t>
      </w:r>
      <w:r w:rsidRPr="008F453C">
        <w:t xml:space="preserve">dande faktorer som är av betydelse. Med </w:t>
      </w:r>
      <w:r w:rsidRPr="00D4024A">
        <w:rPr>
          <w:i/>
          <w:iCs/>
        </w:rPr>
        <w:t>miljömål</w:t>
      </w:r>
      <w:r w:rsidRPr="008F453C">
        <w:t xml:space="preserve"> avses ett kvalitativt eller kvantitativt påstående om den eftersträvade miljöstatus för olika delar av, och belastningar och påverkan på, marina vatten för varje marin region e</w:t>
      </w:r>
      <w:r w:rsidRPr="008F453C">
        <w:t>l</w:t>
      </w:r>
      <w:r w:rsidRPr="008F453C">
        <w:t>ler delregion.</w:t>
      </w:r>
    </w:p>
    <w:p w:rsidR="00ED1930" w:rsidRDefault="00ED1930" w:rsidP="00ED1930">
      <w:pPr>
        <w:pStyle w:val="ANormal"/>
      </w:pPr>
      <w:r w:rsidRPr="008F453C">
        <w:t>- - - - - - - - - - - - - - - - - - - - - - - - - - - - - - - - - - - - - - - - - - - - - - - - - - - -</w:t>
      </w:r>
    </w:p>
    <w:p w:rsidR="00ED1930" w:rsidRPr="008F453C" w:rsidRDefault="00ED1930" w:rsidP="00ED1930">
      <w:pPr>
        <w:pStyle w:val="ANormal"/>
      </w:pPr>
    </w:p>
    <w:p w:rsidR="00ED1930" w:rsidRDefault="00C13434" w:rsidP="00ED1930">
      <w:pPr>
        <w:pStyle w:val="ANormal"/>
        <w:jc w:val="center"/>
      </w:pPr>
      <w:hyperlink w:anchor="_top" w:tooltip="Klicka för att gå till toppen av dokumentet" w:history="1">
        <w:r w:rsidR="00ED1930">
          <w:rPr>
            <w:rStyle w:val="Hyperlnk"/>
          </w:rPr>
          <w:t>__________________</w:t>
        </w:r>
      </w:hyperlink>
    </w:p>
    <w:p w:rsidR="00ED1930" w:rsidRPr="008F453C" w:rsidRDefault="00ED1930" w:rsidP="00ED1930">
      <w:pPr>
        <w:pStyle w:val="ANormal"/>
      </w:pPr>
    </w:p>
    <w:p w:rsidR="00ED1930" w:rsidRPr="008F453C" w:rsidRDefault="00ED1930" w:rsidP="00ED1930">
      <w:pPr>
        <w:pStyle w:val="ANormal"/>
      </w:pPr>
      <w:r w:rsidRPr="008F453C">
        <w:lastRenderedPageBreak/>
        <w:tab/>
        <w:t>Denna lag träder i kraft den</w:t>
      </w:r>
    </w:p>
    <w:p w:rsidR="00337A19" w:rsidRDefault="00337A19" w:rsidP="005C5E44">
      <w:pPr>
        <w:pStyle w:val="ANormal"/>
        <w:suppressAutoHyphens/>
        <w:outlineLvl w:val="0"/>
      </w:pPr>
    </w:p>
    <w:p w:rsidR="00B9738C" w:rsidRDefault="00337A19" w:rsidP="00B9738C">
      <w:pPr>
        <w:pStyle w:val="ANormal"/>
        <w:jc w:val="center"/>
      </w:pPr>
      <w:r>
        <w:tab/>
      </w:r>
      <w:hyperlink w:anchor="_top" w:tooltip="Klicka för att gå till toppen av dokumentet" w:history="1">
        <w:r w:rsidR="00B9738C">
          <w:rPr>
            <w:rStyle w:val="Hyperlnk"/>
          </w:rPr>
          <w:t>__________________</w:t>
        </w:r>
      </w:hyperlink>
    </w:p>
    <w:p w:rsidR="00337A19" w:rsidRDefault="00337A19">
      <w:pPr>
        <w:pStyle w:val="ANormal"/>
      </w:pPr>
    </w:p>
    <w:p w:rsidR="00337A19" w:rsidRDefault="00337A19">
      <w:pPr>
        <w:pStyle w:val="ANormal"/>
      </w:pPr>
    </w:p>
    <w:p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trPr>
          <w:cantSplit/>
        </w:trPr>
        <w:tc>
          <w:tcPr>
            <w:tcW w:w="6706" w:type="dxa"/>
            <w:gridSpan w:val="2"/>
          </w:tcPr>
          <w:p w:rsidR="00337A19" w:rsidRDefault="00337A19">
            <w:pPr>
              <w:pStyle w:val="ANormal"/>
              <w:keepNext/>
            </w:pPr>
            <w:r>
              <w:tab/>
              <w:t xml:space="preserve">Mariehamn den </w:t>
            </w:r>
            <w:r w:rsidR="00ED1930">
              <w:t>18 december 2019</w:t>
            </w:r>
          </w:p>
        </w:tc>
      </w:tr>
      <w:tr w:rsidR="00337A19">
        <w:trPr>
          <w:cantSplit/>
        </w:trPr>
        <w:tc>
          <w:tcPr>
            <w:tcW w:w="6706" w:type="dxa"/>
            <w:gridSpan w:val="2"/>
            <w:vAlign w:val="bottom"/>
          </w:tcPr>
          <w:p w:rsidR="00337A19" w:rsidRDefault="00337A19">
            <w:pPr>
              <w:pStyle w:val="ANormal"/>
              <w:keepNext/>
            </w:pPr>
          </w:p>
          <w:p w:rsidR="00337A19" w:rsidRDefault="00337A19">
            <w:pPr>
              <w:pStyle w:val="ANormal"/>
              <w:keepNext/>
            </w:pPr>
          </w:p>
          <w:p w:rsidR="00337A19" w:rsidRDefault="00337A19">
            <w:pPr>
              <w:pStyle w:val="ANormal"/>
              <w:keepNext/>
            </w:pPr>
          </w:p>
          <w:p w:rsidR="00337A19" w:rsidRDefault="00ED1930">
            <w:pPr>
              <w:pStyle w:val="ANormal"/>
              <w:keepNext/>
              <w:jc w:val="center"/>
            </w:pPr>
            <w:r>
              <w:t>Roger Nordlund</w:t>
            </w:r>
            <w:r w:rsidR="00D636DC">
              <w:t xml:space="preserve">  </w:t>
            </w:r>
          </w:p>
          <w:p w:rsidR="00337A19" w:rsidRDefault="00337A19">
            <w:pPr>
              <w:pStyle w:val="ANormal"/>
              <w:keepNext/>
              <w:jc w:val="center"/>
            </w:pPr>
            <w:r>
              <w:t>talman</w:t>
            </w:r>
          </w:p>
        </w:tc>
      </w:tr>
      <w:tr w:rsidR="00337A19">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ED1930">
            <w:pPr>
              <w:pStyle w:val="ANormal"/>
              <w:keepNext/>
              <w:jc w:val="center"/>
            </w:pPr>
            <w:r>
              <w:t>Ingrid Zetterman</w:t>
            </w:r>
            <w:r w:rsidR="00D636DC">
              <w:t xml:space="preserve">  </w:t>
            </w:r>
          </w:p>
          <w:p w:rsidR="00337A19" w:rsidRDefault="00337A19">
            <w:pPr>
              <w:pStyle w:val="ANormal"/>
              <w:keepNext/>
              <w:jc w:val="center"/>
            </w:pPr>
            <w:r>
              <w:t>vicetalman</w:t>
            </w:r>
          </w:p>
        </w:tc>
        <w:tc>
          <w:tcPr>
            <w:tcW w:w="3353" w:type="dxa"/>
            <w:vAlign w:val="bottom"/>
          </w:tcPr>
          <w:p w:rsidR="00337A19" w:rsidRDefault="00337A19">
            <w:pPr>
              <w:pStyle w:val="ANormal"/>
              <w:keepNext/>
              <w:jc w:val="center"/>
            </w:pPr>
          </w:p>
          <w:p w:rsidR="00337A19" w:rsidRDefault="00337A19">
            <w:pPr>
              <w:pStyle w:val="ANormal"/>
              <w:keepNext/>
              <w:jc w:val="center"/>
            </w:pPr>
          </w:p>
          <w:p w:rsidR="00337A19" w:rsidRDefault="00ED1930">
            <w:pPr>
              <w:pStyle w:val="ANormal"/>
              <w:keepNext/>
              <w:jc w:val="center"/>
            </w:pPr>
            <w:r>
              <w:t>Bert Häggblom</w:t>
            </w:r>
          </w:p>
          <w:p w:rsidR="00337A19" w:rsidRDefault="00337A19">
            <w:pPr>
              <w:pStyle w:val="ANormal"/>
              <w:keepNext/>
              <w:jc w:val="center"/>
            </w:pPr>
            <w:r>
              <w:t>vicetalman</w:t>
            </w:r>
          </w:p>
        </w:tc>
      </w:tr>
    </w:tbl>
    <w:p w:rsidR="00337A19" w:rsidRDefault="00337A19">
      <w:pPr>
        <w:pStyle w:val="ANormal"/>
      </w:pPr>
    </w:p>
    <w:sectPr w:rsidR="00337A19" w:rsidSect="005C5E44">
      <w:headerReference w:type="even" r:id="rId12"/>
      <w:headerReference w:type="default" r:id="rId13"/>
      <w:footerReference w:type="default" r:id="rId14"/>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930" w:rsidRDefault="00ED1930">
      <w:r>
        <w:separator/>
      </w:r>
    </w:p>
  </w:endnote>
  <w:endnote w:type="continuationSeparator" w:id="0">
    <w:p w:rsidR="00ED1930" w:rsidRDefault="00ED19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tabs>
        <w:tab w:val="clear" w:pos="816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rPr>
        <w:lang w:val="fi-FI"/>
      </w:rPr>
    </w:pPr>
    <w:r>
      <w:fldChar w:fldCharType="begin"/>
    </w:r>
    <w:r>
      <w:rPr>
        <w:lang w:val="fi-FI"/>
      </w:rPr>
      <w:instrText xml:space="preserve"> FILENAME  \* MERGEFORMAT </w:instrText>
    </w:r>
    <w:r>
      <w:fldChar w:fldCharType="separate"/>
    </w:r>
    <w:r w:rsidR="00E673FB">
      <w:rPr>
        <w:noProof/>
        <w:lang w:val="fi-FI"/>
      </w:rPr>
      <w:t>LTB822019.docx</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930" w:rsidRDefault="00ED1930">
      <w:r>
        <w:separator/>
      </w:r>
    </w:p>
  </w:footnote>
  <w:footnote w:type="continuationSeparator" w:id="0">
    <w:p w:rsidR="00ED1930" w:rsidRDefault="00ED193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rsidR="00867707" w:rsidRDefault="0086770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sidR="00C13434">
      <w:rPr>
        <w:rStyle w:val="Sidnummer"/>
        <w:noProof/>
      </w:rPr>
      <w:t>3</w:t>
    </w:r>
    <w:r>
      <w:rPr>
        <w:rStyle w:val="Sidnumm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5E82B8"/>
    <w:lvl w:ilvl="0">
      <w:start w:val="1"/>
      <w:numFmt w:val="decimal"/>
      <w:lvlText w:val="%1."/>
      <w:lvlJc w:val="left"/>
      <w:pPr>
        <w:tabs>
          <w:tab w:val="num" w:pos="1492"/>
        </w:tabs>
        <w:ind w:left="1492" w:hanging="360"/>
      </w:pPr>
    </w:lvl>
  </w:abstractNum>
  <w:abstractNum w:abstractNumId="1">
    <w:nsid w:val="FFFFFF7D"/>
    <w:multiLevelType w:val="singleLevel"/>
    <w:tmpl w:val="C3DEA69A"/>
    <w:lvl w:ilvl="0">
      <w:start w:val="1"/>
      <w:numFmt w:val="decimal"/>
      <w:lvlText w:val="%1."/>
      <w:lvlJc w:val="left"/>
      <w:pPr>
        <w:tabs>
          <w:tab w:val="num" w:pos="1209"/>
        </w:tabs>
        <w:ind w:left="1209" w:hanging="360"/>
      </w:pPr>
    </w:lvl>
  </w:abstractNum>
  <w:abstractNum w:abstractNumId="2">
    <w:nsid w:val="FFFFFF7E"/>
    <w:multiLevelType w:val="singleLevel"/>
    <w:tmpl w:val="AA6A2E40"/>
    <w:lvl w:ilvl="0">
      <w:start w:val="1"/>
      <w:numFmt w:val="decimal"/>
      <w:lvlText w:val="%1."/>
      <w:lvlJc w:val="left"/>
      <w:pPr>
        <w:tabs>
          <w:tab w:val="num" w:pos="926"/>
        </w:tabs>
        <w:ind w:left="926" w:hanging="360"/>
      </w:pPr>
    </w:lvl>
  </w:abstractNum>
  <w:abstractNum w:abstractNumId="3">
    <w:nsid w:val="FFFFFF7F"/>
    <w:multiLevelType w:val="singleLevel"/>
    <w:tmpl w:val="7B480B52"/>
    <w:lvl w:ilvl="0">
      <w:start w:val="1"/>
      <w:numFmt w:val="decimal"/>
      <w:lvlText w:val="%1."/>
      <w:lvlJc w:val="left"/>
      <w:pPr>
        <w:tabs>
          <w:tab w:val="num" w:pos="643"/>
        </w:tabs>
        <w:ind w:left="643" w:hanging="360"/>
      </w:pPr>
    </w:lvl>
  </w:abstractNum>
  <w:abstractNum w:abstractNumId="4">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785E4396"/>
    <w:lvl w:ilvl="0">
      <w:start w:val="1"/>
      <w:numFmt w:val="decimal"/>
      <w:lvlText w:val="%1."/>
      <w:lvlJc w:val="left"/>
      <w:pPr>
        <w:tabs>
          <w:tab w:val="num" w:pos="360"/>
        </w:tabs>
        <w:ind w:left="360" w:hanging="360"/>
      </w:pPr>
    </w:lvl>
  </w:abstractNum>
  <w:abstractNum w:abstractNumId="7">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0"/>
  </w:num>
  <w:num w:numId="10">
    <w:abstractNumId w:val="13"/>
  </w:num>
  <w:num w:numId="11">
    <w:abstractNumId w:val="12"/>
  </w:num>
  <w:num w:numId="12">
    <w:abstractNumId w:val="16"/>
  </w:num>
  <w:num w:numId="13">
    <w:abstractNumId w:val="11"/>
  </w:num>
  <w:num w:numId="14">
    <w:abstractNumId w:val="15"/>
  </w:num>
  <w:num w:numId="15">
    <w:abstractNumId w:val="9"/>
  </w:num>
  <w:num w:numId="16">
    <w:abstractNumId w:val="21"/>
  </w:num>
  <w:num w:numId="17">
    <w:abstractNumId w:val="8"/>
  </w:num>
  <w:num w:numId="18">
    <w:abstractNumId w:val="17"/>
  </w:num>
  <w:num w:numId="19">
    <w:abstractNumId w:val="20"/>
  </w:num>
  <w:num w:numId="20">
    <w:abstractNumId w:val="23"/>
  </w:num>
  <w:num w:numId="21">
    <w:abstractNumId w:val="22"/>
  </w:num>
  <w:num w:numId="22">
    <w:abstractNumId w:val="14"/>
  </w:num>
  <w:num w:numId="23">
    <w:abstractNumId w:val="18"/>
  </w:num>
  <w:num w:numId="24">
    <w:abstractNumId w:val="18"/>
  </w:num>
  <w:num w:numId="25">
    <w:abstractNumId w:val="19"/>
  </w:num>
  <w:num w:numId="26">
    <w:abstractNumId w:val="14"/>
  </w:num>
  <w:num w:numId="27">
    <w:abstractNumId w:val="14"/>
  </w:num>
  <w:num w:numId="28">
    <w:abstractNumId w:val="14"/>
  </w:num>
  <w:num w:numId="29">
    <w:abstractNumId w:val="14"/>
  </w:num>
  <w:num w:numId="30">
    <w:abstractNumId w:val="14"/>
  </w:num>
  <w:num w:numId="31">
    <w:abstractNumId w:val="14"/>
  </w:num>
  <w:num w:numId="32">
    <w:abstractNumId w:val="14"/>
  </w:num>
  <w:num w:numId="33">
    <w:abstractNumId w:val="14"/>
  </w:num>
  <w:num w:numId="34">
    <w:abstractNumId w:val="14"/>
  </w:num>
  <w:num w:numId="35">
    <w:abstractNumId w:val="18"/>
  </w:num>
  <w:num w:numId="36">
    <w:abstractNumId w:val="19"/>
  </w:num>
  <w:num w:numId="37">
    <w:abstractNumId w:val="14"/>
  </w:num>
  <w:num w:numId="38">
    <w:abstractNumId w:val="14"/>
  </w:num>
  <w:num w:numId="39">
    <w:abstractNumId w:val="14"/>
  </w:num>
  <w:num w:numId="40">
    <w:abstractNumId w:val="14"/>
  </w:num>
  <w:num w:numId="41">
    <w:abstractNumId w:val="14"/>
  </w:num>
  <w:num w:numId="42">
    <w:abstractNumId w:val="14"/>
  </w:num>
  <w:num w:numId="43">
    <w:abstractNumId w:val="14"/>
  </w:num>
  <w:num w:numId="44">
    <w:abstractNumId w:val="14"/>
  </w:num>
  <w:num w:numId="4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1930"/>
    <w:rsid w:val="00004B5B"/>
    <w:rsid w:val="00284C7A"/>
    <w:rsid w:val="002E1682"/>
    <w:rsid w:val="00337A19"/>
    <w:rsid w:val="0038180C"/>
    <w:rsid w:val="004D7ED5"/>
    <w:rsid w:val="004E7D01"/>
    <w:rsid w:val="004F64FE"/>
    <w:rsid w:val="005C5E44"/>
    <w:rsid w:val="005E1BD9"/>
    <w:rsid w:val="005F6898"/>
    <w:rsid w:val="006538ED"/>
    <w:rsid w:val="008414E5"/>
    <w:rsid w:val="00867707"/>
    <w:rsid w:val="008B5FA2"/>
    <w:rsid w:val="009E1423"/>
    <w:rsid w:val="009F1162"/>
    <w:rsid w:val="00B5110A"/>
    <w:rsid w:val="00B9738C"/>
    <w:rsid w:val="00BA3751"/>
    <w:rsid w:val="00BD48EF"/>
    <w:rsid w:val="00BE2983"/>
    <w:rsid w:val="00C13434"/>
    <w:rsid w:val="00D636DC"/>
    <w:rsid w:val="00DD3988"/>
    <w:rsid w:val="00E6237B"/>
    <w:rsid w:val="00E673FB"/>
    <w:rsid w:val="00ED1930"/>
    <w:rsid w:val="00F94A35"/>
    <w:rsid w:val="00FC6EF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FC6EF5"/>
    <w:rPr>
      <w:rFonts w:ascii="Tahoma" w:hAnsi="Tahoma" w:cs="Tahoma"/>
      <w:sz w:val="16"/>
      <w:szCs w:val="16"/>
    </w:rPr>
  </w:style>
  <w:style w:type="character" w:customStyle="1" w:styleId="BallongtextChar">
    <w:name w:val="Ballongtext Char"/>
    <w:basedOn w:val="Standardstycketeckensnitt"/>
    <w:link w:val="Ballongtext"/>
    <w:rsid w:val="00FC6EF5"/>
    <w:rPr>
      <w:rFonts w:ascii="Tahoma" w:hAnsi="Tahoma" w:cs="Tahoma"/>
      <w:sz w:val="16"/>
      <w:szCs w:val="16"/>
      <w:lang w:val="sv-SE" w:eastAsia="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paragraph" w:styleId="Ballongtext">
    <w:name w:val="Balloon Text"/>
    <w:basedOn w:val="Normal"/>
    <w:link w:val="BallongtextChar"/>
    <w:rsid w:val="00FC6EF5"/>
    <w:rPr>
      <w:rFonts w:ascii="Tahoma" w:hAnsi="Tahoma" w:cs="Tahoma"/>
      <w:sz w:val="16"/>
      <w:szCs w:val="16"/>
    </w:rPr>
  </w:style>
  <w:style w:type="character" w:customStyle="1" w:styleId="BallongtextChar">
    <w:name w:val="Ballongtext Char"/>
    <w:basedOn w:val="Standardstycketeckensnitt"/>
    <w:link w:val="Ballongtext"/>
    <w:rsid w:val="00FC6EF5"/>
    <w:rPr>
      <w:rFonts w:ascii="Tahoma" w:hAnsi="Tahoma" w:cs="Tahoma"/>
      <w:sz w:val="16"/>
      <w:szCs w:val="1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LT-Beslut.dotx</Template>
  <TotalTime>0</TotalTime>
  <Pages>3</Pages>
  <Words>1151</Words>
  <Characters>6105</Characters>
  <Application>Microsoft Office Word</Application>
  <DocSecurity>0</DocSecurity>
  <Lines>50</Lines>
  <Paragraphs>14</Paragraphs>
  <ScaleCrop>false</ScaleCrop>
  <HeadingPairs>
    <vt:vector size="2" baseType="variant">
      <vt:variant>
        <vt:lpstr>Rubrik</vt:lpstr>
      </vt:variant>
      <vt:variant>
        <vt:i4>1</vt:i4>
      </vt:variant>
    </vt:vector>
  </HeadingPairs>
  <TitlesOfParts>
    <vt:vector size="1" baseType="lpstr">
      <vt:lpstr>Ålands lagting - Beslut LTB 82/2019</vt:lpstr>
    </vt:vector>
  </TitlesOfParts>
  <Company>Ålands lagting</Company>
  <LinksUpToDate>false</LinksUpToDate>
  <CharactersWithSpaces>7242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82/2019</dc:title>
  <dc:creator>Jessica Laaksonen</dc:creator>
  <cp:lastModifiedBy>Jessica Laaksonen</cp:lastModifiedBy>
  <cp:revision>2</cp:revision>
  <cp:lastPrinted>2019-12-18T09:58:00Z</cp:lastPrinted>
  <dcterms:created xsi:type="dcterms:W3CDTF">2019-12-20T08:30:00Z</dcterms:created>
  <dcterms:modified xsi:type="dcterms:W3CDTF">2019-12-20T08:30:00Z</dcterms:modified>
</cp:coreProperties>
</file>