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DC4C833" w14:textId="77777777">
        <w:trPr>
          <w:cantSplit/>
          <w:trHeight w:val="20"/>
        </w:trPr>
        <w:tc>
          <w:tcPr>
            <w:tcW w:w="861" w:type="dxa"/>
            <w:vMerge w:val="restart"/>
          </w:tcPr>
          <w:p w14:paraId="4AE2A602" w14:textId="77777777" w:rsidR="00AF3004" w:rsidRDefault="00644310">
            <w:pPr>
              <w:pStyle w:val="xLedtext"/>
              <w:keepNext/>
              <w:rPr>
                <w:noProof/>
              </w:rPr>
            </w:pPr>
            <w:bookmarkStart w:id="0" w:name="_GoBack"/>
            <w:bookmarkEnd w:id="0"/>
            <w:r>
              <w:rPr>
                <w:noProof/>
                <w:sz w:val="20"/>
                <w:lang w:val="sv-FI" w:eastAsia="sv-FI"/>
              </w:rPr>
              <w:drawing>
                <wp:anchor distT="0" distB="0" distL="114300" distR="114300" simplePos="0" relativeHeight="251657728" behindDoc="0" locked="0" layoutInCell="1" allowOverlap="1" wp14:anchorId="6D9CAA7D" wp14:editId="2E4581F6">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4077949" w14:textId="77777777" w:rsidR="00AF3004" w:rsidRDefault="00644310">
            <w:pPr>
              <w:pStyle w:val="xMellanrum"/>
            </w:pPr>
            <w:r>
              <w:rPr>
                <w:noProof/>
                <w:lang w:val="sv-FI" w:eastAsia="sv-FI"/>
              </w:rPr>
              <w:drawing>
                <wp:inline distT="0" distB="0" distL="0" distR="0" wp14:anchorId="3B977A48" wp14:editId="3D3AF3AC">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1E2228E" w14:textId="77777777">
        <w:trPr>
          <w:cantSplit/>
          <w:trHeight w:val="299"/>
        </w:trPr>
        <w:tc>
          <w:tcPr>
            <w:tcW w:w="861" w:type="dxa"/>
            <w:vMerge/>
          </w:tcPr>
          <w:p w14:paraId="61412EE8" w14:textId="77777777" w:rsidR="00AF3004" w:rsidRDefault="00AF3004">
            <w:pPr>
              <w:pStyle w:val="xLedtext"/>
            </w:pPr>
          </w:p>
        </w:tc>
        <w:tc>
          <w:tcPr>
            <w:tcW w:w="4448" w:type="dxa"/>
            <w:vAlign w:val="bottom"/>
          </w:tcPr>
          <w:p w14:paraId="1CB16714" w14:textId="77777777" w:rsidR="00AF3004" w:rsidRDefault="00AF3004">
            <w:pPr>
              <w:pStyle w:val="xAvsandare1"/>
            </w:pPr>
          </w:p>
        </w:tc>
        <w:tc>
          <w:tcPr>
            <w:tcW w:w="4288" w:type="dxa"/>
            <w:gridSpan w:val="2"/>
            <w:vAlign w:val="bottom"/>
          </w:tcPr>
          <w:p w14:paraId="5CCC3A36" w14:textId="2814E07D" w:rsidR="00AF3004" w:rsidRDefault="001237E8">
            <w:pPr>
              <w:pStyle w:val="xDokTypNr"/>
            </w:pPr>
            <w:r>
              <w:t>LAGFÖRSLAG</w:t>
            </w:r>
            <w:r w:rsidR="00AF3004">
              <w:t xml:space="preserve"> nr </w:t>
            </w:r>
            <w:r w:rsidR="00693E77">
              <w:t>5</w:t>
            </w:r>
            <w:r w:rsidR="00AF3004">
              <w:t>/20</w:t>
            </w:r>
            <w:r>
              <w:t>19</w:t>
            </w:r>
            <w:r w:rsidR="0084746A">
              <w:t>–</w:t>
            </w:r>
            <w:r w:rsidR="00AF3004">
              <w:t>20</w:t>
            </w:r>
            <w:r>
              <w:t>2</w:t>
            </w:r>
            <w:r w:rsidR="00AF3004">
              <w:t>0</w:t>
            </w:r>
          </w:p>
        </w:tc>
      </w:tr>
      <w:tr w:rsidR="00AF3004" w14:paraId="22726A5E" w14:textId="77777777">
        <w:trPr>
          <w:cantSplit/>
          <w:trHeight w:val="238"/>
        </w:trPr>
        <w:tc>
          <w:tcPr>
            <w:tcW w:w="861" w:type="dxa"/>
            <w:vMerge/>
          </w:tcPr>
          <w:p w14:paraId="7B545B81" w14:textId="77777777" w:rsidR="00AF3004" w:rsidRDefault="00AF3004">
            <w:pPr>
              <w:pStyle w:val="xLedtext"/>
            </w:pPr>
          </w:p>
        </w:tc>
        <w:tc>
          <w:tcPr>
            <w:tcW w:w="4448" w:type="dxa"/>
            <w:vAlign w:val="bottom"/>
          </w:tcPr>
          <w:p w14:paraId="6E474D5C" w14:textId="77777777" w:rsidR="00AF3004" w:rsidRDefault="00AF3004">
            <w:pPr>
              <w:pStyle w:val="xLedtext"/>
            </w:pPr>
          </w:p>
        </w:tc>
        <w:tc>
          <w:tcPr>
            <w:tcW w:w="1725" w:type="dxa"/>
            <w:vAlign w:val="bottom"/>
          </w:tcPr>
          <w:p w14:paraId="406FB909" w14:textId="77777777" w:rsidR="00AF3004" w:rsidRDefault="00AF3004">
            <w:pPr>
              <w:pStyle w:val="xLedtext"/>
              <w:rPr>
                <w:lang w:val="de-DE"/>
              </w:rPr>
            </w:pPr>
            <w:r>
              <w:rPr>
                <w:lang w:val="de-DE"/>
              </w:rPr>
              <w:t>Datum</w:t>
            </w:r>
          </w:p>
        </w:tc>
        <w:tc>
          <w:tcPr>
            <w:tcW w:w="2563" w:type="dxa"/>
            <w:vAlign w:val="bottom"/>
          </w:tcPr>
          <w:p w14:paraId="191A566E" w14:textId="77777777" w:rsidR="00AF3004" w:rsidRDefault="00AF3004">
            <w:pPr>
              <w:pStyle w:val="xLedtext"/>
              <w:rPr>
                <w:lang w:val="de-DE"/>
              </w:rPr>
            </w:pPr>
          </w:p>
        </w:tc>
      </w:tr>
      <w:tr w:rsidR="00AF3004" w14:paraId="0368CE88" w14:textId="77777777">
        <w:trPr>
          <w:cantSplit/>
          <w:trHeight w:val="238"/>
        </w:trPr>
        <w:tc>
          <w:tcPr>
            <w:tcW w:w="861" w:type="dxa"/>
            <w:vMerge/>
          </w:tcPr>
          <w:p w14:paraId="1A6758AA" w14:textId="77777777" w:rsidR="00AF3004" w:rsidRDefault="00AF3004">
            <w:pPr>
              <w:pStyle w:val="xAvsandare2"/>
              <w:rPr>
                <w:lang w:val="de-DE"/>
              </w:rPr>
            </w:pPr>
          </w:p>
        </w:tc>
        <w:tc>
          <w:tcPr>
            <w:tcW w:w="4448" w:type="dxa"/>
            <w:vAlign w:val="center"/>
          </w:tcPr>
          <w:p w14:paraId="09C1344C" w14:textId="77777777" w:rsidR="00AF3004" w:rsidRDefault="00AF3004">
            <w:pPr>
              <w:pStyle w:val="xAvsandare2"/>
              <w:rPr>
                <w:lang w:val="de-DE"/>
              </w:rPr>
            </w:pPr>
          </w:p>
        </w:tc>
        <w:tc>
          <w:tcPr>
            <w:tcW w:w="1725" w:type="dxa"/>
            <w:vAlign w:val="center"/>
          </w:tcPr>
          <w:p w14:paraId="54000679" w14:textId="6825640C" w:rsidR="00AF3004" w:rsidRDefault="00AF3004">
            <w:pPr>
              <w:pStyle w:val="xDatum1"/>
              <w:rPr>
                <w:lang w:val="de-DE"/>
              </w:rPr>
            </w:pPr>
            <w:r>
              <w:rPr>
                <w:lang w:val="de-DE"/>
              </w:rPr>
              <w:t>20</w:t>
            </w:r>
            <w:r w:rsidR="00693E77">
              <w:rPr>
                <w:lang w:val="de-DE"/>
              </w:rPr>
              <w:t>19</w:t>
            </w:r>
            <w:r>
              <w:rPr>
                <w:lang w:val="de-DE"/>
              </w:rPr>
              <w:t>-</w:t>
            </w:r>
            <w:r w:rsidR="00693E77">
              <w:rPr>
                <w:lang w:val="de-DE"/>
              </w:rPr>
              <w:t>11</w:t>
            </w:r>
            <w:r>
              <w:rPr>
                <w:lang w:val="de-DE"/>
              </w:rPr>
              <w:t>-</w:t>
            </w:r>
            <w:r w:rsidR="00693E77">
              <w:rPr>
                <w:lang w:val="de-DE"/>
              </w:rPr>
              <w:t>21</w:t>
            </w:r>
          </w:p>
        </w:tc>
        <w:tc>
          <w:tcPr>
            <w:tcW w:w="2563" w:type="dxa"/>
            <w:vAlign w:val="center"/>
          </w:tcPr>
          <w:p w14:paraId="20053902" w14:textId="77777777" w:rsidR="00AF3004" w:rsidRDefault="00AF3004">
            <w:pPr>
              <w:pStyle w:val="xBeteckning1"/>
              <w:rPr>
                <w:lang w:val="de-DE"/>
              </w:rPr>
            </w:pPr>
          </w:p>
        </w:tc>
      </w:tr>
      <w:tr w:rsidR="00AF3004" w14:paraId="5EBA3C85" w14:textId="77777777">
        <w:trPr>
          <w:cantSplit/>
          <w:trHeight w:val="238"/>
        </w:trPr>
        <w:tc>
          <w:tcPr>
            <w:tcW w:w="861" w:type="dxa"/>
            <w:vMerge/>
          </w:tcPr>
          <w:p w14:paraId="66C7F1D9" w14:textId="77777777" w:rsidR="00AF3004" w:rsidRDefault="00AF3004">
            <w:pPr>
              <w:pStyle w:val="xLedtext"/>
              <w:rPr>
                <w:lang w:val="de-DE"/>
              </w:rPr>
            </w:pPr>
          </w:p>
        </w:tc>
        <w:tc>
          <w:tcPr>
            <w:tcW w:w="4448" w:type="dxa"/>
            <w:vAlign w:val="bottom"/>
          </w:tcPr>
          <w:p w14:paraId="1F9605C0" w14:textId="77777777" w:rsidR="00AF3004" w:rsidRDefault="00AF3004">
            <w:pPr>
              <w:pStyle w:val="xLedtext"/>
              <w:rPr>
                <w:lang w:val="de-DE"/>
              </w:rPr>
            </w:pPr>
          </w:p>
        </w:tc>
        <w:tc>
          <w:tcPr>
            <w:tcW w:w="1725" w:type="dxa"/>
            <w:vAlign w:val="bottom"/>
          </w:tcPr>
          <w:p w14:paraId="59674A26" w14:textId="77777777" w:rsidR="00AF3004" w:rsidRDefault="00AF3004">
            <w:pPr>
              <w:pStyle w:val="xLedtext"/>
              <w:rPr>
                <w:lang w:val="de-DE"/>
              </w:rPr>
            </w:pPr>
          </w:p>
        </w:tc>
        <w:tc>
          <w:tcPr>
            <w:tcW w:w="2563" w:type="dxa"/>
            <w:vAlign w:val="bottom"/>
          </w:tcPr>
          <w:p w14:paraId="6A9484DF" w14:textId="367C7183" w:rsidR="00AF3004" w:rsidRPr="002020E1" w:rsidRDefault="00AF3004">
            <w:pPr>
              <w:pStyle w:val="xLedtext"/>
              <w:rPr>
                <w:b/>
                <w:bCs/>
                <w:sz w:val="18"/>
                <w:szCs w:val="18"/>
                <w:lang w:val="de-DE"/>
              </w:rPr>
            </w:pPr>
          </w:p>
        </w:tc>
      </w:tr>
      <w:tr w:rsidR="00AF3004" w14:paraId="2B445D1D" w14:textId="77777777">
        <w:trPr>
          <w:cantSplit/>
          <w:trHeight w:val="238"/>
        </w:trPr>
        <w:tc>
          <w:tcPr>
            <w:tcW w:w="861" w:type="dxa"/>
            <w:vMerge/>
            <w:tcBorders>
              <w:bottom w:val="single" w:sz="4" w:space="0" w:color="auto"/>
            </w:tcBorders>
          </w:tcPr>
          <w:p w14:paraId="29B0AE88" w14:textId="77777777" w:rsidR="00AF3004" w:rsidRDefault="00AF3004">
            <w:pPr>
              <w:pStyle w:val="xAvsandare3"/>
              <w:rPr>
                <w:lang w:val="de-DE"/>
              </w:rPr>
            </w:pPr>
          </w:p>
        </w:tc>
        <w:tc>
          <w:tcPr>
            <w:tcW w:w="4448" w:type="dxa"/>
            <w:tcBorders>
              <w:bottom w:val="single" w:sz="4" w:space="0" w:color="auto"/>
            </w:tcBorders>
            <w:vAlign w:val="center"/>
          </w:tcPr>
          <w:p w14:paraId="7A2466AD" w14:textId="77777777" w:rsidR="00AF3004" w:rsidRDefault="00AF3004">
            <w:pPr>
              <w:pStyle w:val="xAvsandare3"/>
              <w:rPr>
                <w:lang w:val="de-DE"/>
              </w:rPr>
            </w:pPr>
          </w:p>
        </w:tc>
        <w:tc>
          <w:tcPr>
            <w:tcW w:w="1725" w:type="dxa"/>
            <w:tcBorders>
              <w:bottom w:val="single" w:sz="4" w:space="0" w:color="auto"/>
            </w:tcBorders>
            <w:vAlign w:val="center"/>
          </w:tcPr>
          <w:p w14:paraId="618401CB" w14:textId="77777777" w:rsidR="00AF3004" w:rsidRDefault="00AF3004">
            <w:pPr>
              <w:pStyle w:val="xDatum2"/>
              <w:rPr>
                <w:lang w:val="de-DE"/>
              </w:rPr>
            </w:pPr>
          </w:p>
        </w:tc>
        <w:tc>
          <w:tcPr>
            <w:tcW w:w="2563" w:type="dxa"/>
            <w:tcBorders>
              <w:bottom w:val="single" w:sz="4" w:space="0" w:color="auto"/>
            </w:tcBorders>
            <w:vAlign w:val="center"/>
          </w:tcPr>
          <w:p w14:paraId="2045A7D5" w14:textId="77777777" w:rsidR="00AF3004" w:rsidRDefault="00AF3004">
            <w:pPr>
              <w:pStyle w:val="xBeteckning2"/>
              <w:rPr>
                <w:lang w:val="de-DE"/>
              </w:rPr>
            </w:pPr>
          </w:p>
        </w:tc>
      </w:tr>
      <w:tr w:rsidR="00AF3004" w14:paraId="4529AD10" w14:textId="77777777">
        <w:trPr>
          <w:cantSplit/>
          <w:trHeight w:val="238"/>
        </w:trPr>
        <w:tc>
          <w:tcPr>
            <w:tcW w:w="861" w:type="dxa"/>
            <w:tcBorders>
              <w:top w:val="single" w:sz="4" w:space="0" w:color="auto"/>
            </w:tcBorders>
            <w:vAlign w:val="bottom"/>
          </w:tcPr>
          <w:p w14:paraId="78B4E6FE" w14:textId="77777777" w:rsidR="00AF3004" w:rsidRDefault="00AF3004">
            <w:pPr>
              <w:pStyle w:val="xLedtext"/>
              <w:rPr>
                <w:lang w:val="de-DE"/>
              </w:rPr>
            </w:pPr>
          </w:p>
        </w:tc>
        <w:tc>
          <w:tcPr>
            <w:tcW w:w="4448" w:type="dxa"/>
            <w:tcBorders>
              <w:top w:val="single" w:sz="4" w:space="0" w:color="auto"/>
            </w:tcBorders>
            <w:vAlign w:val="bottom"/>
          </w:tcPr>
          <w:p w14:paraId="4F0E86B9" w14:textId="77777777" w:rsidR="00AF3004" w:rsidRDefault="00AF3004">
            <w:pPr>
              <w:pStyle w:val="xLedtext"/>
              <w:rPr>
                <w:lang w:val="de-DE"/>
              </w:rPr>
            </w:pPr>
          </w:p>
        </w:tc>
        <w:tc>
          <w:tcPr>
            <w:tcW w:w="4288" w:type="dxa"/>
            <w:gridSpan w:val="2"/>
            <w:tcBorders>
              <w:top w:val="single" w:sz="4" w:space="0" w:color="auto"/>
            </w:tcBorders>
            <w:vAlign w:val="bottom"/>
          </w:tcPr>
          <w:p w14:paraId="7B534923" w14:textId="77777777" w:rsidR="00AF3004" w:rsidRDefault="00AF3004">
            <w:pPr>
              <w:pStyle w:val="xLedtext"/>
              <w:rPr>
                <w:lang w:val="de-DE"/>
              </w:rPr>
            </w:pPr>
          </w:p>
        </w:tc>
      </w:tr>
      <w:tr w:rsidR="00AF3004" w14:paraId="011E9729" w14:textId="77777777">
        <w:trPr>
          <w:cantSplit/>
          <w:trHeight w:val="238"/>
        </w:trPr>
        <w:tc>
          <w:tcPr>
            <w:tcW w:w="861" w:type="dxa"/>
          </w:tcPr>
          <w:p w14:paraId="6AE127A3" w14:textId="77777777" w:rsidR="00AF3004" w:rsidRDefault="00AF3004">
            <w:pPr>
              <w:pStyle w:val="xCelltext"/>
              <w:rPr>
                <w:lang w:val="de-DE"/>
              </w:rPr>
            </w:pPr>
          </w:p>
        </w:tc>
        <w:tc>
          <w:tcPr>
            <w:tcW w:w="4448" w:type="dxa"/>
            <w:vMerge w:val="restart"/>
          </w:tcPr>
          <w:p w14:paraId="5ABA7679" w14:textId="77777777" w:rsidR="00AF3004" w:rsidRDefault="00AF3004">
            <w:pPr>
              <w:pStyle w:val="xMottagare1"/>
            </w:pPr>
            <w:bookmarkStart w:id="1" w:name="_top"/>
            <w:bookmarkEnd w:id="1"/>
            <w:r>
              <w:t>Till Ålands lagting</w:t>
            </w:r>
          </w:p>
        </w:tc>
        <w:tc>
          <w:tcPr>
            <w:tcW w:w="4288" w:type="dxa"/>
            <w:gridSpan w:val="2"/>
            <w:vMerge w:val="restart"/>
          </w:tcPr>
          <w:p w14:paraId="3E5FED47" w14:textId="77777777" w:rsidR="00AF3004" w:rsidRDefault="00AF3004">
            <w:pPr>
              <w:pStyle w:val="xMottagare1"/>
              <w:tabs>
                <w:tab w:val="left" w:pos="2349"/>
              </w:tabs>
            </w:pPr>
          </w:p>
        </w:tc>
      </w:tr>
      <w:tr w:rsidR="00AF3004" w14:paraId="5E4796B9" w14:textId="77777777">
        <w:trPr>
          <w:cantSplit/>
          <w:trHeight w:val="238"/>
        </w:trPr>
        <w:tc>
          <w:tcPr>
            <w:tcW w:w="861" w:type="dxa"/>
          </w:tcPr>
          <w:p w14:paraId="0D99B59F" w14:textId="77777777" w:rsidR="00AF3004" w:rsidRDefault="00AF3004">
            <w:pPr>
              <w:pStyle w:val="xCelltext"/>
            </w:pPr>
          </w:p>
        </w:tc>
        <w:tc>
          <w:tcPr>
            <w:tcW w:w="4448" w:type="dxa"/>
            <w:vMerge/>
            <w:vAlign w:val="center"/>
          </w:tcPr>
          <w:p w14:paraId="5CD9514E" w14:textId="77777777" w:rsidR="00AF3004" w:rsidRDefault="00AF3004">
            <w:pPr>
              <w:pStyle w:val="xCelltext"/>
            </w:pPr>
          </w:p>
        </w:tc>
        <w:tc>
          <w:tcPr>
            <w:tcW w:w="4288" w:type="dxa"/>
            <w:gridSpan w:val="2"/>
            <w:vMerge/>
            <w:vAlign w:val="center"/>
          </w:tcPr>
          <w:p w14:paraId="1810F9B0" w14:textId="77777777" w:rsidR="00AF3004" w:rsidRDefault="00AF3004">
            <w:pPr>
              <w:pStyle w:val="xCelltext"/>
            </w:pPr>
          </w:p>
        </w:tc>
      </w:tr>
      <w:tr w:rsidR="00AF3004" w14:paraId="04DE02B8" w14:textId="77777777">
        <w:trPr>
          <w:cantSplit/>
          <w:trHeight w:val="238"/>
        </w:trPr>
        <w:tc>
          <w:tcPr>
            <w:tcW w:w="861" w:type="dxa"/>
          </w:tcPr>
          <w:p w14:paraId="7B6E237A" w14:textId="77777777" w:rsidR="00AF3004" w:rsidRDefault="00AF3004">
            <w:pPr>
              <w:pStyle w:val="xCelltext"/>
            </w:pPr>
          </w:p>
        </w:tc>
        <w:tc>
          <w:tcPr>
            <w:tcW w:w="4448" w:type="dxa"/>
            <w:vMerge/>
            <w:vAlign w:val="center"/>
          </w:tcPr>
          <w:p w14:paraId="4B53EB37" w14:textId="77777777" w:rsidR="00AF3004" w:rsidRDefault="00AF3004">
            <w:pPr>
              <w:pStyle w:val="xCelltext"/>
            </w:pPr>
          </w:p>
        </w:tc>
        <w:tc>
          <w:tcPr>
            <w:tcW w:w="4288" w:type="dxa"/>
            <w:gridSpan w:val="2"/>
            <w:vMerge/>
            <w:vAlign w:val="center"/>
          </w:tcPr>
          <w:p w14:paraId="6D738C65" w14:textId="77777777" w:rsidR="00AF3004" w:rsidRDefault="00AF3004">
            <w:pPr>
              <w:pStyle w:val="xCelltext"/>
            </w:pPr>
          </w:p>
        </w:tc>
      </w:tr>
      <w:tr w:rsidR="00AF3004" w14:paraId="0AE312E2" w14:textId="77777777">
        <w:trPr>
          <w:cantSplit/>
          <w:trHeight w:val="238"/>
        </w:trPr>
        <w:tc>
          <w:tcPr>
            <w:tcW w:w="861" w:type="dxa"/>
          </w:tcPr>
          <w:p w14:paraId="541B026B" w14:textId="77777777" w:rsidR="00AF3004" w:rsidRDefault="00AF3004">
            <w:pPr>
              <w:pStyle w:val="xCelltext"/>
            </w:pPr>
          </w:p>
        </w:tc>
        <w:tc>
          <w:tcPr>
            <w:tcW w:w="4448" w:type="dxa"/>
            <w:vMerge/>
            <w:vAlign w:val="center"/>
          </w:tcPr>
          <w:p w14:paraId="2B3897D7" w14:textId="77777777" w:rsidR="00AF3004" w:rsidRDefault="00AF3004">
            <w:pPr>
              <w:pStyle w:val="xCelltext"/>
            </w:pPr>
          </w:p>
        </w:tc>
        <w:tc>
          <w:tcPr>
            <w:tcW w:w="4288" w:type="dxa"/>
            <w:gridSpan w:val="2"/>
            <w:vMerge/>
            <w:vAlign w:val="center"/>
          </w:tcPr>
          <w:p w14:paraId="3525EC32" w14:textId="77777777" w:rsidR="00AF3004" w:rsidRDefault="00AF3004">
            <w:pPr>
              <w:pStyle w:val="xCelltext"/>
            </w:pPr>
          </w:p>
        </w:tc>
      </w:tr>
      <w:tr w:rsidR="00AF3004" w14:paraId="15F76BFB" w14:textId="77777777">
        <w:trPr>
          <w:cantSplit/>
          <w:trHeight w:val="238"/>
        </w:trPr>
        <w:tc>
          <w:tcPr>
            <w:tcW w:w="861" w:type="dxa"/>
          </w:tcPr>
          <w:p w14:paraId="44581DFA" w14:textId="77777777" w:rsidR="00AF3004" w:rsidRDefault="00AF3004">
            <w:pPr>
              <w:pStyle w:val="xCelltext"/>
            </w:pPr>
          </w:p>
        </w:tc>
        <w:tc>
          <w:tcPr>
            <w:tcW w:w="4448" w:type="dxa"/>
            <w:vMerge/>
            <w:vAlign w:val="center"/>
          </w:tcPr>
          <w:p w14:paraId="0382CA4E" w14:textId="77777777" w:rsidR="00AF3004" w:rsidRDefault="00AF3004">
            <w:pPr>
              <w:pStyle w:val="xCelltext"/>
            </w:pPr>
          </w:p>
        </w:tc>
        <w:tc>
          <w:tcPr>
            <w:tcW w:w="4288" w:type="dxa"/>
            <w:gridSpan w:val="2"/>
            <w:vMerge/>
            <w:vAlign w:val="center"/>
          </w:tcPr>
          <w:p w14:paraId="4B97B494" w14:textId="77777777" w:rsidR="00AF3004" w:rsidRDefault="00AF3004">
            <w:pPr>
              <w:pStyle w:val="xCelltext"/>
            </w:pPr>
          </w:p>
        </w:tc>
      </w:tr>
    </w:tbl>
    <w:p w14:paraId="4FF64A55"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368E8A07" w14:textId="10890EF0" w:rsidR="00AF3004" w:rsidRDefault="00492989">
      <w:pPr>
        <w:pStyle w:val="ArendeRubrik"/>
      </w:pPr>
      <w:r>
        <w:lastRenderedPageBreak/>
        <w:t>Ändring</w:t>
      </w:r>
      <w:r w:rsidR="00FA3DC2">
        <w:t xml:space="preserve"> av pensionsinkomstavdraget </w:t>
      </w:r>
      <w:r w:rsidR="00CE5022">
        <w:t>samt</w:t>
      </w:r>
      <w:r w:rsidR="00FA3DC2">
        <w:t xml:space="preserve"> kompensation till kommunerna</w:t>
      </w:r>
    </w:p>
    <w:p w14:paraId="1551FEA5" w14:textId="77777777" w:rsidR="00AF3004" w:rsidRDefault="00AF3004">
      <w:pPr>
        <w:pStyle w:val="ANormal"/>
      </w:pPr>
    </w:p>
    <w:p w14:paraId="05A2BA17" w14:textId="77777777" w:rsidR="00AF3004" w:rsidRDefault="00AF3004">
      <w:pPr>
        <w:pStyle w:val="ANormal"/>
      </w:pPr>
    </w:p>
    <w:p w14:paraId="4EC9B608" w14:textId="77777777" w:rsidR="00AF3004" w:rsidRDefault="00AF3004">
      <w:pPr>
        <w:pStyle w:val="RubrikA"/>
      </w:pPr>
      <w:bookmarkStart w:id="2" w:name="_Toc25225891"/>
      <w:r>
        <w:t>Huvudsakligt innehåll</w:t>
      </w:r>
      <w:bookmarkEnd w:id="2"/>
    </w:p>
    <w:p w14:paraId="2B593B28" w14:textId="77777777" w:rsidR="00AF3004" w:rsidRDefault="00AF3004">
      <w:pPr>
        <w:pStyle w:val="Rubrikmellanrum"/>
      </w:pPr>
    </w:p>
    <w:p w14:paraId="193F36BD" w14:textId="5B5D3F58" w:rsidR="00AF3004" w:rsidRDefault="00CE5022">
      <w:pPr>
        <w:pStyle w:val="ANormal"/>
      </w:pPr>
      <w:r>
        <w:t>Landskapsregeringen föreslår att pensionsinkomstavdraget vid kommuna</w:t>
      </w:r>
      <w:r>
        <w:t>l</w:t>
      </w:r>
      <w:r>
        <w:t xml:space="preserve">beskattningen ändras. Förslaget </w:t>
      </w:r>
      <w:r w:rsidR="00A51378">
        <w:t>har samband</w:t>
      </w:r>
      <w:r>
        <w:t xml:space="preserve"> med </w:t>
      </w:r>
      <w:r w:rsidR="00693E77">
        <w:t>en</w:t>
      </w:r>
      <w:r>
        <w:t xml:space="preserve"> höjning av folkpen</w:t>
      </w:r>
      <w:r>
        <w:t>s</w:t>
      </w:r>
      <w:r>
        <w:t>ionen</w:t>
      </w:r>
      <w:r w:rsidR="003453EA">
        <w:t xml:space="preserve"> som riksdagen</w:t>
      </w:r>
      <w:r w:rsidR="00693E77">
        <w:t xml:space="preserve"> har fattat beslut om</w:t>
      </w:r>
      <w:r>
        <w:t xml:space="preserve"> och </w:t>
      </w:r>
      <w:r w:rsidR="00EB772C">
        <w:t>innebär</w:t>
      </w:r>
      <w:r>
        <w:t xml:space="preserve"> att avdragets maxb</w:t>
      </w:r>
      <w:r>
        <w:t>e</w:t>
      </w:r>
      <w:r>
        <w:t>lopp höjs</w:t>
      </w:r>
      <w:r w:rsidR="00EB772C">
        <w:t xml:space="preserve"> jämfört med föregående år</w:t>
      </w:r>
      <w:r>
        <w:t>.</w:t>
      </w:r>
    </w:p>
    <w:p w14:paraId="62F01289" w14:textId="314E30F3" w:rsidR="00927BF4" w:rsidRDefault="00CE5022">
      <w:pPr>
        <w:pStyle w:val="ANormal"/>
      </w:pPr>
      <w:r>
        <w:tab/>
        <w:t>I förslaget ingår även bestämmelser om kompensation till kommunerna för bortfall av skatteintäkter som orsakas av skatteåtgärder som vidtas för 2020.</w:t>
      </w:r>
    </w:p>
    <w:p w14:paraId="6A6C044F" w14:textId="26C98EB7" w:rsidR="00927BF4" w:rsidRDefault="00927BF4" w:rsidP="00927BF4">
      <w:pPr>
        <w:pStyle w:val="ANormal"/>
      </w:pPr>
      <w:r>
        <w:tab/>
        <w:t>Den föreslagna lagändringen sammanhänger med landskapsregeringens förslag till budget för år 20</w:t>
      </w:r>
      <w:r w:rsidR="00CE5022">
        <w:t>20</w:t>
      </w:r>
      <w:r>
        <w:t xml:space="preserve"> på ett sådant sätt att den bör sättas i kraft på de grunder som anges i 20</w:t>
      </w:r>
      <w:r w:rsidR="001D37AD">
        <w:t> §</w:t>
      </w:r>
      <w:r>
        <w:t xml:space="preserve"> 3</w:t>
      </w:r>
      <w:r w:rsidR="001D37AD">
        <w:t> mom.</w:t>
      </w:r>
      <w:r>
        <w:t xml:space="preserve"> självstyrelselagen.</w:t>
      </w:r>
    </w:p>
    <w:p w14:paraId="2923B5E5" w14:textId="77777777" w:rsidR="00AF3004" w:rsidRDefault="00AF3004">
      <w:pPr>
        <w:pStyle w:val="ANormal"/>
      </w:pPr>
    </w:p>
    <w:p w14:paraId="5A05E5BC" w14:textId="77777777" w:rsidR="00AF3004" w:rsidRDefault="00215B3A">
      <w:pPr>
        <w:pStyle w:val="ANormal"/>
        <w:jc w:val="center"/>
      </w:pPr>
      <w:hyperlink w:anchor="_top" w:tooltip="Klicka för att gå till toppen av dokumentet" w:history="1">
        <w:r w:rsidR="00AF3004">
          <w:rPr>
            <w:rStyle w:val="Hyperlnk"/>
          </w:rPr>
          <w:t>__________________</w:t>
        </w:r>
      </w:hyperlink>
    </w:p>
    <w:p w14:paraId="2F4B4B71" w14:textId="77777777" w:rsidR="00AF3004" w:rsidRDefault="00AF3004">
      <w:pPr>
        <w:pStyle w:val="ANormal"/>
      </w:pPr>
    </w:p>
    <w:p w14:paraId="769A0856" w14:textId="77777777" w:rsidR="00AF3004" w:rsidRDefault="00AF3004">
      <w:pPr>
        <w:pStyle w:val="ANormal"/>
      </w:pPr>
      <w:r>
        <w:br w:type="page"/>
      </w:r>
    </w:p>
    <w:p w14:paraId="0E3EC6BA" w14:textId="77777777" w:rsidR="00AF3004" w:rsidRDefault="00AF3004">
      <w:pPr>
        <w:pStyle w:val="Innehll1"/>
      </w:pPr>
      <w:r>
        <w:lastRenderedPageBreak/>
        <w:t>INNEHÅLL</w:t>
      </w:r>
    </w:p>
    <w:p w14:paraId="2F70A1AB" w14:textId="626CE47B" w:rsidR="00237C6B"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25225891" w:history="1">
        <w:r w:rsidR="00237C6B" w:rsidRPr="0024180C">
          <w:rPr>
            <w:rStyle w:val="Hyperlnk"/>
          </w:rPr>
          <w:t>Huvudsakligt innehåll</w:t>
        </w:r>
        <w:r w:rsidR="00237C6B">
          <w:rPr>
            <w:webHidden/>
          </w:rPr>
          <w:tab/>
        </w:r>
        <w:r w:rsidR="00237C6B">
          <w:rPr>
            <w:webHidden/>
          </w:rPr>
          <w:fldChar w:fldCharType="begin"/>
        </w:r>
        <w:r w:rsidR="00237C6B">
          <w:rPr>
            <w:webHidden/>
          </w:rPr>
          <w:instrText xml:space="preserve"> PAGEREF _Toc25225891 \h </w:instrText>
        </w:r>
        <w:r w:rsidR="00237C6B">
          <w:rPr>
            <w:webHidden/>
          </w:rPr>
        </w:r>
        <w:r w:rsidR="00237C6B">
          <w:rPr>
            <w:webHidden/>
          </w:rPr>
          <w:fldChar w:fldCharType="separate"/>
        </w:r>
        <w:r w:rsidR="00237C6B">
          <w:rPr>
            <w:webHidden/>
          </w:rPr>
          <w:t>1</w:t>
        </w:r>
        <w:r w:rsidR="00237C6B">
          <w:rPr>
            <w:webHidden/>
          </w:rPr>
          <w:fldChar w:fldCharType="end"/>
        </w:r>
      </w:hyperlink>
    </w:p>
    <w:p w14:paraId="0EF6EA3A" w14:textId="591EC3A6" w:rsidR="00237C6B" w:rsidRDefault="00215B3A">
      <w:pPr>
        <w:pStyle w:val="Innehll1"/>
        <w:rPr>
          <w:rFonts w:asciiTheme="minorHAnsi" w:eastAsiaTheme="minorEastAsia" w:hAnsiTheme="minorHAnsi" w:cstheme="minorBidi"/>
          <w:sz w:val="22"/>
          <w:szCs w:val="22"/>
          <w:lang w:val="sv-FI" w:eastAsia="sv-FI"/>
        </w:rPr>
      </w:pPr>
      <w:hyperlink w:anchor="_Toc25225892" w:history="1">
        <w:r w:rsidR="00237C6B" w:rsidRPr="0024180C">
          <w:rPr>
            <w:rStyle w:val="Hyperlnk"/>
          </w:rPr>
          <w:t>Motivering</w:t>
        </w:r>
        <w:r w:rsidR="00237C6B">
          <w:rPr>
            <w:webHidden/>
          </w:rPr>
          <w:tab/>
        </w:r>
        <w:r w:rsidR="00237C6B">
          <w:rPr>
            <w:webHidden/>
          </w:rPr>
          <w:fldChar w:fldCharType="begin"/>
        </w:r>
        <w:r w:rsidR="00237C6B">
          <w:rPr>
            <w:webHidden/>
          </w:rPr>
          <w:instrText xml:space="preserve"> PAGEREF _Toc25225892 \h </w:instrText>
        </w:r>
        <w:r w:rsidR="00237C6B">
          <w:rPr>
            <w:webHidden/>
          </w:rPr>
        </w:r>
        <w:r w:rsidR="00237C6B">
          <w:rPr>
            <w:webHidden/>
          </w:rPr>
          <w:fldChar w:fldCharType="separate"/>
        </w:r>
        <w:r w:rsidR="00237C6B">
          <w:rPr>
            <w:webHidden/>
          </w:rPr>
          <w:t>3</w:t>
        </w:r>
        <w:r w:rsidR="00237C6B">
          <w:rPr>
            <w:webHidden/>
          </w:rPr>
          <w:fldChar w:fldCharType="end"/>
        </w:r>
      </w:hyperlink>
    </w:p>
    <w:p w14:paraId="31846307" w14:textId="236C3F3D" w:rsidR="00237C6B" w:rsidRDefault="00215B3A">
      <w:pPr>
        <w:pStyle w:val="Innehll2"/>
        <w:rPr>
          <w:rFonts w:asciiTheme="minorHAnsi" w:eastAsiaTheme="minorEastAsia" w:hAnsiTheme="minorHAnsi" w:cstheme="minorBidi"/>
          <w:sz w:val="22"/>
          <w:szCs w:val="22"/>
          <w:lang w:val="sv-FI" w:eastAsia="sv-FI"/>
        </w:rPr>
      </w:pPr>
      <w:hyperlink w:anchor="_Toc25225893" w:history="1">
        <w:r w:rsidR="00237C6B" w:rsidRPr="0024180C">
          <w:rPr>
            <w:rStyle w:val="Hyperlnk"/>
          </w:rPr>
          <w:t>1. Landskapslagstiftningen om kommunalbeskattning</w:t>
        </w:r>
        <w:r w:rsidR="00237C6B">
          <w:rPr>
            <w:webHidden/>
          </w:rPr>
          <w:tab/>
        </w:r>
        <w:r w:rsidR="00237C6B">
          <w:rPr>
            <w:webHidden/>
          </w:rPr>
          <w:fldChar w:fldCharType="begin"/>
        </w:r>
        <w:r w:rsidR="00237C6B">
          <w:rPr>
            <w:webHidden/>
          </w:rPr>
          <w:instrText xml:space="preserve"> PAGEREF _Toc25225893 \h </w:instrText>
        </w:r>
        <w:r w:rsidR="00237C6B">
          <w:rPr>
            <w:webHidden/>
          </w:rPr>
        </w:r>
        <w:r w:rsidR="00237C6B">
          <w:rPr>
            <w:webHidden/>
          </w:rPr>
          <w:fldChar w:fldCharType="separate"/>
        </w:r>
        <w:r w:rsidR="00237C6B">
          <w:rPr>
            <w:webHidden/>
          </w:rPr>
          <w:t>3</w:t>
        </w:r>
        <w:r w:rsidR="00237C6B">
          <w:rPr>
            <w:webHidden/>
          </w:rPr>
          <w:fldChar w:fldCharType="end"/>
        </w:r>
      </w:hyperlink>
    </w:p>
    <w:p w14:paraId="3ED7C09C" w14:textId="2328890E" w:rsidR="00237C6B" w:rsidRDefault="00215B3A">
      <w:pPr>
        <w:pStyle w:val="Innehll2"/>
        <w:rPr>
          <w:rFonts w:asciiTheme="minorHAnsi" w:eastAsiaTheme="minorEastAsia" w:hAnsiTheme="minorHAnsi" w:cstheme="minorBidi"/>
          <w:sz w:val="22"/>
          <w:szCs w:val="22"/>
          <w:lang w:val="sv-FI" w:eastAsia="sv-FI"/>
        </w:rPr>
      </w:pPr>
      <w:hyperlink w:anchor="_Toc25225894" w:history="1">
        <w:r w:rsidR="00237C6B" w:rsidRPr="0024180C">
          <w:rPr>
            <w:rStyle w:val="Hyperlnk"/>
          </w:rPr>
          <w:t>2. Behov av ändring och landskapsregeringens förslag</w:t>
        </w:r>
        <w:r w:rsidR="00237C6B">
          <w:rPr>
            <w:webHidden/>
          </w:rPr>
          <w:tab/>
        </w:r>
        <w:r w:rsidR="00237C6B">
          <w:rPr>
            <w:webHidden/>
          </w:rPr>
          <w:fldChar w:fldCharType="begin"/>
        </w:r>
        <w:r w:rsidR="00237C6B">
          <w:rPr>
            <w:webHidden/>
          </w:rPr>
          <w:instrText xml:space="preserve"> PAGEREF _Toc25225894 \h </w:instrText>
        </w:r>
        <w:r w:rsidR="00237C6B">
          <w:rPr>
            <w:webHidden/>
          </w:rPr>
        </w:r>
        <w:r w:rsidR="00237C6B">
          <w:rPr>
            <w:webHidden/>
          </w:rPr>
          <w:fldChar w:fldCharType="separate"/>
        </w:r>
        <w:r w:rsidR="00237C6B">
          <w:rPr>
            <w:webHidden/>
          </w:rPr>
          <w:t>3</w:t>
        </w:r>
        <w:r w:rsidR="00237C6B">
          <w:rPr>
            <w:webHidden/>
          </w:rPr>
          <w:fldChar w:fldCharType="end"/>
        </w:r>
      </w:hyperlink>
    </w:p>
    <w:p w14:paraId="7604FBEE" w14:textId="58DB7437" w:rsidR="00237C6B" w:rsidRDefault="00215B3A">
      <w:pPr>
        <w:pStyle w:val="Innehll2"/>
        <w:rPr>
          <w:rFonts w:asciiTheme="minorHAnsi" w:eastAsiaTheme="minorEastAsia" w:hAnsiTheme="minorHAnsi" w:cstheme="minorBidi"/>
          <w:sz w:val="22"/>
          <w:szCs w:val="22"/>
          <w:lang w:val="sv-FI" w:eastAsia="sv-FI"/>
        </w:rPr>
      </w:pPr>
      <w:hyperlink w:anchor="_Toc25225895" w:history="1">
        <w:r w:rsidR="00237C6B" w:rsidRPr="0024180C">
          <w:rPr>
            <w:rStyle w:val="Hyperlnk"/>
          </w:rPr>
          <w:t>3. Förslagets konsekvenser</w:t>
        </w:r>
        <w:r w:rsidR="00237C6B">
          <w:rPr>
            <w:webHidden/>
          </w:rPr>
          <w:tab/>
        </w:r>
        <w:r w:rsidR="00237C6B">
          <w:rPr>
            <w:webHidden/>
          </w:rPr>
          <w:fldChar w:fldCharType="begin"/>
        </w:r>
        <w:r w:rsidR="00237C6B">
          <w:rPr>
            <w:webHidden/>
          </w:rPr>
          <w:instrText xml:space="preserve"> PAGEREF _Toc25225895 \h </w:instrText>
        </w:r>
        <w:r w:rsidR="00237C6B">
          <w:rPr>
            <w:webHidden/>
          </w:rPr>
        </w:r>
        <w:r w:rsidR="00237C6B">
          <w:rPr>
            <w:webHidden/>
          </w:rPr>
          <w:fldChar w:fldCharType="separate"/>
        </w:r>
        <w:r w:rsidR="00237C6B">
          <w:rPr>
            <w:webHidden/>
          </w:rPr>
          <w:t>4</w:t>
        </w:r>
        <w:r w:rsidR="00237C6B">
          <w:rPr>
            <w:webHidden/>
          </w:rPr>
          <w:fldChar w:fldCharType="end"/>
        </w:r>
      </w:hyperlink>
    </w:p>
    <w:p w14:paraId="3841E2CE" w14:textId="21ED4F6F" w:rsidR="00237C6B" w:rsidRDefault="00215B3A">
      <w:pPr>
        <w:pStyle w:val="Innehll2"/>
        <w:rPr>
          <w:rFonts w:asciiTheme="minorHAnsi" w:eastAsiaTheme="minorEastAsia" w:hAnsiTheme="minorHAnsi" w:cstheme="minorBidi"/>
          <w:sz w:val="22"/>
          <w:szCs w:val="22"/>
          <w:lang w:val="sv-FI" w:eastAsia="sv-FI"/>
        </w:rPr>
      </w:pPr>
      <w:hyperlink w:anchor="_Toc25225896" w:history="1">
        <w:r w:rsidR="00237C6B" w:rsidRPr="0024180C">
          <w:rPr>
            <w:rStyle w:val="Hyperlnk"/>
          </w:rPr>
          <w:t>4. Beredning och ikraftträdande</w:t>
        </w:r>
        <w:r w:rsidR="00237C6B">
          <w:rPr>
            <w:webHidden/>
          </w:rPr>
          <w:tab/>
        </w:r>
        <w:r w:rsidR="00237C6B">
          <w:rPr>
            <w:webHidden/>
          </w:rPr>
          <w:fldChar w:fldCharType="begin"/>
        </w:r>
        <w:r w:rsidR="00237C6B">
          <w:rPr>
            <w:webHidden/>
          </w:rPr>
          <w:instrText xml:space="preserve"> PAGEREF _Toc25225896 \h </w:instrText>
        </w:r>
        <w:r w:rsidR="00237C6B">
          <w:rPr>
            <w:webHidden/>
          </w:rPr>
        </w:r>
        <w:r w:rsidR="00237C6B">
          <w:rPr>
            <w:webHidden/>
          </w:rPr>
          <w:fldChar w:fldCharType="separate"/>
        </w:r>
        <w:r w:rsidR="00237C6B">
          <w:rPr>
            <w:webHidden/>
          </w:rPr>
          <w:t>5</w:t>
        </w:r>
        <w:r w:rsidR="00237C6B">
          <w:rPr>
            <w:webHidden/>
          </w:rPr>
          <w:fldChar w:fldCharType="end"/>
        </w:r>
      </w:hyperlink>
    </w:p>
    <w:p w14:paraId="52A6D0BA" w14:textId="753B36DE" w:rsidR="00237C6B" w:rsidRDefault="00215B3A">
      <w:pPr>
        <w:pStyle w:val="Innehll1"/>
        <w:rPr>
          <w:rFonts w:asciiTheme="minorHAnsi" w:eastAsiaTheme="minorEastAsia" w:hAnsiTheme="minorHAnsi" w:cstheme="minorBidi"/>
          <w:sz w:val="22"/>
          <w:szCs w:val="22"/>
          <w:lang w:val="sv-FI" w:eastAsia="sv-FI"/>
        </w:rPr>
      </w:pPr>
      <w:hyperlink w:anchor="_Toc25225897" w:history="1">
        <w:r w:rsidR="00237C6B" w:rsidRPr="0024180C">
          <w:rPr>
            <w:rStyle w:val="Hyperlnk"/>
          </w:rPr>
          <w:t>Lagtext</w:t>
        </w:r>
        <w:r w:rsidR="00237C6B">
          <w:rPr>
            <w:webHidden/>
          </w:rPr>
          <w:tab/>
        </w:r>
        <w:r w:rsidR="00237C6B">
          <w:rPr>
            <w:webHidden/>
          </w:rPr>
          <w:fldChar w:fldCharType="begin"/>
        </w:r>
        <w:r w:rsidR="00237C6B">
          <w:rPr>
            <w:webHidden/>
          </w:rPr>
          <w:instrText xml:space="preserve"> PAGEREF _Toc25225897 \h </w:instrText>
        </w:r>
        <w:r w:rsidR="00237C6B">
          <w:rPr>
            <w:webHidden/>
          </w:rPr>
        </w:r>
        <w:r w:rsidR="00237C6B">
          <w:rPr>
            <w:webHidden/>
          </w:rPr>
          <w:fldChar w:fldCharType="separate"/>
        </w:r>
        <w:r w:rsidR="00237C6B">
          <w:rPr>
            <w:webHidden/>
          </w:rPr>
          <w:t>6</w:t>
        </w:r>
        <w:r w:rsidR="00237C6B">
          <w:rPr>
            <w:webHidden/>
          </w:rPr>
          <w:fldChar w:fldCharType="end"/>
        </w:r>
      </w:hyperlink>
    </w:p>
    <w:p w14:paraId="64A24BE1" w14:textId="4520ADDF" w:rsidR="00237C6B" w:rsidRDefault="00215B3A">
      <w:pPr>
        <w:pStyle w:val="Innehll2"/>
        <w:rPr>
          <w:rFonts w:asciiTheme="minorHAnsi" w:eastAsiaTheme="minorEastAsia" w:hAnsiTheme="minorHAnsi" w:cstheme="minorBidi"/>
          <w:sz w:val="22"/>
          <w:szCs w:val="22"/>
          <w:lang w:val="sv-FI" w:eastAsia="sv-FI"/>
        </w:rPr>
      </w:pPr>
      <w:hyperlink w:anchor="_Toc25225898" w:history="1">
        <w:r w:rsidR="00237C6B" w:rsidRPr="0024180C">
          <w:rPr>
            <w:rStyle w:val="Hyperlnk"/>
          </w:rPr>
          <w:t>L A N D S K A P S L A G om ändring av 19 § kommunalskattelagen för landskapet Åland</w:t>
        </w:r>
        <w:r w:rsidR="00237C6B">
          <w:rPr>
            <w:webHidden/>
          </w:rPr>
          <w:tab/>
        </w:r>
        <w:r w:rsidR="00237C6B">
          <w:rPr>
            <w:webHidden/>
          </w:rPr>
          <w:fldChar w:fldCharType="begin"/>
        </w:r>
        <w:r w:rsidR="00237C6B">
          <w:rPr>
            <w:webHidden/>
          </w:rPr>
          <w:instrText xml:space="preserve"> PAGEREF _Toc25225898 \h </w:instrText>
        </w:r>
        <w:r w:rsidR="00237C6B">
          <w:rPr>
            <w:webHidden/>
          </w:rPr>
        </w:r>
        <w:r w:rsidR="00237C6B">
          <w:rPr>
            <w:webHidden/>
          </w:rPr>
          <w:fldChar w:fldCharType="separate"/>
        </w:r>
        <w:r w:rsidR="00237C6B">
          <w:rPr>
            <w:webHidden/>
          </w:rPr>
          <w:t>6</w:t>
        </w:r>
        <w:r w:rsidR="00237C6B">
          <w:rPr>
            <w:webHidden/>
          </w:rPr>
          <w:fldChar w:fldCharType="end"/>
        </w:r>
      </w:hyperlink>
    </w:p>
    <w:p w14:paraId="4145EE8D" w14:textId="7C180574" w:rsidR="00237C6B" w:rsidRDefault="00215B3A">
      <w:pPr>
        <w:pStyle w:val="Innehll1"/>
        <w:rPr>
          <w:rFonts w:asciiTheme="minorHAnsi" w:eastAsiaTheme="minorEastAsia" w:hAnsiTheme="minorHAnsi" w:cstheme="minorBidi"/>
          <w:sz w:val="22"/>
          <w:szCs w:val="22"/>
          <w:lang w:val="sv-FI" w:eastAsia="sv-FI"/>
        </w:rPr>
      </w:pPr>
      <w:hyperlink w:anchor="_Toc25225899" w:history="1">
        <w:r w:rsidR="00237C6B" w:rsidRPr="0024180C">
          <w:rPr>
            <w:rStyle w:val="Hyperlnk"/>
          </w:rPr>
          <w:t>Parallelltexter</w:t>
        </w:r>
        <w:r w:rsidR="00237C6B">
          <w:rPr>
            <w:webHidden/>
          </w:rPr>
          <w:tab/>
        </w:r>
        <w:r w:rsidR="00237C6B">
          <w:rPr>
            <w:webHidden/>
          </w:rPr>
          <w:fldChar w:fldCharType="begin"/>
        </w:r>
        <w:r w:rsidR="00237C6B">
          <w:rPr>
            <w:webHidden/>
          </w:rPr>
          <w:instrText xml:space="preserve"> PAGEREF _Toc25225899 \h </w:instrText>
        </w:r>
        <w:r w:rsidR="00237C6B">
          <w:rPr>
            <w:webHidden/>
          </w:rPr>
        </w:r>
        <w:r w:rsidR="00237C6B">
          <w:rPr>
            <w:webHidden/>
          </w:rPr>
          <w:fldChar w:fldCharType="separate"/>
        </w:r>
        <w:r w:rsidR="00237C6B">
          <w:rPr>
            <w:webHidden/>
          </w:rPr>
          <w:t>7</w:t>
        </w:r>
        <w:r w:rsidR="00237C6B">
          <w:rPr>
            <w:webHidden/>
          </w:rPr>
          <w:fldChar w:fldCharType="end"/>
        </w:r>
      </w:hyperlink>
    </w:p>
    <w:p w14:paraId="4DE20963" w14:textId="32DD5BB5" w:rsidR="00AF3004" w:rsidRDefault="00AF3004">
      <w:pPr>
        <w:pStyle w:val="ANormal"/>
        <w:rPr>
          <w:noProof/>
        </w:rPr>
      </w:pPr>
      <w:r>
        <w:rPr>
          <w:rFonts w:ascii="Verdana" w:hAnsi="Verdana"/>
          <w:noProof/>
          <w:sz w:val="16"/>
          <w:szCs w:val="36"/>
        </w:rPr>
        <w:fldChar w:fldCharType="end"/>
      </w:r>
    </w:p>
    <w:p w14:paraId="738F0B34" w14:textId="77777777" w:rsidR="00AF3004" w:rsidRDefault="00AF3004">
      <w:pPr>
        <w:pStyle w:val="ANormal"/>
      </w:pPr>
      <w:r>
        <w:br w:type="page"/>
      </w:r>
    </w:p>
    <w:p w14:paraId="51ADCDD7" w14:textId="10868BB7" w:rsidR="00AF3004" w:rsidRDefault="00317882">
      <w:pPr>
        <w:pStyle w:val="RubrikA"/>
      </w:pPr>
      <w:bookmarkStart w:id="3" w:name="_Toc25225892"/>
      <w:r>
        <w:lastRenderedPageBreak/>
        <w:t>M</w:t>
      </w:r>
      <w:r w:rsidR="00AF3004">
        <w:t>otivering</w:t>
      </w:r>
      <w:bookmarkEnd w:id="3"/>
    </w:p>
    <w:p w14:paraId="13BE8601" w14:textId="77777777" w:rsidR="00AF3004" w:rsidRDefault="00AF3004">
      <w:pPr>
        <w:pStyle w:val="Rubrikmellanrum"/>
      </w:pPr>
    </w:p>
    <w:p w14:paraId="0F278020" w14:textId="77777777" w:rsidR="00AF3004" w:rsidRDefault="00AF3004">
      <w:pPr>
        <w:pStyle w:val="RubrikB"/>
      </w:pPr>
      <w:bookmarkStart w:id="4" w:name="_Toc25225893"/>
      <w:r>
        <w:t xml:space="preserve">1. </w:t>
      </w:r>
      <w:r w:rsidR="00FE62D5">
        <w:t>Landskapslagstiftningen om kommunalbeskattning</w:t>
      </w:r>
      <w:bookmarkEnd w:id="4"/>
    </w:p>
    <w:p w14:paraId="796B0218" w14:textId="77777777" w:rsidR="00AF3004" w:rsidRDefault="00AF3004">
      <w:pPr>
        <w:pStyle w:val="Rubrikmellanrum"/>
      </w:pPr>
    </w:p>
    <w:p w14:paraId="193C54F2" w14:textId="273DA713" w:rsidR="00FE62D5" w:rsidRPr="00CD71A0" w:rsidRDefault="00FE62D5" w:rsidP="00FE62D5">
      <w:pPr>
        <w:pStyle w:val="ANormal"/>
      </w:pPr>
      <w:r>
        <w:t>Enligt 18</w:t>
      </w:r>
      <w:r w:rsidR="001D37AD">
        <w:t> §</w:t>
      </w:r>
      <w:r>
        <w:t xml:space="preserve"> 5</w:t>
      </w:r>
      <w:r w:rsidR="001D37AD">
        <w:t> </w:t>
      </w:r>
      <w:r>
        <w:t>p. självstyrelselagen har landskapet lagstiftningsbehörighet när det gäller skatt till kommunerna. Området regleras huvudsakligen i kommunalskattelagen (2011:119) för landskapet Åland. Lagen är en bla</w:t>
      </w:r>
      <w:r>
        <w:t>n</w:t>
      </w:r>
      <w:r>
        <w:t>kettlag som anger att inkomstskattelagen (FFS 1535/1992) och lagen om skatteredovisning (FFS 532/1998) med vissa undantag ska tillämpas i lan</w:t>
      </w:r>
      <w:r>
        <w:t>d</w:t>
      </w:r>
      <w:r>
        <w:t>skapet. Till undantagen hör bland annat bestämmelserna om avdragen vid kommunalbeskattningen. Förutom när det gäller undantagen träder än</w:t>
      </w:r>
      <w:r>
        <w:t>d</w:t>
      </w:r>
      <w:r>
        <w:t>ringar i de ovan nämnda riksförfattningarna i kraft automatiskt i landskapet samtidigt som i riket.</w:t>
      </w:r>
    </w:p>
    <w:p w14:paraId="3A939611" w14:textId="10DC97A6" w:rsidR="00FE62D5" w:rsidRDefault="00FE62D5" w:rsidP="00FE62D5">
      <w:pPr>
        <w:pStyle w:val="ANormal"/>
      </w:pPr>
      <w:r>
        <w:tab/>
        <w:t xml:space="preserve">I kommunalskattelagen regleras således de avdrag som i sin helhet görs vid kommunalbeskattningen, hit hör till exempel </w:t>
      </w:r>
      <w:r w:rsidR="0049379F">
        <w:t>avdraget för sjöarbetsi</w:t>
      </w:r>
      <w:r w:rsidR="0049379F">
        <w:t>n</w:t>
      </w:r>
      <w:r w:rsidR="0049379F">
        <w:t xml:space="preserve">komst, sjukdomskostnadsavdraget, </w:t>
      </w:r>
      <w:r w:rsidR="00C57D51">
        <w:t>pensionsinkomstavdraget</w:t>
      </w:r>
      <w:r w:rsidR="0049379F">
        <w:t>, förvärvsi</w:t>
      </w:r>
      <w:r w:rsidR="0049379F">
        <w:t>n</w:t>
      </w:r>
      <w:r w:rsidR="0049379F">
        <w:t>komstavdraget</w:t>
      </w:r>
      <w:r w:rsidR="00C57D51">
        <w:t xml:space="preserve"> och </w:t>
      </w:r>
      <w:r>
        <w:t>grundavdraget.</w:t>
      </w:r>
      <w:r w:rsidR="00AD17F4">
        <w:t xml:space="preserve"> De nämnda avdragen är sådana som görs från den beskattningsbara inkomsten, medan arbets- och pensionsi</w:t>
      </w:r>
      <w:r w:rsidR="00AD17F4">
        <w:t>n</w:t>
      </w:r>
      <w:r w:rsidR="00AD17F4">
        <w:t xml:space="preserve">komstavdraget </w:t>
      </w:r>
      <w:r w:rsidR="005B2402">
        <w:t xml:space="preserve">däremot </w:t>
      </w:r>
      <w:r w:rsidR="00AD17F4">
        <w:t>görs direkt från kommunalskatten.</w:t>
      </w:r>
      <w:r>
        <w:t xml:space="preserve"> </w:t>
      </w:r>
      <w:r w:rsidR="0003700E">
        <w:t>Utöver de här</w:t>
      </w:r>
      <w:r>
        <w:t xml:space="preserve"> finns en typ av avdrag som i första hand är avdrag vid statsbeskattningen men som i andra hand dras från kommunalskatten om statsskatten inte räcker till. Sådana avdrag regleras huvudsakligen i inkomstskattelagen m</w:t>
      </w:r>
      <w:r>
        <w:t>e</w:t>
      </w:r>
      <w:r>
        <w:t>dan det i kommunalskattelagen finns bestämmelser om att den överskj</w:t>
      </w:r>
      <w:r>
        <w:t>u</w:t>
      </w:r>
      <w:r>
        <w:t>tande delen får dras från kommunalskatten. Till dessa avdrag hör till exe</w:t>
      </w:r>
      <w:r>
        <w:t>m</w:t>
      </w:r>
      <w:r>
        <w:t>pel arbetsinkomstavdraget</w:t>
      </w:r>
      <w:r w:rsidR="0049379F">
        <w:t xml:space="preserve"> och hushållsavdraget</w:t>
      </w:r>
      <w:r>
        <w:t>. På samma sätt fungerar för övrigt också avdrag från kapitalinkomsten. Trots att kapitalinkomstska</w:t>
      </w:r>
      <w:r>
        <w:t>t</w:t>
      </w:r>
      <w:r>
        <w:t>ten är en statlig skatt kan kommunalbeskattningen påverkas via unde</w:t>
      </w:r>
      <w:r>
        <w:t>r</w:t>
      </w:r>
      <w:r>
        <w:t>skottsgottgörelsen i de fall där avdragen är större än kapitalinkomsten.</w:t>
      </w:r>
    </w:p>
    <w:p w14:paraId="4AF0CEF6" w14:textId="77777777" w:rsidR="00FE62D5" w:rsidRDefault="00FE62D5" w:rsidP="00FE62D5">
      <w:pPr>
        <w:pStyle w:val="ANormal"/>
      </w:pPr>
    </w:p>
    <w:p w14:paraId="13408378" w14:textId="77777777" w:rsidR="00FE62D5" w:rsidRDefault="00FE62D5" w:rsidP="00FE62D5">
      <w:pPr>
        <w:pStyle w:val="RubrikB"/>
      </w:pPr>
      <w:bookmarkStart w:id="5" w:name="_Toc25225894"/>
      <w:r>
        <w:t>2. Behov av ändring och landskapsregeringens förslag</w:t>
      </w:r>
      <w:bookmarkEnd w:id="5"/>
    </w:p>
    <w:p w14:paraId="2D004CBD" w14:textId="77777777" w:rsidR="00FE62D5" w:rsidRPr="00FE62D5" w:rsidRDefault="00FE62D5" w:rsidP="00FE62D5">
      <w:pPr>
        <w:pStyle w:val="Rubrikmellanrum"/>
      </w:pPr>
    </w:p>
    <w:p w14:paraId="46F81BA7" w14:textId="655745F7" w:rsidR="00593949" w:rsidRDefault="00FE62D5" w:rsidP="00FE62D5">
      <w:pPr>
        <w:pStyle w:val="ANormal"/>
      </w:pPr>
      <w:r>
        <w:t>För närvarande behandlas i riksdagen en proposition om ändringar i b</w:t>
      </w:r>
      <w:r>
        <w:t>e</w:t>
      </w:r>
      <w:r>
        <w:t>skattningen för skatteåret 20</w:t>
      </w:r>
      <w:r w:rsidR="00593949">
        <w:t>20</w:t>
      </w:r>
      <w:r>
        <w:t xml:space="preserve">. I förslaget ingår bland annat </w:t>
      </w:r>
      <w:r w:rsidR="006D069F">
        <w:t>ändringar</w:t>
      </w:r>
      <w:r w:rsidR="00590CEF">
        <w:t xml:space="preserve"> av</w:t>
      </w:r>
      <w:r w:rsidR="00590CEF" w:rsidRPr="00590CEF">
        <w:t xml:space="preserve"> </w:t>
      </w:r>
      <w:r w:rsidR="00590CEF">
        <w:t>arbetsinkomstavdraget, grundavdraget</w:t>
      </w:r>
      <w:r w:rsidR="006D069F">
        <w:t>,</w:t>
      </w:r>
      <w:r w:rsidR="00590CEF">
        <w:t xml:space="preserve"> pensionsinkomstavdrage</w:t>
      </w:r>
      <w:r w:rsidR="006D069F">
        <w:t>n</w:t>
      </w:r>
      <w:r w:rsidR="00590CEF">
        <w:t xml:space="preserve"> vid kommunal</w:t>
      </w:r>
      <w:r w:rsidR="006D069F">
        <w:t>- och</w:t>
      </w:r>
      <w:r w:rsidR="00590CEF">
        <w:t xml:space="preserve"> </w:t>
      </w:r>
      <w:r w:rsidR="006D069F">
        <w:t xml:space="preserve">statsbeskattningen, </w:t>
      </w:r>
      <w:r w:rsidR="00590CEF">
        <w:t xml:space="preserve">hushållsavdraget </w:t>
      </w:r>
      <w:r w:rsidR="006D069F">
        <w:t xml:space="preserve">samt </w:t>
      </w:r>
      <w:r w:rsidR="00590CEF">
        <w:t>ränteavdraget för bostadsskulder (se RP 24/2019).</w:t>
      </w:r>
      <w:r w:rsidR="00907C3C">
        <w:t xml:space="preserve"> De flesta av de föreslagna ändringarna gä</w:t>
      </w:r>
      <w:r w:rsidR="00907C3C">
        <w:t>l</w:t>
      </w:r>
      <w:r w:rsidR="00907C3C">
        <w:t>ler i första hand statsbeskattningen och hör därmed inte till landskapets la</w:t>
      </w:r>
      <w:r w:rsidR="00907C3C">
        <w:t>g</w:t>
      </w:r>
      <w:r w:rsidR="00907C3C">
        <w:t xml:space="preserve">stiftningsbehörighet. </w:t>
      </w:r>
      <w:r w:rsidR="008B07E0">
        <w:t>De ändringar som direkt rör kommunalbeskattningen är</w:t>
      </w:r>
      <w:r w:rsidR="008B07E0" w:rsidRPr="008B07E0">
        <w:t xml:space="preserve"> </w:t>
      </w:r>
      <w:r w:rsidR="006D069F">
        <w:t>de som gäller</w:t>
      </w:r>
      <w:r w:rsidR="008B07E0">
        <w:t xml:space="preserve"> grundavdraget och pensionsinkomstavdraget vid komm</w:t>
      </w:r>
      <w:r w:rsidR="008B07E0">
        <w:t>u</w:t>
      </w:r>
      <w:r w:rsidR="008B07E0">
        <w:t>nalbeskattningen</w:t>
      </w:r>
      <w:r w:rsidR="00AB4A3D">
        <w:t>.</w:t>
      </w:r>
      <w:r w:rsidR="005B2402">
        <w:t xml:space="preserve"> Av dessa föreslår landskapsregeringen att ändringen av pensionsinkomstavdraget genomförs även i landskapslagstiftningen.</w:t>
      </w:r>
    </w:p>
    <w:p w14:paraId="798C5732" w14:textId="42C31ED3" w:rsidR="009216BA" w:rsidRDefault="002154BC" w:rsidP="009216BA">
      <w:pPr>
        <w:pStyle w:val="ANormal"/>
      </w:pPr>
      <w:r>
        <w:tab/>
        <w:t>Pensionsinkomstavdraget vid kommunalbeskattningen regleras i ko</w:t>
      </w:r>
      <w:r>
        <w:t>m</w:t>
      </w:r>
      <w:r>
        <w:t>munalskattelagens 19</w:t>
      </w:r>
      <w:r w:rsidR="001D37AD">
        <w:t> §</w:t>
      </w:r>
      <w:r>
        <w:t xml:space="preserve">. Avdraget görs från den </w:t>
      </w:r>
      <w:r w:rsidR="0002403D">
        <w:t>skattskyldiges nettofö</w:t>
      </w:r>
      <w:r w:rsidR="0002403D">
        <w:t>r</w:t>
      </w:r>
      <w:r w:rsidR="0002403D">
        <w:t>värvsinkomst</w:t>
      </w:r>
      <w:r w:rsidR="005B2402">
        <w:t xml:space="preserve"> och dess m</w:t>
      </w:r>
      <w:r w:rsidR="009216BA">
        <w:t>axbelopp beräknas utgående från</w:t>
      </w:r>
      <w:r w:rsidR="005B2402">
        <w:t xml:space="preserve"> den fulla</w:t>
      </w:r>
      <w:r w:rsidR="009216BA">
        <w:t xml:space="preserve"> fol</w:t>
      </w:r>
      <w:r w:rsidR="009216BA">
        <w:t>k</w:t>
      </w:r>
      <w:r w:rsidR="009216BA">
        <w:t>pensionen för en ensamstående. Beräkningen sker genom att beloppet för full folkpension multipliceras med 1,393, varefter produkten minskas med 1 480 euro och resultatet avrundas uppåt till närmaste hela tiotal. Om nett</w:t>
      </w:r>
      <w:r w:rsidR="009216BA">
        <w:t>o</w:t>
      </w:r>
      <w:r w:rsidR="009216BA">
        <w:t>förvärvsinkomsten överstiger fullt pensionsinkomstavdrag minskas avdr</w:t>
      </w:r>
      <w:r w:rsidR="009216BA">
        <w:t>a</w:t>
      </w:r>
      <w:r w:rsidR="009216BA">
        <w:t>get med 51 % av det överskjutande beloppet.</w:t>
      </w:r>
    </w:p>
    <w:p w14:paraId="03A029E7" w14:textId="19305A35" w:rsidR="00203FF0" w:rsidRDefault="00203FF0" w:rsidP="00203FF0">
      <w:pPr>
        <w:pStyle w:val="ANormal"/>
      </w:pPr>
      <w:r>
        <w:tab/>
      </w:r>
      <w:r w:rsidR="00A51378">
        <w:t xml:space="preserve">Pensionsinkomstavdragets storlek </w:t>
      </w:r>
      <w:r w:rsidR="001A1AF7">
        <w:t>är</w:t>
      </w:r>
      <w:r w:rsidR="00A51378">
        <w:t xml:space="preserve"> således</w:t>
      </w:r>
      <w:r w:rsidR="001A1AF7">
        <w:t xml:space="preserve"> beroende</w:t>
      </w:r>
      <w:r w:rsidR="00A51378">
        <w:t xml:space="preserve"> av folkpensio</w:t>
      </w:r>
      <w:r w:rsidR="00A51378">
        <w:t>n</w:t>
      </w:r>
      <w:r w:rsidR="00A51378">
        <w:t>ens storlek. Lagstiftningen om folkpension hör till rikets lagstiftningsbeh</w:t>
      </w:r>
      <w:r w:rsidR="00A51378">
        <w:t>ö</w:t>
      </w:r>
      <w:r w:rsidR="00A51378">
        <w:t xml:space="preserve">righet. </w:t>
      </w:r>
      <w:r>
        <w:t xml:space="preserve">Genom </w:t>
      </w:r>
      <w:r w:rsidR="00693E77">
        <w:t>ett beslut i</w:t>
      </w:r>
      <w:r>
        <w:t xml:space="preserve"> riksdagen</w:t>
      </w:r>
      <w:r w:rsidR="00693E77">
        <w:t xml:space="preserve"> om ändring av folkpensionslagen (FFS 568/2007)</w:t>
      </w:r>
      <w:r>
        <w:t xml:space="preserve"> </w:t>
      </w:r>
      <w:r w:rsidR="00693E77">
        <w:t xml:space="preserve">höjs </w:t>
      </w:r>
      <w:r>
        <w:t xml:space="preserve">folkpensionen från och med 2020. Den fulla folkpension som betalas till en ensamstående person uppgår 2019 till cirka 7 546 euro, genom </w:t>
      </w:r>
      <w:r w:rsidR="00693E77">
        <w:t>ändringen</w:t>
      </w:r>
      <w:r>
        <w:t xml:space="preserve"> höjs </w:t>
      </w:r>
      <w:r w:rsidR="00320627">
        <w:t xml:space="preserve">den 2020 </w:t>
      </w:r>
      <w:r>
        <w:t xml:space="preserve">till cirka 7 954 euro. </w:t>
      </w:r>
      <w:r w:rsidR="001A1AF7">
        <w:t xml:space="preserve">I den tidigare nämnda propositionen </w:t>
      </w:r>
      <w:r w:rsidR="0084746A">
        <w:t xml:space="preserve">om ändringar i beskattningen </w:t>
      </w:r>
      <w:r w:rsidR="001A1AF7">
        <w:t>beaktas höjningen av folkpen</w:t>
      </w:r>
      <w:r w:rsidR="001A1AF7">
        <w:t>s</w:t>
      </w:r>
      <w:r w:rsidR="001A1AF7">
        <w:t>ionen så att den inte ska påverka pensionsinkomstavdragets belopp. När b</w:t>
      </w:r>
      <w:r w:rsidR="001A1AF7">
        <w:t>e</w:t>
      </w:r>
      <w:r w:rsidR="001A1AF7">
        <w:t xml:space="preserve">loppet för full folkpension höjs leder det till att avdragets maxbelopp också </w:t>
      </w:r>
      <w:r w:rsidR="001A1AF7">
        <w:lastRenderedPageBreak/>
        <w:t>höjs. Därför ska</w:t>
      </w:r>
      <w:r w:rsidR="005B2402">
        <w:t xml:space="preserve"> koefficienten för beräkningen </w:t>
      </w:r>
      <w:r>
        <w:t xml:space="preserve">av pensionsinkomstavdraget </w:t>
      </w:r>
      <w:r w:rsidR="001A1AF7">
        <w:t>enligt propositionen</w:t>
      </w:r>
      <w:r>
        <w:t xml:space="preserve"> sänk</w:t>
      </w:r>
      <w:r w:rsidR="001A1AF7">
        <w:t>a</w:t>
      </w:r>
      <w:r>
        <w:t xml:space="preserve">s. </w:t>
      </w:r>
      <w:r w:rsidR="009D2E64">
        <w:t>Trots sänkningen av koefficienten höjs maxb</w:t>
      </w:r>
      <w:r w:rsidR="009D2E64">
        <w:t>e</w:t>
      </w:r>
      <w:r w:rsidR="009D2E64">
        <w:t>loppet för pensionsinkomstavdraget jämfört med föregående år.</w:t>
      </w:r>
    </w:p>
    <w:p w14:paraId="663BB225" w14:textId="5ED7E708" w:rsidR="0002403D" w:rsidRDefault="0002403D" w:rsidP="0002403D">
      <w:pPr>
        <w:pStyle w:val="ANormal"/>
      </w:pPr>
      <w:r>
        <w:tab/>
        <w:t>Landskapsregeringen föreslår att pensionsinkomstavdraget vid komm</w:t>
      </w:r>
      <w:r>
        <w:t>u</w:t>
      </w:r>
      <w:r>
        <w:t xml:space="preserve">nalbeskattningen </w:t>
      </w:r>
      <w:r w:rsidR="000B3DCC">
        <w:t>ändras</w:t>
      </w:r>
      <w:r w:rsidR="00851D02">
        <w:t xml:space="preserve"> </w:t>
      </w:r>
      <w:r>
        <w:t>genom att den koefficient som används för att b</w:t>
      </w:r>
      <w:r>
        <w:t>e</w:t>
      </w:r>
      <w:r>
        <w:t xml:space="preserve">räkna avdragets maxbelopp </w:t>
      </w:r>
      <w:r w:rsidR="00851D02">
        <w:t>ändras</w:t>
      </w:r>
      <w:r>
        <w:t xml:space="preserve"> till 1</w:t>
      </w:r>
      <w:r w:rsidR="00851D02">
        <w:t>,346</w:t>
      </w:r>
      <w:r>
        <w:t>. Förslaget motsvarar den för</w:t>
      </w:r>
      <w:r>
        <w:t>e</w:t>
      </w:r>
      <w:r>
        <w:t>slagna ändringen av pensionsinkomstavdraget vid kommunalbeskattningen som behandlas i riksdagen.</w:t>
      </w:r>
      <w:r w:rsidR="001A1AF7">
        <w:t xml:space="preserve"> </w:t>
      </w:r>
      <w:r w:rsidR="009D2E64">
        <w:t>Till följd av den höjda folkpensionen innebär dock ändringen i praktiken att avdragets maxbelopp höjs.</w:t>
      </w:r>
    </w:p>
    <w:p w14:paraId="3CB5036D" w14:textId="3B591570" w:rsidR="00527117" w:rsidRDefault="00527117" w:rsidP="0002403D">
      <w:pPr>
        <w:pStyle w:val="ANormal"/>
      </w:pPr>
      <w:r>
        <w:tab/>
      </w:r>
      <w:r w:rsidR="007319A6">
        <w:t>Ä</w:t>
      </w:r>
      <w:r w:rsidR="005B2402">
        <w:t>ndringen av pensionsinkomstavdraget</w:t>
      </w:r>
      <w:r w:rsidR="000B3DCC">
        <w:t xml:space="preserve"> </w:t>
      </w:r>
      <w:r w:rsidR="005B2402">
        <w:t>leder till en sänkning av ko</w:t>
      </w:r>
      <w:r w:rsidR="005B2402">
        <w:t>m</w:t>
      </w:r>
      <w:r w:rsidR="005B2402">
        <w:t>munernas skatteintäkter</w:t>
      </w:r>
      <w:r w:rsidR="008C4CAC">
        <w:t>.</w:t>
      </w:r>
      <w:r w:rsidR="005B2402">
        <w:t xml:space="preserve"> </w:t>
      </w:r>
      <w:r w:rsidR="008C4CAC">
        <w:t>Skatteintäkterna påverkas även i viss mån av de ändringar som görs i statsbeskattningen och den sammantagna effekten är negativ.</w:t>
      </w:r>
      <w:r w:rsidR="008C4CAC" w:rsidRPr="008C4CAC">
        <w:t xml:space="preserve"> </w:t>
      </w:r>
      <w:r w:rsidR="008C4CAC">
        <w:t>I förslaget till Ålands budget för år 2020 föreslår landskapsreg</w:t>
      </w:r>
      <w:r w:rsidR="008C4CAC">
        <w:t>e</w:t>
      </w:r>
      <w:r w:rsidR="008C4CAC">
        <w:t xml:space="preserve">ringen att 500 000 euro anslås för att till viss del kompensera kommunerna för bortfallet av skatteintäkter. </w:t>
      </w:r>
      <w:r>
        <w:t>Landskapsregeringen föreslår att en b</w:t>
      </w:r>
      <w:r>
        <w:t>e</w:t>
      </w:r>
      <w:r>
        <w:t>stämmelse om fördelning</w:t>
      </w:r>
      <w:r w:rsidR="008C4CAC">
        <w:t>en</w:t>
      </w:r>
      <w:r>
        <w:t xml:space="preserve"> av kompensation</w:t>
      </w:r>
      <w:r w:rsidR="008C4CAC">
        <w:t>en</w:t>
      </w:r>
      <w:r>
        <w:t xml:space="preserve"> till kommunerna tas in i l</w:t>
      </w:r>
      <w:r>
        <w:t>a</w:t>
      </w:r>
      <w:r>
        <w:t>gens ikraftträdandebestämmelse. När det gäller ändring</w:t>
      </w:r>
      <w:r w:rsidR="008C4CAC">
        <w:t>ar</w:t>
      </w:r>
      <w:r>
        <w:t xml:space="preserve"> av </w:t>
      </w:r>
      <w:r w:rsidR="008C4CAC">
        <w:t xml:space="preserve">avdrag </w:t>
      </w:r>
      <w:r>
        <w:t>är det synnerligen svårt att utreda vilka</w:t>
      </w:r>
      <w:r w:rsidR="008C4CAC">
        <w:t xml:space="preserve"> de faktiska</w:t>
      </w:r>
      <w:r>
        <w:t xml:space="preserve"> effekterna är för de enskilda kommunerna. Kompensationen kan därför inte fördelas enligt utfall, utan fördelningen måste göras på en kalkylerad grund. Efter ett initiativ från Ålands kommunförbund föreslår landskapsregeringen att kompensationen fördelas mellan de enskilda kommunerna enligt invånarantal</w:t>
      </w:r>
      <w:r w:rsidR="00C663EC">
        <w:t>.</w:t>
      </w:r>
      <w:r>
        <w:t xml:space="preserve"> </w:t>
      </w:r>
      <w:r w:rsidR="00C663EC">
        <w:t>Enligt försl</w:t>
      </w:r>
      <w:r w:rsidR="00C663EC">
        <w:t>a</w:t>
      </w:r>
      <w:r w:rsidR="00C663EC">
        <w:t>get används invånarantalet vid utgången av 2019, med hänvisning till att det är den tidpunkten som är avgörande för vilken kommun som är beskat</w:t>
      </w:r>
      <w:r w:rsidR="00C663EC">
        <w:t>t</w:t>
      </w:r>
      <w:r w:rsidR="00C663EC">
        <w:t>ningskommun</w:t>
      </w:r>
      <w:r w:rsidR="00C81B1E">
        <w:t xml:space="preserve"> 2020.</w:t>
      </w:r>
    </w:p>
    <w:p w14:paraId="5193900D" w14:textId="77777777" w:rsidR="0002403D" w:rsidRDefault="0002403D" w:rsidP="00FE62D5">
      <w:pPr>
        <w:pStyle w:val="ANormal"/>
      </w:pPr>
    </w:p>
    <w:p w14:paraId="59F1EE28" w14:textId="539A5E65" w:rsidR="00FE62D5" w:rsidRDefault="00FC17AA" w:rsidP="00FC17AA">
      <w:pPr>
        <w:pStyle w:val="RubrikB"/>
      </w:pPr>
      <w:bookmarkStart w:id="6" w:name="_Toc25225895"/>
      <w:r>
        <w:t xml:space="preserve">3. Förslagets </w:t>
      </w:r>
      <w:r w:rsidR="008056ED">
        <w:t>konsekvenser</w:t>
      </w:r>
      <w:bookmarkEnd w:id="6"/>
    </w:p>
    <w:p w14:paraId="314A47C7" w14:textId="77777777" w:rsidR="00FC17AA" w:rsidRPr="00FC17AA" w:rsidRDefault="00FC17AA" w:rsidP="00FC17AA">
      <w:pPr>
        <w:pStyle w:val="Rubrikmellanrum"/>
      </w:pPr>
    </w:p>
    <w:p w14:paraId="45CCC45B" w14:textId="033F50EF" w:rsidR="008056ED" w:rsidRDefault="00FC17AA" w:rsidP="00FC17AA">
      <w:pPr>
        <w:pStyle w:val="ANormal"/>
      </w:pPr>
      <w:r>
        <w:t xml:space="preserve">Förslaget har ekonomiska </w:t>
      </w:r>
      <w:r w:rsidR="000432D7">
        <w:t>konsekvenser</w:t>
      </w:r>
      <w:r>
        <w:t xml:space="preserve"> för skattskyldiga </w:t>
      </w:r>
      <w:r w:rsidR="000432D7">
        <w:t>som har pen</w:t>
      </w:r>
      <w:r w:rsidR="000432D7">
        <w:t>s</w:t>
      </w:r>
      <w:r w:rsidR="000432D7">
        <w:t xml:space="preserve">ionsinkomst </w:t>
      </w:r>
      <w:r>
        <w:t>och för kommunerna.</w:t>
      </w:r>
    </w:p>
    <w:p w14:paraId="0A8380F1" w14:textId="45A91513" w:rsidR="00DB2630" w:rsidRDefault="008056ED" w:rsidP="008056ED">
      <w:pPr>
        <w:pStyle w:val="ANormal"/>
      </w:pPr>
      <w:r>
        <w:tab/>
      </w:r>
      <w:r w:rsidR="000432D7">
        <w:t>Den föreslagna ändringen</w:t>
      </w:r>
      <w:r>
        <w:t xml:space="preserve"> av pensionsinkomstavdraget </w:t>
      </w:r>
      <w:r w:rsidR="000432D7">
        <w:t>innebär tillsa</w:t>
      </w:r>
      <w:r w:rsidR="000432D7">
        <w:t>m</w:t>
      </w:r>
      <w:r w:rsidR="000432D7">
        <w:t>mans med den tidigare nämnda höjningen av folkpensionen att avdragets maxbelopp höjs</w:t>
      </w:r>
      <w:r w:rsidR="006F5E3E">
        <w:t xml:space="preserve"> från cirka 9 040 euro till 9 230 euro. För kommunerna i</w:t>
      </w:r>
      <w:r w:rsidR="006F5E3E">
        <w:t>n</w:t>
      </w:r>
      <w:r w:rsidR="006F5E3E">
        <w:t xml:space="preserve">nebär </w:t>
      </w:r>
      <w:r w:rsidR="0084746A">
        <w:t xml:space="preserve">dessa </w:t>
      </w:r>
      <w:r w:rsidR="006F5E3E">
        <w:t>ändring</w:t>
      </w:r>
      <w:r w:rsidR="0084746A">
        <w:t>ar</w:t>
      </w:r>
      <w:r w:rsidR="006F5E3E">
        <w:t xml:space="preserve"> att </w:t>
      </w:r>
      <w:r w:rsidR="006F5E3E" w:rsidRPr="00D854C6">
        <w:t>skatteintäkter</w:t>
      </w:r>
      <w:r w:rsidR="006F5E3E">
        <w:t xml:space="preserve">na minskar </w:t>
      </w:r>
      <w:r w:rsidR="006F5E3E" w:rsidRPr="00D854C6">
        <w:t xml:space="preserve">med </w:t>
      </w:r>
      <w:r w:rsidR="006F5E3E">
        <w:t xml:space="preserve">uppskattningsvis </w:t>
      </w:r>
      <w:r w:rsidR="006F5E3E" w:rsidRPr="00D854C6">
        <w:t>86</w:t>
      </w:r>
      <w:r w:rsidR="006F5E3E">
        <w:t> </w:t>
      </w:r>
      <w:r w:rsidR="006F5E3E" w:rsidRPr="00D854C6">
        <w:t>000 euro.</w:t>
      </w:r>
      <w:r w:rsidR="00D311E9">
        <w:t xml:space="preserve"> Kommunernas skatteintäkter påverkas även av de ändringar som görs i statsbeskattningen</w:t>
      </w:r>
      <w:r w:rsidR="00DB2630">
        <w:t xml:space="preserve"> och sammantaget beräknas åtgärderna leda till en minskning av intäkterna med </w:t>
      </w:r>
      <w:r w:rsidR="007319A6">
        <w:t>cirka</w:t>
      </w:r>
      <w:r w:rsidR="00DB2630">
        <w:t xml:space="preserve"> 1 miljon euro. </w:t>
      </w:r>
      <w:r w:rsidR="00EF4225">
        <w:t>Genom den ko</w:t>
      </w:r>
      <w:r w:rsidR="00EF4225">
        <w:t>m</w:t>
      </w:r>
      <w:r w:rsidR="00EF4225">
        <w:t>pensation på 500 000 euro som ingår i förslaget till Ålands budget för år 2020 kompenseras kommunerna delvis för bortfallet av skatteintäkter.</w:t>
      </w:r>
      <w:r w:rsidR="00E2341D">
        <w:t xml:space="preserve"> En preliminär fördelning visas i tabellen nedan, den slutliga fördelningen kan fastställas först när uppgifterna i befolkningsstatistiken finns att tillgå.</w:t>
      </w:r>
    </w:p>
    <w:p w14:paraId="211B8707" w14:textId="15B7876D" w:rsidR="008056ED" w:rsidRDefault="008056ED" w:rsidP="00FC17AA">
      <w:pPr>
        <w:pStyle w:val="ANormal"/>
      </w:pPr>
    </w:p>
    <w:tbl>
      <w:tblPr>
        <w:tblStyle w:val="Tabellrutnt"/>
        <w:tblW w:w="0" w:type="auto"/>
        <w:tblInd w:w="704" w:type="dxa"/>
        <w:tblLook w:val="04A0" w:firstRow="1" w:lastRow="0" w:firstColumn="1" w:lastColumn="0" w:noHBand="0" w:noVBand="1"/>
      </w:tblPr>
      <w:tblGrid>
        <w:gridCol w:w="1503"/>
        <w:gridCol w:w="1757"/>
        <w:gridCol w:w="1985"/>
      </w:tblGrid>
      <w:tr w:rsidR="00E2341D" w:rsidRPr="00E2341D" w14:paraId="3E8F6968" w14:textId="77777777" w:rsidTr="009E0E0D">
        <w:trPr>
          <w:trHeight w:val="255"/>
        </w:trPr>
        <w:tc>
          <w:tcPr>
            <w:tcW w:w="1503" w:type="dxa"/>
            <w:tcBorders>
              <w:bottom w:val="single" w:sz="4" w:space="0" w:color="auto"/>
            </w:tcBorders>
            <w:noWrap/>
            <w:vAlign w:val="center"/>
            <w:hideMark/>
          </w:tcPr>
          <w:p w14:paraId="54FB8A21" w14:textId="77777777" w:rsidR="00E2341D" w:rsidRPr="00E2341D" w:rsidRDefault="00E2341D" w:rsidP="00E2341D">
            <w:pPr>
              <w:pStyle w:val="Tabelltext"/>
              <w:rPr>
                <w:b/>
                <w:bCs/>
              </w:rPr>
            </w:pPr>
            <w:r w:rsidRPr="00E2341D">
              <w:rPr>
                <w:b/>
                <w:bCs/>
              </w:rPr>
              <w:t>Kommun</w:t>
            </w:r>
          </w:p>
        </w:tc>
        <w:tc>
          <w:tcPr>
            <w:tcW w:w="1757" w:type="dxa"/>
            <w:tcBorders>
              <w:bottom w:val="single" w:sz="4" w:space="0" w:color="auto"/>
            </w:tcBorders>
            <w:noWrap/>
            <w:vAlign w:val="center"/>
            <w:hideMark/>
          </w:tcPr>
          <w:p w14:paraId="50EEF133" w14:textId="77777777" w:rsidR="00E2341D" w:rsidRPr="00E2341D" w:rsidRDefault="00E2341D" w:rsidP="00E2341D">
            <w:pPr>
              <w:pStyle w:val="Tabelltext"/>
              <w:rPr>
                <w:b/>
                <w:bCs/>
              </w:rPr>
            </w:pPr>
            <w:r w:rsidRPr="00E2341D">
              <w:rPr>
                <w:b/>
                <w:bCs/>
              </w:rPr>
              <w:t>Antal invånare</w:t>
            </w:r>
          </w:p>
        </w:tc>
        <w:tc>
          <w:tcPr>
            <w:tcW w:w="1985" w:type="dxa"/>
            <w:tcBorders>
              <w:bottom w:val="single" w:sz="4" w:space="0" w:color="auto"/>
            </w:tcBorders>
            <w:noWrap/>
            <w:vAlign w:val="center"/>
            <w:hideMark/>
          </w:tcPr>
          <w:p w14:paraId="79A809DD" w14:textId="77777777" w:rsidR="00E2341D" w:rsidRPr="00E2341D" w:rsidRDefault="00E2341D" w:rsidP="00E2341D">
            <w:pPr>
              <w:pStyle w:val="Tabelltext"/>
              <w:rPr>
                <w:b/>
                <w:bCs/>
              </w:rPr>
            </w:pPr>
            <w:r w:rsidRPr="00E2341D">
              <w:rPr>
                <w:b/>
                <w:bCs/>
              </w:rPr>
              <w:t>Kompensation</w:t>
            </w:r>
          </w:p>
        </w:tc>
      </w:tr>
      <w:tr w:rsidR="00E2341D" w:rsidRPr="00E2341D" w14:paraId="5CC6E94E" w14:textId="77777777" w:rsidTr="009E0E0D">
        <w:trPr>
          <w:trHeight w:val="255"/>
        </w:trPr>
        <w:tc>
          <w:tcPr>
            <w:tcW w:w="1503" w:type="dxa"/>
            <w:tcBorders>
              <w:bottom w:val="single" w:sz="12" w:space="0" w:color="auto"/>
            </w:tcBorders>
            <w:noWrap/>
            <w:vAlign w:val="center"/>
            <w:hideMark/>
          </w:tcPr>
          <w:p w14:paraId="1ECB9A04" w14:textId="77777777" w:rsidR="00E2341D" w:rsidRPr="00E2341D" w:rsidRDefault="00E2341D" w:rsidP="00E2341D">
            <w:pPr>
              <w:pStyle w:val="Tabelltext"/>
            </w:pPr>
            <w:r w:rsidRPr="00E2341D">
              <w:t> </w:t>
            </w:r>
          </w:p>
        </w:tc>
        <w:tc>
          <w:tcPr>
            <w:tcW w:w="1757" w:type="dxa"/>
            <w:tcBorders>
              <w:bottom w:val="single" w:sz="12" w:space="0" w:color="auto"/>
            </w:tcBorders>
            <w:noWrap/>
            <w:vAlign w:val="center"/>
            <w:hideMark/>
          </w:tcPr>
          <w:p w14:paraId="03E06020" w14:textId="77777777" w:rsidR="00E2341D" w:rsidRPr="00E2341D" w:rsidRDefault="00E2341D" w:rsidP="00E2341D">
            <w:pPr>
              <w:pStyle w:val="Tabelltext"/>
              <w:rPr>
                <w:i/>
                <w:iCs/>
              </w:rPr>
            </w:pPr>
            <w:r w:rsidRPr="00E2341D">
              <w:rPr>
                <w:i/>
                <w:iCs/>
              </w:rPr>
              <w:t>prel. per 30.9.2019</w:t>
            </w:r>
          </w:p>
        </w:tc>
        <w:tc>
          <w:tcPr>
            <w:tcW w:w="1985" w:type="dxa"/>
            <w:tcBorders>
              <w:bottom w:val="single" w:sz="12" w:space="0" w:color="auto"/>
            </w:tcBorders>
            <w:noWrap/>
            <w:vAlign w:val="center"/>
            <w:hideMark/>
          </w:tcPr>
          <w:p w14:paraId="51D468D7" w14:textId="77777777" w:rsidR="00E2341D" w:rsidRPr="00E2341D" w:rsidRDefault="00E2341D" w:rsidP="00E2341D">
            <w:pPr>
              <w:pStyle w:val="Tabelltext"/>
              <w:rPr>
                <w:i/>
                <w:iCs/>
              </w:rPr>
            </w:pPr>
            <w:r w:rsidRPr="00E2341D">
              <w:rPr>
                <w:i/>
                <w:iCs/>
              </w:rPr>
              <w:t>preliminär fördelning</w:t>
            </w:r>
          </w:p>
        </w:tc>
      </w:tr>
      <w:tr w:rsidR="00E2341D" w:rsidRPr="00E2341D" w14:paraId="166911EA" w14:textId="77777777" w:rsidTr="009E0E0D">
        <w:trPr>
          <w:trHeight w:val="255"/>
        </w:trPr>
        <w:tc>
          <w:tcPr>
            <w:tcW w:w="1503" w:type="dxa"/>
            <w:tcBorders>
              <w:top w:val="single" w:sz="12" w:space="0" w:color="auto"/>
            </w:tcBorders>
            <w:noWrap/>
            <w:vAlign w:val="center"/>
            <w:hideMark/>
          </w:tcPr>
          <w:p w14:paraId="55F13013" w14:textId="77777777" w:rsidR="00E2341D" w:rsidRPr="00E2341D" w:rsidRDefault="00E2341D" w:rsidP="00E2341D">
            <w:pPr>
              <w:pStyle w:val="Tabelltext"/>
            </w:pPr>
            <w:r w:rsidRPr="00E2341D">
              <w:t>Brändö</w:t>
            </w:r>
          </w:p>
        </w:tc>
        <w:tc>
          <w:tcPr>
            <w:tcW w:w="1757" w:type="dxa"/>
            <w:tcBorders>
              <w:top w:val="single" w:sz="12" w:space="0" w:color="auto"/>
            </w:tcBorders>
            <w:noWrap/>
            <w:vAlign w:val="center"/>
            <w:hideMark/>
          </w:tcPr>
          <w:p w14:paraId="20CE2178" w14:textId="77777777" w:rsidR="00E2341D" w:rsidRPr="00E2341D" w:rsidRDefault="00E2341D" w:rsidP="009E0E0D">
            <w:pPr>
              <w:pStyle w:val="Tabelltext"/>
              <w:jc w:val="right"/>
            </w:pPr>
            <w:r w:rsidRPr="00E2341D">
              <w:t>445</w:t>
            </w:r>
          </w:p>
        </w:tc>
        <w:tc>
          <w:tcPr>
            <w:tcW w:w="1985" w:type="dxa"/>
            <w:tcBorders>
              <w:top w:val="single" w:sz="12" w:space="0" w:color="auto"/>
            </w:tcBorders>
            <w:noWrap/>
            <w:vAlign w:val="center"/>
            <w:hideMark/>
          </w:tcPr>
          <w:p w14:paraId="1EE6C6E5" w14:textId="77777777" w:rsidR="00E2341D" w:rsidRPr="00E2341D" w:rsidRDefault="00E2341D" w:rsidP="009E0E0D">
            <w:pPr>
              <w:pStyle w:val="Tabelltext"/>
              <w:jc w:val="right"/>
            </w:pPr>
            <w:r w:rsidRPr="00E2341D">
              <w:t>7 445</w:t>
            </w:r>
          </w:p>
        </w:tc>
      </w:tr>
      <w:tr w:rsidR="00E2341D" w:rsidRPr="00E2341D" w14:paraId="24840A40" w14:textId="77777777" w:rsidTr="009E0E0D">
        <w:trPr>
          <w:trHeight w:val="255"/>
        </w:trPr>
        <w:tc>
          <w:tcPr>
            <w:tcW w:w="1503" w:type="dxa"/>
            <w:noWrap/>
            <w:vAlign w:val="center"/>
            <w:hideMark/>
          </w:tcPr>
          <w:p w14:paraId="57E105DD" w14:textId="77777777" w:rsidR="00E2341D" w:rsidRPr="00E2341D" w:rsidRDefault="00E2341D" w:rsidP="00E2341D">
            <w:pPr>
              <w:pStyle w:val="Tabelltext"/>
            </w:pPr>
            <w:r w:rsidRPr="00E2341D">
              <w:t>Eckerö</w:t>
            </w:r>
          </w:p>
        </w:tc>
        <w:tc>
          <w:tcPr>
            <w:tcW w:w="1757" w:type="dxa"/>
            <w:noWrap/>
            <w:vAlign w:val="center"/>
            <w:hideMark/>
          </w:tcPr>
          <w:p w14:paraId="6EAAD08A" w14:textId="77777777" w:rsidR="00E2341D" w:rsidRPr="00E2341D" w:rsidRDefault="00E2341D" w:rsidP="009E0E0D">
            <w:pPr>
              <w:pStyle w:val="Tabelltext"/>
              <w:jc w:val="right"/>
            </w:pPr>
            <w:r w:rsidRPr="00E2341D">
              <w:t>954</w:t>
            </w:r>
          </w:p>
        </w:tc>
        <w:tc>
          <w:tcPr>
            <w:tcW w:w="1985" w:type="dxa"/>
            <w:noWrap/>
            <w:vAlign w:val="center"/>
            <w:hideMark/>
          </w:tcPr>
          <w:p w14:paraId="2A0F357F" w14:textId="2883B1C1" w:rsidR="00E2341D" w:rsidRPr="00E2341D" w:rsidRDefault="00E2341D" w:rsidP="009E0E0D">
            <w:pPr>
              <w:pStyle w:val="Tabelltext"/>
              <w:jc w:val="right"/>
            </w:pPr>
            <w:r w:rsidRPr="00E2341D">
              <w:t>15</w:t>
            </w:r>
            <w:r w:rsidR="001D37AD">
              <w:t> </w:t>
            </w:r>
            <w:r w:rsidRPr="00E2341D">
              <w:t>961</w:t>
            </w:r>
          </w:p>
        </w:tc>
      </w:tr>
      <w:tr w:rsidR="00E2341D" w:rsidRPr="00E2341D" w14:paraId="5B34B2E6" w14:textId="77777777" w:rsidTr="009E0E0D">
        <w:trPr>
          <w:trHeight w:val="255"/>
        </w:trPr>
        <w:tc>
          <w:tcPr>
            <w:tcW w:w="1503" w:type="dxa"/>
            <w:noWrap/>
            <w:vAlign w:val="center"/>
            <w:hideMark/>
          </w:tcPr>
          <w:p w14:paraId="788A0D2B" w14:textId="77777777" w:rsidR="00E2341D" w:rsidRPr="00E2341D" w:rsidRDefault="00E2341D" w:rsidP="00E2341D">
            <w:pPr>
              <w:pStyle w:val="Tabelltext"/>
            </w:pPr>
            <w:r w:rsidRPr="00E2341D">
              <w:t>Finström</w:t>
            </w:r>
          </w:p>
        </w:tc>
        <w:tc>
          <w:tcPr>
            <w:tcW w:w="1757" w:type="dxa"/>
            <w:noWrap/>
            <w:vAlign w:val="center"/>
            <w:hideMark/>
          </w:tcPr>
          <w:p w14:paraId="6328153E" w14:textId="528B63A3" w:rsidR="00E2341D" w:rsidRPr="00E2341D" w:rsidRDefault="00E2341D" w:rsidP="009E0E0D">
            <w:pPr>
              <w:pStyle w:val="Tabelltext"/>
              <w:jc w:val="right"/>
            </w:pPr>
            <w:r w:rsidRPr="00E2341D">
              <w:t>2</w:t>
            </w:r>
            <w:r w:rsidR="001D37AD">
              <w:t> </w:t>
            </w:r>
            <w:r w:rsidRPr="00E2341D">
              <w:t>600</w:t>
            </w:r>
          </w:p>
        </w:tc>
        <w:tc>
          <w:tcPr>
            <w:tcW w:w="1985" w:type="dxa"/>
            <w:noWrap/>
            <w:vAlign w:val="center"/>
            <w:hideMark/>
          </w:tcPr>
          <w:p w14:paraId="13C3D7A6" w14:textId="4289E504" w:rsidR="00E2341D" w:rsidRPr="00E2341D" w:rsidRDefault="00E2341D" w:rsidP="009E0E0D">
            <w:pPr>
              <w:pStyle w:val="Tabelltext"/>
              <w:jc w:val="right"/>
            </w:pPr>
            <w:r w:rsidRPr="00E2341D">
              <w:t>43</w:t>
            </w:r>
            <w:r w:rsidR="001D37AD">
              <w:t> </w:t>
            </w:r>
            <w:r w:rsidRPr="00E2341D">
              <w:t>499</w:t>
            </w:r>
          </w:p>
        </w:tc>
      </w:tr>
      <w:tr w:rsidR="00E2341D" w:rsidRPr="00E2341D" w14:paraId="3237BD46" w14:textId="77777777" w:rsidTr="009E0E0D">
        <w:trPr>
          <w:trHeight w:val="255"/>
        </w:trPr>
        <w:tc>
          <w:tcPr>
            <w:tcW w:w="1503" w:type="dxa"/>
            <w:noWrap/>
            <w:vAlign w:val="center"/>
            <w:hideMark/>
          </w:tcPr>
          <w:p w14:paraId="0FC01938" w14:textId="77777777" w:rsidR="00E2341D" w:rsidRPr="00E2341D" w:rsidRDefault="00E2341D" w:rsidP="00E2341D">
            <w:pPr>
              <w:pStyle w:val="Tabelltext"/>
            </w:pPr>
            <w:r w:rsidRPr="00E2341D">
              <w:t>Föglö</w:t>
            </w:r>
          </w:p>
        </w:tc>
        <w:tc>
          <w:tcPr>
            <w:tcW w:w="1757" w:type="dxa"/>
            <w:noWrap/>
            <w:vAlign w:val="center"/>
            <w:hideMark/>
          </w:tcPr>
          <w:p w14:paraId="57942FE4" w14:textId="77777777" w:rsidR="00E2341D" w:rsidRPr="00E2341D" w:rsidRDefault="00E2341D" w:rsidP="009E0E0D">
            <w:pPr>
              <w:pStyle w:val="Tabelltext"/>
              <w:jc w:val="right"/>
            </w:pPr>
            <w:r w:rsidRPr="00E2341D">
              <w:t>524</w:t>
            </w:r>
          </w:p>
        </w:tc>
        <w:tc>
          <w:tcPr>
            <w:tcW w:w="1985" w:type="dxa"/>
            <w:noWrap/>
            <w:vAlign w:val="center"/>
            <w:hideMark/>
          </w:tcPr>
          <w:p w14:paraId="6AFE20A8" w14:textId="26EC031C" w:rsidR="00E2341D" w:rsidRPr="00E2341D" w:rsidRDefault="00E2341D" w:rsidP="009E0E0D">
            <w:pPr>
              <w:pStyle w:val="Tabelltext"/>
              <w:jc w:val="right"/>
            </w:pPr>
            <w:r w:rsidRPr="00E2341D">
              <w:t>8</w:t>
            </w:r>
            <w:r w:rsidR="001D37AD">
              <w:t> </w:t>
            </w:r>
            <w:r w:rsidRPr="00E2341D">
              <w:t>767</w:t>
            </w:r>
          </w:p>
        </w:tc>
      </w:tr>
      <w:tr w:rsidR="00E2341D" w:rsidRPr="00E2341D" w14:paraId="7BBB6F7D" w14:textId="77777777" w:rsidTr="009E0E0D">
        <w:trPr>
          <w:trHeight w:val="255"/>
        </w:trPr>
        <w:tc>
          <w:tcPr>
            <w:tcW w:w="1503" w:type="dxa"/>
            <w:noWrap/>
            <w:vAlign w:val="center"/>
            <w:hideMark/>
          </w:tcPr>
          <w:p w14:paraId="1F65042B" w14:textId="77777777" w:rsidR="00E2341D" w:rsidRPr="00E2341D" w:rsidRDefault="00E2341D" w:rsidP="00E2341D">
            <w:pPr>
              <w:pStyle w:val="Tabelltext"/>
            </w:pPr>
            <w:r w:rsidRPr="00E2341D">
              <w:t>Geta</w:t>
            </w:r>
          </w:p>
        </w:tc>
        <w:tc>
          <w:tcPr>
            <w:tcW w:w="1757" w:type="dxa"/>
            <w:noWrap/>
            <w:vAlign w:val="center"/>
            <w:hideMark/>
          </w:tcPr>
          <w:p w14:paraId="015DA204" w14:textId="77777777" w:rsidR="00E2341D" w:rsidRPr="00E2341D" w:rsidRDefault="00E2341D" w:rsidP="009E0E0D">
            <w:pPr>
              <w:pStyle w:val="Tabelltext"/>
              <w:jc w:val="right"/>
            </w:pPr>
            <w:r w:rsidRPr="00E2341D">
              <w:t>502</w:t>
            </w:r>
          </w:p>
        </w:tc>
        <w:tc>
          <w:tcPr>
            <w:tcW w:w="1985" w:type="dxa"/>
            <w:noWrap/>
            <w:vAlign w:val="center"/>
            <w:hideMark/>
          </w:tcPr>
          <w:p w14:paraId="001D365E" w14:textId="0191E704" w:rsidR="00E2341D" w:rsidRPr="00E2341D" w:rsidRDefault="00E2341D" w:rsidP="009E0E0D">
            <w:pPr>
              <w:pStyle w:val="Tabelltext"/>
              <w:jc w:val="right"/>
            </w:pPr>
            <w:r w:rsidRPr="00E2341D">
              <w:t>8</w:t>
            </w:r>
            <w:r w:rsidR="001D37AD">
              <w:t> </w:t>
            </w:r>
            <w:r w:rsidRPr="00E2341D">
              <w:t>399</w:t>
            </w:r>
          </w:p>
        </w:tc>
      </w:tr>
      <w:tr w:rsidR="00E2341D" w:rsidRPr="00E2341D" w14:paraId="1865A58D" w14:textId="77777777" w:rsidTr="009E0E0D">
        <w:trPr>
          <w:trHeight w:val="255"/>
        </w:trPr>
        <w:tc>
          <w:tcPr>
            <w:tcW w:w="1503" w:type="dxa"/>
            <w:noWrap/>
            <w:vAlign w:val="center"/>
            <w:hideMark/>
          </w:tcPr>
          <w:p w14:paraId="60B114B7" w14:textId="77777777" w:rsidR="00E2341D" w:rsidRPr="00E2341D" w:rsidRDefault="00E2341D" w:rsidP="00E2341D">
            <w:pPr>
              <w:pStyle w:val="Tabelltext"/>
            </w:pPr>
            <w:r w:rsidRPr="00E2341D">
              <w:t>Hammarland</w:t>
            </w:r>
          </w:p>
        </w:tc>
        <w:tc>
          <w:tcPr>
            <w:tcW w:w="1757" w:type="dxa"/>
            <w:noWrap/>
            <w:vAlign w:val="center"/>
            <w:hideMark/>
          </w:tcPr>
          <w:p w14:paraId="0474A00D" w14:textId="159FC5C5" w:rsidR="00E2341D" w:rsidRPr="00E2341D" w:rsidRDefault="00E2341D" w:rsidP="009E0E0D">
            <w:pPr>
              <w:pStyle w:val="Tabelltext"/>
              <w:jc w:val="right"/>
            </w:pPr>
            <w:r w:rsidRPr="00E2341D">
              <w:t>1</w:t>
            </w:r>
            <w:r w:rsidR="001D37AD">
              <w:t> </w:t>
            </w:r>
            <w:r w:rsidRPr="00E2341D">
              <w:t>563</w:t>
            </w:r>
          </w:p>
        </w:tc>
        <w:tc>
          <w:tcPr>
            <w:tcW w:w="1985" w:type="dxa"/>
            <w:noWrap/>
            <w:vAlign w:val="center"/>
            <w:hideMark/>
          </w:tcPr>
          <w:p w14:paraId="092CD7F6" w14:textId="36520105" w:rsidR="00E2341D" w:rsidRPr="00E2341D" w:rsidRDefault="00E2341D" w:rsidP="009E0E0D">
            <w:pPr>
              <w:pStyle w:val="Tabelltext"/>
              <w:jc w:val="right"/>
            </w:pPr>
            <w:r w:rsidRPr="00E2341D">
              <w:t>26</w:t>
            </w:r>
            <w:r w:rsidR="001D37AD">
              <w:t> </w:t>
            </w:r>
            <w:r w:rsidRPr="00E2341D">
              <w:t>149</w:t>
            </w:r>
          </w:p>
        </w:tc>
      </w:tr>
      <w:tr w:rsidR="00E2341D" w:rsidRPr="00E2341D" w14:paraId="6DB2D70B" w14:textId="77777777" w:rsidTr="009E0E0D">
        <w:trPr>
          <w:trHeight w:val="255"/>
        </w:trPr>
        <w:tc>
          <w:tcPr>
            <w:tcW w:w="1503" w:type="dxa"/>
            <w:noWrap/>
            <w:vAlign w:val="center"/>
            <w:hideMark/>
          </w:tcPr>
          <w:p w14:paraId="0E8CDA02" w14:textId="77777777" w:rsidR="00E2341D" w:rsidRPr="00E2341D" w:rsidRDefault="00E2341D" w:rsidP="00E2341D">
            <w:pPr>
              <w:pStyle w:val="Tabelltext"/>
            </w:pPr>
            <w:r w:rsidRPr="00E2341D">
              <w:t>Jomala</w:t>
            </w:r>
          </w:p>
        </w:tc>
        <w:tc>
          <w:tcPr>
            <w:tcW w:w="1757" w:type="dxa"/>
            <w:noWrap/>
            <w:vAlign w:val="center"/>
            <w:hideMark/>
          </w:tcPr>
          <w:p w14:paraId="4C9432A7" w14:textId="6373A222" w:rsidR="00E2341D" w:rsidRPr="00E2341D" w:rsidRDefault="00E2341D" w:rsidP="009E0E0D">
            <w:pPr>
              <w:pStyle w:val="Tabelltext"/>
              <w:jc w:val="right"/>
            </w:pPr>
            <w:r w:rsidRPr="00E2341D">
              <w:t>5</w:t>
            </w:r>
            <w:r w:rsidR="001D37AD">
              <w:t> </w:t>
            </w:r>
            <w:r w:rsidRPr="00E2341D">
              <w:t>199</w:t>
            </w:r>
          </w:p>
        </w:tc>
        <w:tc>
          <w:tcPr>
            <w:tcW w:w="1985" w:type="dxa"/>
            <w:noWrap/>
            <w:vAlign w:val="center"/>
            <w:hideMark/>
          </w:tcPr>
          <w:p w14:paraId="6C6805C9" w14:textId="6FC93B5E" w:rsidR="00E2341D" w:rsidRPr="00E2341D" w:rsidRDefault="00E2341D" w:rsidP="009E0E0D">
            <w:pPr>
              <w:pStyle w:val="Tabelltext"/>
              <w:jc w:val="right"/>
            </w:pPr>
            <w:r w:rsidRPr="00E2341D">
              <w:t>86</w:t>
            </w:r>
            <w:r w:rsidR="001D37AD">
              <w:t> </w:t>
            </w:r>
            <w:r w:rsidRPr="00E2341D">
              <w:t>981</w:t>
            </w:r>
          </w:p>
        </w:tc>
      </w:tr>
      <w:tr w:rsidR="00E2341D" w:rsidRPr="00E2341D" w14:paraId="682975D8" w14:textId="77777777" w:rsidTr="009E0E0D">
        <w:trPr>
          <w:trHeight w:val="255"/>
        </w:trPr>
        <w:tc>
          <w:tcPr>
            <w:tcW w:w="1503" w:type="dxa"/>
            <w:noWrap/>
            <w:vAlign w:val="center"/>
            <w:hideMark/>
          </w:tcPr>
          <w:p w14:paraId="00F0B7E9" w14:textId="77777777" w:rsidR="00E2341D" w:rsidRPr="00E2341D" w:rsidRDefault="00E2341D" w:rsidP="00E2341D">
            <w:pPr>
              <w:pStyle w:val="Tabelltext"/>
            </w:pPr>
            <w:r w:rsidRPr="00E2341D">
              <w:t>Kumlinge</w:t>
            </w:r>
          </w:p>
        </w:tc>
        <w:tc>
          <w:tcPr>
            <w:tcW w:w="1757" w:type="dxa"/>
            <w:noWrap/>
            <w:vAlign w:val="center"/>
            <w:hideMark/>
          </w:tcPr>
          <w:p w14:paraId="2DCC2350" w14:textId="77777777" w:rsidR="00E2341D" w:rsidRPr="00E2341D" w:rsidRDefault="00E2341D" w:rsidP="009E0E0D">
            <w:pPr>
              <w:pStyle w:val="Tabelltext"/>
              <w:jc w:val="right"/>
            </w:pPr>
            <w:r w:rsidRPr="00E2341D">
              <w:t>314</w:t>
            </w:r>
          </w:p>
        </w:tc>
        <w:tc>
          <w:tcPr>
            <w:tcW w:w="1985" w:type="dxa"/>
            <w:noWrap/>
            <w:vAlign w:val="center"/>
            <w:hideMark/>
          </w:tcPr>
          <w:p w14:paraId="0B737A5A" w14:textId="4F76B0E6" w:rsidR="00E2341D" w:rsidRPr="00E2341D" w:rsidRDefault="00E2341D" w:rsidP="009E0E0D">
            <w:pPr>
              <w:pStyle w:val="Tabelltext"/>
              <w:jc w:val="right"/>
            </w:pPr>
            <w:r w:rsidRPr="00E2341D">
              <w:t>5</w:t>
            </w:r>
            <w:r w:rsidR="001D37AD">
              <w:t> </w:t>
            </w:r>
            <w:r w:rsidRPr="00E2341D">
              <w:t>253</w:t>
            </w:r>
          </w:p>
        </w:tc>
      </w:tr>
      <w:tr w:rsidR="00E2341D" w:rsidRPr="00E2341D" w14:paraId="5F99AF79" w14:textId="77777777" w:rsidTr="009E0E0D">
        <w:trPr>
          <w:trHeight w:val="255"/>
        </w:trPr>
        <w:tc>
          <w:tcPr>
            <w:tcW w:w="1503" w:type="dxa"/>
            <w:noWrap/>
            <w:vAlign w:val="center"/>
            <w:hideMark/>
          </w:tcPr>
          <w:p w14:paraId="199AC8EF" w14:textId="77777777" w:rsidR="00E2341D" w:rsidRPr="00E2341D" w:rsidRDefault="00E2341D" w:rsidP="00E2341D">
            <w:pPr>
              <w:pStyle w:val="Tabelltext"/>
            </w:pPr>
            <w:r w:rsidRPr="00E2341D">
              <w:t>Kökar</w:t>
            </w:r>
          </w:p>
        </w:tc>
        <w:tc>
          <w:tcPr>
            <w:tcW w:w="1757" w:type="dxa"/>
            <w:noWrap/>
            <w:vAlign w:val="center"/>
            <w:hideMark/>
          </w:tcPr>
          <w:p w14:paraId="621B325E" w14:textId="77777777" w:rsidR="00E2341D" w:rsidRPr="00E2341D" w:rsidRDefault="00E2341D" w:rsidP="009E0E0D">
            <w:pPr>
              <w:pStyle w:val="Tabelltext"/>
              <w:jc w:val="right"/>
            </w:pPr>
            <w:r w:rsidRPr="00E2341D">
              <w:t>233</w:t>
            </w:r>
          </w:p>
        </w:tc>
        <w:tc>
          <w:tcPr>
            <w:tcW w:w="1985" w:type="dxa"/>
            <w:noWrap/>
            <w:vAlign w:val="center"/>
            <w:hideMark/>
          </w:tcPr>
          <w:p w14:paraId="48682D2B" w14:textId="563328B3" w:rsidR="00E2341D" w:rsidRPr="00E2341D" w:rsidRDefault="00E2341D" w:rsidP="009E0E0D">
            <w:pPr>
              <w:pStyle w:val="Tabelltext"/>
              <w:jc w:val="right"/>
            </w:pPr>
            <w:r w:rsidRPr="00E2341D">
              <w:t>3</w:t>
            </w:r>
            <w:r w:rsidR="001D37AD">
              <w:t> </w:t>
            </w:r>
            <w:r w:rsidRPr="00E2341D">
              <w:t>898</w:t>
            </w:r>
          </w:p>
        </w:tc>
      </w:tr>
      <w:tr w:rsidR="00E2341D" w:rsidRPr="00E2341D" w14:paraId="260AB847" w14:textId="77777777" w:rsidTr="009E0E0D">
        <w:trPr>
          <w:trHeight w:val="255"/>
        </w:trPr>
        <w:tc>
          <w:tcPr>
            <w:tcW w:w="1503" w:type="dxa"/>
            <w:noWrap/>
            <w:vAlign w:val="center"/>
            <w:hideMark/>
          </w:tcPr>
          <w:p w14:paraId="25EDA188" w14:textId="77777777" w:rsidR="00E2341D" w:rsidRPr="00E2341D" w:rsidRDefault="00E2341D" w:rsidP="00E2341D">
            <w:pPr>
              <w:pStyle w:val="Tabelltext"/>
            </w:pPr>
            <w:r w:rsidRPr="00E2341D">
              <w:t>Lemland</w:t>
            </w:r>
          </w:p>
        </w:tc>
        <w:tc>
          <w:tcPr>
            <w:tcW w:w="1757" w:type="dxa"/>
            <w:noWrap/>
            <w:vAlign w:val="center"/>
            <w:hideMark/>
          </w:tcPr>
          <w:p w14:paraId="285A9974" w14:textId="259E6829" w:rsidR="00E2341D" w:rsidRPr="00E2341D" w:rsidRDefault="00E2341D" w:rsidP="009E0E0D">
            <w:pPr>
              <w:pStyle w:val="Tabelltext"/>
              <w:jc w:val="right"/>
            </w:pPr>
            <w:r w:rsidRPr="00E2341D">
              <w:t>2</w:t>
            </w:r>
            <w:r w:rsidR="001D37AD">
              <w:t> </w:t>
            </w:r>
            <w:r w:rsidRPr="00E2341D">
              <w:t>083</w:t>
            </w:r>
          </w:p>
        </w:tc>
        <w:tc>
          <w:tcPr>
            <w:tcW w:w="1985" w:type="dxa"/>
            <w:noWrap/>
            <w:vAlign w:val="center"/>
            <w:hideMark/>
          </w:tcPr>
          <w:p w14:paraId="36BDAFB6" w14:textId="53F12E3D" w:rsidR="00E2341D" w:rsidRPr="00E2341D" w:rsidRDefault="00E2341D" w:rsidP="009E0E0D">
            <w:pPr>
              <w:pStyle w:val="Tabelltext"/>
              <w:jc w:val="right"/>
            </w:pPr>
            <w:r w:rsidRPr="00E2341D">
              <w:t>34</w:t>
            </w:r>
            <w:r w:rsidR="001D37AD">
              <w:t> </w:t>
            </w:r>
            <w:r w:rsidRPr="00E2341D">
              <w:t>849</w:t>
            </w:r>
          </w:p>
        </w:tc>
      </w:tr>
      <w:tr w:rsidR="00E2341D" w:rsidRPr="00E2341D" w14:paraId="24CCB6FE" w14:textId="77777777" w:rsidTr="009E0E0D">
        <w:trPr>
          <w:trHeight w:val="255"/>
        </w:trPr>
        <w:tc>
          <w:tcPr>
            <w:tcW w:w="1503" w:type="dxa"/>
            <w:noWrap/>
            <w:vAlign w:val="center"/>
            <w:hideMark/>
          </w:tcPr>
          <w:p w14:paraId="044C497F" w14:textId="77777777" w:rsidR="00E2341D" w:rsidRPr="00E2341D" w:rsidRDefault="00E2341D" w:rsidP="00E2341D">
            <w:pPr>
              <w:pStyle w:val="Tabelltext"/>
            </w:pPr>
            <w:r w:rsidRPr="00E2341D">
              <w:t>Lumparland</w:t>
            </w:r>
          </w:p>
        </w:tc>
        <w:tc>
          <w:tcPr>
            <w:tcW w:w="1757" w:type="dxa"/>
            <w:noWrap/>
            <w:vAlign w:val="center"/>
            <w:hideMark/>
          </w:tcPr>
          <w:p w14:paraId="7DAC4E79" w14:textId="77777777" w:rsidR="00E2341D" w:rsidRPr="00E2341D" w:rsidRDefault="00E2341D" w:rsidP="009E0E0D">
            <w:pPr>
              <w:pStyle w:val="Tabelltext"/>
              <w:jc w:val="right"/>
            </w:pPr>
            <w:r w:rsidRPr="00E2341D">
              <w:t>371</w:t>
            </w:r>
          </w:p>
        </w:tc>
        <w:tc>
          <w:tcPr>
            <w:tcW w:w="1985" w:type="dxa"/>
            <w:noWrap/>
            <w:vAlign w:val="center"/>
            <w:hideMark/>
          </w:tcPr>
          <w:p w14:paraId="564B60C8" w14:textId="01AEF78B" w:rsidR="00E2341D" w:rsidRPr="00E2341D" w:rsidRDefault="00E2341D" w:rsidP="009E0E0D">
            <w:pPr>
              <w:pStyle w:val="Tabelltext"/>
              <w:jc w:val="right"/>
            </w:pPr>
            <w:r w:rsidRPr="00E2341D">
              <w:t>6</w:t>
            </w:r>
            <w:r w:rsidR="001D37AD">
              <w:t> </w:t>
            </w:r>
            <w:r w:rsidRPr="00E2341D">
              <w:t>207</w:t>
            </w:r>
          </w:p>
        </w:tc>
      </w:tr>
      <w:tr w:rsidR="00E2341D" w:rsidRPr="00E2341D" w14:paraId="1094FAB6" w14:textId="77777777" w:rsidTr="009E0E0D">
        <w:trPr>
          <w:trHeight w:val="255"/>
        </w:trPr>
        <w:tc>
          <w:tcPr>
            <w:tcW w:w="1503" w:type="dxa"/>
            <w:noWrap/>
            <w:vAlign w:val="center"/>
          </w:tcPr>
          <w:p w14:paraId="53C12CE5" w14:textId="5EC98F51" w:rsidR="00E2341D" w:rsidRPr="00E2341D" w:rsidRDefault="00E2341D" w:rsidP="00E2341D">
            <w:pPr>
              <w:pStyle w:val="Tabelltext"/>
            </w:pPr>
            <w:r w:rsidRPr="00E2341D">
              <w:t>Mariehamn</w:t>
            </w:r>
          </w:p>
        </w:tc>
        <w:tc>
          <w:tcPr>
            <w:tcW w:w="1757" w:type="dxa"/>
            <w:noWrap/>
            <w:vAlign w:val="center"/>
          </w:tcPr>
          <w:p w14:paraId="34E4303F" w14:textId="37E8BED9" w:rsidR="00E2341D" w:rsidRPr="00E2341D" w:rsidRDefault="00E2341D" w:rsidP="009E0E0D">
            <w:pPr>
              <w:pStyle w:val="Tabelltext"/>
              <w:jc w:val="right"/>
            </w:pPr>
            <w:r w:rsidRPr="00E2341D">
              <w:t>11</w:t>
            </w:r>
            <w:r w:rsidR="001D37AD">
              <w:t> </w:t>
            </w:r>
            <w:r w:rsidRPr="00E2341D">
              <w:t>667</w:t>
            </w:r>
          </w:p>
        </w:tc>
        <w:tc>
          <w:tcPr>
            <w:tcW w:w="1985" w:type="dxa"/>
            <w:noWrap/>
            <w:vAlign w:val="center"/>
          </w:tcPr>
          <w:p w14:paraId="311BBFAC" w14:textId="31B2F681" w:rsidR="00E2341D" w:rsidRPr="00E2341D" w:rsidRDefault="00E2341D" w:rsidP="009E0E0D">
            <w:pPr>
              <w:pStyle w:val="Tabelltext"/>
              <w:jc w:val="right"/>
            </w:pPr>
            <w:r w:rsidRPr="00E2341D">
              <w:t>195</w:t>
            </w:r>
            <w:r w:rsidR="001D37AD">
              <w:t> </w:t>
            </w:r>
            <w:r w:rsidRPr="00E2341D">
              <w:t>192</w:t>
            </w:r>
          </w:p>
        </w:tc>
      </w:tr>
      <w:tr w:rsidR="00E2341D" w:rsidRPr="00E2341D" w14:paraId="0C559B86" w14:textId="77777777" w:rsidTr="009E0E0D">
        <w:trPr>
          <w:trHeight w:val="255"/>
        </w:trPr>
        <w:tc>
          <w:tcPr>
            <w:tcW w:w="1503" w:type="dxa"/>
            <w:noWrap/>
            <w:vAlign w:val="center"/>
            <w:hideMark/>
          </w:tcPr>
          <w:p w14:paraId="5C94FC0C" w14:textId="77777777" w:rsidR="00E2341D" w:rsidRPr="00E2341D" w:rsidRDefault="00E2341D" w:rsidP="00E2341D">
            <w:pPr>
              <w:pStyle w:val="Tabelltext"/>
            </w:pPr>
            <w:r w:rsidRPr="00E2341D">
              <w:lastRenderedPageBreak/>
              <w:t>Saltvik</w:t>
            </w:r>
          </w:p>
        </w:tc>
        <w:tc>
          <w:tcPr>
            <w:tcW w:w="1757" w:type="dxa"/>
            <w:noWrap/>
            <w:vAlign w:val="center"/>
            <w:hideMark/>
          </w:tcPr>
          <w:p w14:paraId="5A964707" w14:textId="696C427A" w:rsidR="00E2341D" w:rsidRPr="00E2341D" w:rsidRDefault="00E2341D" w:rsidP="009E0E0D">
            <w:pPr>
              <w:pStyle w:val="Tabelltext"/>
              <w:jc w:val="right"/>
            </w:pPr>
            <w:r w:rsidRPr="00E2341D">
              <w:t>1</w:t>
            </w:r>
            <w:r w:rsidR="001D37AD">
              <w:t> </w:t>
            </w:r>
            <w:r w:rsidRPr="00E2341D">
              <w:t>861</w:t>
            </w:r>
          </w:p>
        </w:tc>
        <w:tc>
          <w:tcPr>
            <w:tcW w:w="1985" w:type="dxa"/>
            <w:noWrap/>
            <w:vAlign w:val="center"/>
            <w:hideMark/>
          </w:tcPr>
          <w:p w14:paraId="522FBC3F" w14:textId="09893022" w:rsidR="00E2341D" w:rsidRPr="00E2341D" w:rsidRDefault="00E2341D" w:rsidP="009E0E0D">
            <w:pPr>
              <w:pStyle w:val="Tabelltext"/>
              <w:jc w:val="right"/>
            </w:pPr>
            <w:r w:rsidRPr="00E2341D">
              <w:t>31</w:t>
            </w:r>
            <w:r w:rsidR="001D37AD">
              <w:t> </w:t>
            </w:r>
            <w:r w:rsidRPr="00E2341D">
              <w:t>135</w:t>
            </w:r>
          </w:p>
        </w:tc>
      </w:tr>
      <w:tr w:rsidR="00E2341D" w:rsidRPr="00E2341D" w14:paraId="6E4F0A2A" w14:textId="77777777" w:rsidTr="009E0E0D">
        <w:trPr>
          <w:trHeight w:val="255"/>
        </w:trPr>
        <w:tc>
          <w:tcPr>
            <w:tcW w:w="1503" w:type="dxa"/>
            <w:noWrap/>
            <w:vAlign w:val="center"/>
            <w:hideMark/>
          </w:tcPr>
          <w:p w14:paraId="4B3C26F7" w14:textId="77777777" w:rsidR="00E2341D" w:rsidRPr="00E2341D" w:rsidRDefault="00E2341D" w:rsidP="00E2341D">
            <w:pPr>
              <w:pStyle w:val="Tabelltext"/>
            </w:pPr>
            <w:r w:rsidRPr="00E2341D">
              <w:t>Sottunga</w:t>
            </w:r>
          </w:p>
        </w:tc>
        <w:tc>
          <w:tcPr>
            <w:tcW w:w="1757" w:type="dxa"/>
            <w:noWrap/>
            <w:vAlign w:val="center"/>
            <w:hideMark/>
          </w:tcPr>
          <w:p w14:paraId="5DAFAFEA" w14:textId="77777777" w:rsidR="00E2341D" w:rsidRPr="00E2341D" w:rsidRDefault="00E2341D" w:rsidP="009E0E0D">
            <w:pPr>
              <w:pStyle w:val="Tabelltext"/>
              <w:jc w:val="right"/>
            </w:pPr>
            <w:r w:rsidRPr="00E2341D">
              <w:t>93</w:t>
            </w:r>
          </w:p>
        </w:tc>
        <w:tc>
          <w:tcPr>
            <w:tcW w:w="1985" w:type="dxa"/>
            <w:noWrap/>
            <w:vAlign w:val="center"/>
            <w:hideMark/>
          </w:tcPr>
          <w:p w14:paraId="37FC8A36" w14:textId="2A75FF7B" w:rsidR="00E2341D" w:rsidRPr="00E2341D" w:rsidRDefault="00E2341D" w:rsidP="009E0E0D">
            <w:pPr>
              <w:pStyle w:val="Tabelltext"/>
              <w:jc w:val="right"/>
            </w:pPr>
            <w:r w:rsidRPr="00E2341D">
              <w:t>1</w:t>
            </w:r>
            <w:r w:rsidR="001D37AD">
              <w:t> </w:t>
            </w:r>
            <w:r w:rsidRPr="00E2341D">
              <w:t>556</w:t>
            </w:r>
          </w:p>
        </w:tc>
      </w:tr>
      <w:tr w:rsidR="00E2341D" w:rsidRPr="00E2341D" w14:paraId="477BC63E" w14:textId="77777777" w:rsidTr="009E0E0D">
        <w:trPr>
          <w:trHeight w:val="255"/>
        </w:trPr>
        <w:tc>
          <w:tcPr>
            <w:tcW w:w="1503" w:type="dxa"/>
            <w:tcBorders>
              <w:bottom w:val="single" w:sz="4" w:space="0" w:color="auto"/>
            </w:tcBorders>
            <w:noWrap/>
            <w:vAlign w:val="center"/>
            <w:hideMark/>
          </w:tcPr>
          <w:p w14:paraId="6945D136" w14:textId="77777777" w:rsidR="00E2341D" w:rsidRPr="00E2341D" w:rsidRDefault="00E2341D" w:rsidP="00E2341D">
            <w:pPr>
              <w:pStyle w:val="Tabelltext"/>
            </w:pPr>
            <w:r w:rsidRPr="00E2341D">
              <w:t>Sund</w:t>
            </w:r>
          </w:p>
        </w:tc>
        <w:tc>
          <w:tcPr>
            <w:tcW w:w="1757" w:type="dxa"/>
            <w:tcBorders>
              <w:bottom w:val="single" w:sz="4" w:space="0" w:color="auto"/>
            </w:tcBorders>
            <w:noWrap/>
            <w:vAlign w:val="center"/>
            <w:hideMark/>
          </w:tcPr>
          <w:p w14:paraId="3677EA72" w14:textId="4E24D037" w:rsidR="00E2341D" w:rsidRPr="00E2341D" w:rsidRDefault="00E2341D" w:rsidP="009E0E0D">
            <w:pPr>
              <w:pStyle w:val="Tabelltext"/>
              <w:jc w:val="right"/>
            </w:pPr>
            <w:r w:rsidRPr="00E2341D">
              <w:t>1</w:t>
            </w:r>
            <w:r w:rsidR="001D37AD">
              <w:t> </w:t>
            </w:r>
            <w:r w:rsidRPr="00E2341D">
              <w:t>026</w:t>
            </w:r>
          </w:p>
        </w:tc>
        <w:tc>
          <w:tcPr>
            <w:tcW w:w="1985" w:type="dxa"/>
            <w:tcBorders>
              <w:bottom w:val="single" w:sz="4" w:space="0" w:color="auto"/>
            </w:tcBorders>
            <w:noWrap/>
            <w:vAlign w:val="center"/>
            <w:hideMark/>
          </w:tcPr>
          <w:p w14:paraId="3169EB7C" w14:textId="4BC8342F" w:rsidR="00E2341D" w:rsidRPr="00E2341D" w:rsidRDefault="00E2341D" w:rsidP="009E0E0D">
            <w:pPr>
              <w:pStyle w:val="Tabelltext"/>
              <w:jc w:val="right"/>
            </w:pPr>
            <w:r w:rsidRPr="00E2341D">
              <w:t>17</w:t>
            </w:r>
            <w:r w:rsidR="001D37AD">
              <w:t> </w:t>
            </w:r>
            <w:r w:rsidRPr="00E2341D">
              <w:t>165</w:t>
            </w:r>
          </w:p>
        </w:tc>
      </w:tr>
      <w:tr w:rsidR="00E2341D" w:rsidRPr="00E2341D" w14:paraId="1E0ACA55" w14:textId="77777777" w:rsidTr="009E0E0D">
        <w:trPr>
          <w:trHeight w:val="255"/>
        </w:trPr>
        <w:tc>
          <w:tcPr>
            <w:tcW w:w="1503" w:type="dxa"/>
            <w:tcBorders>
              <w:bottom w:val="single" w:sz="12" w:space="0" w:color="auto"/>
            </w:tcBorders>
            <w:noWrap/>
            <w:vAlign w:val="center"/>
            <w:hideMark/>
          </w:tcPr>
          <w:p w14:paraId="72711C53" w14:textId="77777777" w:rsidR="00E2341D" w:rsidRPr="00E2341D" w:rsidRDefault="00E2341D" w:rsidP="00E2341D">
            <w:pPr>
              <w:pStyle w:val="Tabelltext"/>
            </w:pPr>
            <w:r w:rsidRPr="00E2341D">
              <w:t>Vårdö</w:t>
            </w:r>
          </w:p>
        </w:tc>
        <w:tc>
          <w:tcPr>
            <w:tcW w:w="1757" w:type="dxa"/>
            <w:tcBorders>
              <w:bottom w:val="single" w:sz="12" w:space="0" w:color="auto"/>
            </w:tcBorders>
            <w:noWrap/>
            <w:vAlign w:val="center"/>
            <w:hideMark/>
          </w:tcPr>
          <w:p w14:paraId="78589A41" w14:textId="77777777" w:rsidR="00E2341D" w:rsidRPr="00E2341D" w:rsidRDefault="00E2341D" w:rsidP="009E0E0D">
            <w:pPr>
              <w:pStyle w:val="Tabelltext"/>
              <w:jc w:val="right"/>
            </w:pPr>
            <w:r w:rsidRPr="00E2341D">
              <w:t>451</w:t>
            </w:r>
          </w:p>
        </w:tc>
        <w:tc>
          <w:tcPr>
            <w:tcW w:w="1985" w:type="dxa"/>
            <w:tcBorders>
              <w:bottom w:val="single" w:sz="12" w:space="0" w:color="auto"/>
            </w:tcBorders>
            <w:noWrap/>
            <w:vAlign w:val="center"/>
            <w:hideMark/>
          </w:tcPr>
          <w:p w14:paraId="7A22A46C" w14:textId="01D073EC" w:rsidR="00E2341D" w:rsidRPr="00E2341D" w:rsidRDefault="00E2341D" w:rsidP="009E0E0D">
            <w:pPr>
              <w:pStyle w:val="Tabelltext"/>
              <w:jc w:val="right"/>
            </w:pPr>
            <w:r w:rsidRPr="00E2341D">
              <w:t>7</w:t>
            </w:r>
            <w:r w:rsidR="001D37AD">
              <w:t> </w:t>
            </w:r>
            <w:r w:rsidRPr="00E2341D">
              <w:t>545</w:t>
            </w:r>
          </w:p>
        </w:tc>
      </w:tr>
      <w:tr w:rsidR="00E2341D" w:rsidRPr="00E2341D" w14:paraId="20DE6EF2" w14:textId="77777777" w:rsidTr="009E0E0D">
        <w:trPr>
          <w:trHeight w:val="270"/>
        </w:trPr>
        <w:tc>
          <w:tcPr>
            <w:tcW w:w="1503" w:type="dxa"/>
            <w:tcBorders>
              <w:top w:val="single" w:sz="12" w:space="0" w:color="auto"/>
            </w:tcBorders>
            <w:noWrap/>
            <w:vAlign w:val="center"/>
            <w:hideMark/>
          </w:tcPr>
          <w:p w14:paraId="62F9AC1A" w14:textId="77777777" w:rsidR="00E2341D" w:rsidRPr="00E2341D" w:rsidRDefault="00E2341D" w:rsidP="00E2341D">
            <w:pPr>
              <w:pStyle w:val="Tabelltext"/>
              <w:rPr>
                <w:b/>
                <w:bCs/>
              </w:rPr>
            </w:pPr>
            <w:r w:rsidRPr="00E2341D">
              <w:rPr>
                <w:b/>
                <w:bCs/>
              </w:rPr>
              <w:t>TOTALT</w:t>
            </w:r>
          </w:p>
        </w:tc>
        <w:tc>
          <w:tcPr>
            <w:tcW w:w="1757" w:type="dxa"/>
            <w:tcBorders>
              <w:top w:val="single" w:sz="12" w:space="0" w:color="auto"/>
            </w:tcBorders>
            <w:noWrap/>
            <w:vAlign w:val="center"/>
            <w:hideMark/>
          </w:tcPr>
          <w:p w14:paraId="1F4C5FC7" w14:textId="3D1B1BDC" w:rsidR="00E2341D" w:rsidRPr="00E2341D" w:rsidRDefault="00E2341D" w:rsidP="009E0E0D">
            <w:pPr>
              <w:pStyle w:val="Tabelltext"/>
              <w:jc w:val="right"/>
              <w:rPr>
                <w:b/>
                <w:bCs/>
              </w:rPr>
            </w:pPr>
            <w:r w:rsidRPr="00E2341D">
              <w:rPr>
                <w:b/>
                <w:bCs/>
              </w:rPr>
              <w:t>29</w:t>
            </w:r>
            <w:r w:rsidR="001D37AD">
              <w:rPr>
                <w:b/>
                <w:bCs/>
              </w:rPr>
              <w:t> </w:t>
            </w:r>
            <w:r w:rsidRPr="00E2341D">
              <w:rPr>
                <w:b/>
                <w:bCs/>
              </w:rPr>
              <w:t>886</w:t>
            </w:r>
          </w:p>
        </w:tc>
        <w:tc>
          <w:tcPr>
            <w:tcW w:w="1985" w:type="dxa"/>
            <w:tcBorders>
              <w:top w:val="single" w:sz="12" w:space="0" w:color="auto"/>
            </w:tcBorders>
            <w:noWrap/>
            <w:vAlign w:val="center"/>
            <w:hideMark/>
          </w:tcPr>
          <w:p w14:paraId="50031236" w14:textId="6A7C4577" w:rsidR="00E2341D" w:rsidRPr="00E2341D" w:rsidRDefault="00E2341D" w:rsidP="009E0E0D">
            <w:pPr>
              <w:pStyle w:val="Tabelltext"/>
              <w:jc w:val="right"/>
              <w:rPr>
                <w:b/>
                <w:bCs/>
              </w:rPr>
            </w:pPr>
            <w:r w:rsidRPr="00E2341D">
              <w:rPr>
                <w:b/>
                <w:bCs/>
              </w:rPr>
              <w:t>500</w:t>
            </w:r>
            <w:r w:rsidR="001D37AD">
              <w:rPr>
                <w:b/>
                <w:bCs/>
              </w:rPr>
              <w:t> </w:t>
            </w:r>
            <w:r w:rsidRPr="00E2341D">
              <w:rPr>
                <w:b/>
                <w:bCs/>
              </w:rPr>
              <w:t>000</w:t>
            </w:r>
          </w:p>
        </w:tc>
      </w:tr>
    </w:tbl>
    <w:p w14:paraId="3CD30D08" w14:textId="77777777" w:rsidR="00E2341D" w:rsidRDefault="00E2341D" w:rsidP="00FC17AA">
      <w:pPr>
        <w:pStyle w:val="ANormal"/>
      </w:pPr>
    </w:p>
    <w:p w14:paraId="43EC699D" w14:textId="54E9204C" w:rsidR="00FC17AA" w:rsidRDefault="00FC17AA" w:rsidP="00FC17AA">
      <w:pPr>
        <w:pStyle w:val="RubrikB"/>
      </w:pPr>
      <w:bookmarkStart w:id="7" w:name="_Toc25225896"/>
      <w:r>
        <w:t>4. Beredning</w:t>
      </w:r>
      <w:r w:rsidR="00927BF4">
        <w:t xml:space="preserve"> och ikraftträdande</w:t>
      </w:r>
      <w:bookmarkEnd w:id="7"/>
    </w:p>
    <w:p w14:paraId="5F9C7AC8" w14:textId="77777777" w:rsidR="00FC17AA" w:rsidRDefault="00FC17AA" w:rsidP="00FC17AA">
      <w:pPr>
        <w:pStyle w:val="Rubrikmellanrum"/>
      </w:pPr>
    </w:p>
    <w:p w14:paraId="111F4731" w14:textId="10DF3B44" w:rsidR="00FC17AA" w:rsidRPr="008F1C23" w:rsidRDefault="00FC17AA" w:rsidP="00FC17AA">
      <w:pPr>
        <w:pStyle w:val="ANormal"/>
      </w:pPr>
      <w:r>
        <w:t>Lagförslaget har beretts vid lagberedningen</w:t>
      </w:r>
      <w:r w:rsidRPr="008F1C23">
        <w:t xml:space="preserve">. Ärendet har </w:t>
      </w:r>
      <w:r w:rsidR="00537724">
        <w:t>under budgetb</w:t>
      </w:r>
      <w:r w:rsidR="00537724">
        <w:t>e</w:t>
      </w:r>
      <w:r w:rsidR="00537724">
        <w:t xml:space="preserve">redningen </w:t>
      </w:r>
      <w:r w:rsidRPr="008F1C23">
        <w:t xml:space="preserve">behandlats </w:t>
      </w:r>
      <w:r w:rsidR="00DB2630">
        <w:t>vid</w:t>
      </w:r>
      <w:r w:rsidR="00537724">
        <w:t xml:space="preserve"> flera</w:t>
      </w:r>
      <w:r w:rsidRPr="008F1C23">
        <w:t xml:space="preserve"> samråd </w:t>
      </w:r>
      <w:r w:rsidR="00537724">
        <w:t xml:space="preserve">mellan landskapsregeringen, Ålands kommunförbund </w:t>
      </w:r>
      <w:r w:rsidRPr="008F1C23">
        <w:t>och</w:t>
      </w:r>
      <w:r w:rsidR="00537724">
        <w:t xml:space="preserve"> Mariehamns stad.</w:t>
      </w:r>
      <w:r w:rsidRPr="008F1C23">
        <w:t xml:space="preserve"> </w:t>
      </w:r>
      <w:r w:rsidR="00537724">
        <w:t>M</w:t>
      </w:r>
      <w:r w:rsidRPr="008F1C23">
        <w:t>ed hänvisning till det har försl</w:t>
      </w:r>
      <w:r w:rsidRPr="008F1C23">
        <w:t>a</w:t>
      </w:r>
      <w:r w:rsidRPr="008F1C23">
        <w:t>get inte skickats på någon remiss.</w:t>
      </w:r>
    </w:p>
    <w:p w14:paraId="647D72A0" w14:textId="786ED249" w:rsidR="00927BF4" w:rsidRDefault="00FC17AA" w:rsidP="00927BF4">
      <w:pPr>
        <w:pStyle w:val="ANormal"/>
      </w:pPr>
      <w:r>
        <w:tab/>
        <w:t>De</w:t>
      </w:r>
      <w:r w:rsidR="00537724">
        <w:t>n</w:t>
      </w:r>
      <w:r>
        <w:t xml:space="preserve"> föreslagna ändring</w:t>
      </w:r>
      <w:r w:rsidR="00537724">
        <w:t>en</w:t>
      </w:r>
      <w:r>
        <w:t xml:space="preserve"> i kommunalskattelagen är avsedd att tillämpas från och med kommunalbeskattningen för skatteåret 20</w:t>
      </w:r>
      <w:r w:rsidR="00537724">
        <w:t>20</w:t>
      </w:r>
      <w:r w:rsidR="001B67E9">
        <w:t xml:space="preserve">. Även om </w:t>
      </w:r>
      <w:r w:rsidR="00030809">
        <w:t>försl</w:t>
      </w:r>
      <w:r w:rsidR="00030809">
        <w:t>a</w:t>
      </w:r>
      <w:r w:rsidR="00030809">
        <w:t xml:space="preserve">get </w:t>
      </w:r>
      <w:r w:rsidR="001B67E9">
        <w:t xml:space="preserve">i praktiken </w:t>
      </w:r>
      <w:r w:rsidR="00030809">
        <w:t>leder till</w:t>
      </w:r>
      <w:r w:rsidR="001B67E9">
        <w:t xml:space="preserve"> </w:t>
      </w:r>
      <w:r w:rsidR="00030809">
        <w:t>att</w:t>
      </w:r>
      <w:r w:rsidR="001B67E9">
        <w:t xml:space="preserve"> pensionsinkomstavdraget</w:t>
      </w:r>
      <w:r w:rsidR="00030809">
        <w:t xml:space="preserve"> höjs utgör ändringen i sig en sänkning. Det innebär att åtgärden som sådan kan anses vara till de skattskyldigas nackdel</w:t>
      </w:r>
      <w:r w:rsidR="001B72F0">
        <w:t xml:space="preserve">, vilket gör att lagstiftningen inte bör </w:t>
      </w:r>
      <w:r w:rsidR="001319AF">
        <w:t>tillämpas</w:t>
      </w:r>
      <w:r w:rsidR="001B72F0">
        <w:t xml:space="preserve"> retr</w:t>
      </w:r>
      <w:r w:rsidR="001B72F0">
        <w:t>o</w:t>
      </w:r>
      <w:r w:rsidR="001B72F0">
        <w:t>aktivt</w:t>
      </w:r>
      <w:r w:rsidR="005E284A">
        <w:t>.</w:t>
      </w:r>
      <w:r w:rsidR="001319AF">
        <w:t xml:space="preserve"> </w:t>
      </w:r>
      <w:r w:rsidR="005E284A">
        <w:t>Den föreslagna lagändringen bör således</w:t>
      </w:r>
      <w:r w:rsidR="001319AF">
        <w:t xml:space="preserve"> träda ikraft senast den 1</w:t>
      </w:r>
      <w:r w:rsidR="001D37AD">
        <w:t xml:space="preserve"> </w:t>
      </w:r>
      <w:r w:rsidR="001319AF">
        <w:t>j</w:t>
      </w:r>
      <w:r w:rsidR="001319AF">
        <w:t>a</w:t>
      </w:r>
      <w:r w:rsidR="001319AF">
        <w:t>nuari 2020.</w:t>
      </w:r>
      <w:r w:rsidR="005E284A">
        <w:t xml:space="preserve"> </w:t>
      </w:r>
      <w:r w:rsidR="003E0F3F">
        <w:t>Med hänvisning till</w:t>
      </w:r>
      <w:r w:rsidR="005E284A">
        <w:t xml:space="preserve"> det, samt</w:t>
      </w:r>
      <w:r w:rsidR="003E0F3F">
        <w:t xml:space="preserve"> att kompensationen till komm</w:t>
      </w:r>
      <w:r w:rsidR="003E0F3F">
        <w:t>u</w:t>
      </w:r>
      <w:r w:rsidR="003E0F3F">
        <w:t>nerna ingår i förslaget till budget</w:t>
      </w:r>
      <w:r w:rsidR="005E284A">
        <w:t>,</w:t>
      </w:r>
      <w:r w:rsidR="003E0F3F">
        <w:t xml:space="preserve"> anser l</w:t>
      </w:r>
      <w:r w:rsidR="00927BF4">
        <w:t>andskapsregeringen att den för</w:t>
      </w:r>
      <w:r w:rsidR="00927BF4">
        <w:t>e</w:t>
      </w:r>
      <w:r w:rsidR="00927BF4">
        <w:t>slagna lagen uppfyller de villkor som ställs i 20</w:t>
      </w:r>
      <w:r w:rsidR="001D37AD">
        <w:t> §</w:t>
      </w:r>
      <w:r w:rsidR="00927BF4">
        <w:t xml:space="preserve"> 3</w:t>
      </w:r>
      <w:r w:rsidR="001D37AD">
        <w:t> mom.</w:t>
      </w:r>
      <w:r w:rsidR="00927BF4">
        <w:t xml:space="preserve"> självstyrelsel</w:t>
      </w:r>
      <w:r w:rsidR="00927BF4">
        <w:t>a</w:t>
      </w:r>
      <w:r w:rsidR="00927BF4">
        <w:t>gen och att den därför bör behandlas enligt dessa undantagsbestämmelser.</w:t>
      </w:r>
    </w:p>
    <w:p w14:paraId="4E862EE2" w14:textId="77777777" w:rsidR="001D37AD" w:rsidRDefault="001D37AD" w:rsidP="00927BF4">
      <w:pPr>
        <w:pStyle w:val="ANormal"/>
      </w:pPr>
    </w:p>
    <w:p w14:paraId="0FCECCD6" w14:textId="77777777" w:rsidR="00AF3004" w:rsidRDefault="00AF3004">
      <w:pPr>
        <w:pStyle w:val="RubrikA"/>
      </w:pPr>
      <w:r>
        <w:br w:type="page"/>
      </w:r>
      <w:bookmarkStart w:id="8" w:name="_Toc25225897"/>
      <w:r>
        <w:lastRenderedPageBreak/>
        <w:t>Lagtext</w:t>
      </w:r>
      <w:bookmarkEnd w:id="8"/>
    </w:p>
    <w:p w14:paraId="0B94D5AF" w14:textId="77777777" w:rsidR="00AF3004" w:rsidRDefault="00AF3004">
      <w:pPr>
        <w:pStyle w:val="Rubrikmellanrum"/>
      </w:pPr>
    </w:p>
    <w:p w14:paraId="67D646EE" w14:textId="77777777" w:rsidR="00AF3004" w:rsidRDefault="00AF3004">
      <w:pPr>
        <w:pStyle w:val="ANormal"/>
      </w:pPr>
      <w:r>
        <w:t>Landskapsregeringen föreslår att följande lag antas.</w:t>
      </w:r>
    </w:p>
    <w:p w14:paraId="226C06AF" w14:textId="77777777" w:rsidR="00AF3004" w:rsidRDefault="00AF3004">
      <w:pPr>
        <w:pStyle w:val="ANormal"/>
      </w:pPr>
    </w:p>
    <w:p w14:paraId="01BC2698" w14:textId="4466AE50" w:rsidR="00AF3004" w:rsidRPr="001D37AD" w:rsidRDefault="00AF3004">
      <w:pPr>
        <w:pStyle w:val="LagHuvRubr"/>
      </w:pPr>
      <w:bookmarkStart w:id="9" w:name="_Toc25225898"/>
      <w:r w:rsidRPr="001D37AD">
        <w:t>L A N D S K A P S L A G</w:t>
      </w:r>
      <w:r w:rsidRPr="001D37AD">
        <w:br/>
        <w:t>om</w:t>
      </w:r>
      <w:r w:rsidR="00083014" w:rsidRPr="001D37AD">
        <w:t xml:space="preserve"> ändring av 19</w:t>
      </w:r>
      <w:r w:rsidR="001D37AD" w:rsidRPr="001D37AD">
        <w:t> §</w:t>
      </w:r>
      <w:r w:rsidR="00083014" w:rsidRPr="001D37AD">
        <w:t xml:space="preserve"> kommunalskattelagen för landskapet Åland</w:t>
      </w:r>
      <w:bookmarkEnd w:id="9"/>
    </w:p>
    <w:p w14:paraId="2A215642" w14:textId="77777777" w:rsidR="00AF3004" w:rsidRPr="001D37AD" w:rsidRDefault="00AF3004">
      <w:pPr>
        <w:pStyle w:val="ANormal"/>
      </w:pPr>
    </w:p>
    <w:p w14:paraId="5BF6EEEE" w14:textId="481DBC94" w:rsidR="00AF3004" w:rsidRDefault="00AF3004">
      <w:pPr>
        <w:pStyle w:val="ANormal"/>
      </w:pPr>
      <w:r w:rsidRPr="001D37AD">
        <w:tab/>
        <w:t xml:space="preserve">I enlighet med lagtingets beslut </w:t>
      </w:r>
      <w:r w:rsidR="00083014" w:rsidRPr="001D37AD">
        <w:rPr>
          <w:b/>
          <w:bCs/>
        </w:rPr>
        <w:t>ändras</w:t>
      </w:r>
      <w:r w:rsidR="00083014" w:rsidRPr="001D37AD">
        <w:t xml:space="preserve"> 19</w:t>
      </w:r>
      <w:r w:rsidR="001D37AD" w:rsidRPr="001D37AD">
        <w:t> §</w:t>
      </w:r>
      <w:r w:rsidR="00083014" w:rsidRPr="001D37AD">
        <w:t xml:space="preserve"> 2</w:t>
      </w:r>
      <w:r w:rsidR="001D37AD" w:rsidRPr="001D37AD">
        <w:t> mom.</w:t>
      </w:r>
      <w:r w:rsidR="00083014" w:rsidRPr="001D37AD">
        <w:t xml:space="preserve"> kommunalskatt</w:t>
      </w:r>
      <w:r w:rsidR="00083014" w:rsidRPr="001D37AD">
        <w:t>e</w:t>
      </w:r>
      <w:r w:rsidR="00083014" w:rsidRPr="001D37AD">
        <w:t xml:space="preserve">lagen (2011:119) för landskapet Åland, sådant det lyder i landskapslagen </w:t>
      </w:r>
      <w:r w:rsidR="00D2345D">
        <w:t>2017/20, som följer</w:t>
      </w:r>
      <w:r>
        <w:t>:</w:t>
      </w:r>
    </w:p>
    <w:p w14:paraId="2B38FFD9" w14:textId="4680EC49" w:rsidR="00AF3004" w:rsidRDefault="00AF3004">
      <w:pPr>
        <w:pStyle w:val="ANormal"/>
      </w:pPr>
    </w:p>
    <w:p w14:paraId="5AF594AB" w14:textId="391D71A5" w:rsidR="00D2345D" w:rsidRDefault="00D2345D" w:rsidP="00D2345D">
      <w:pPr>
        <w:pStyle w:val="LagParagraf"/>
      </w:pPr>
      <w:r>
        <w:t>19</w:t>
      </w:r>
      <w:r w:rsidR="001D37AD">
        <w:t> §</w:t>
      </w:r>
    </w:p>
    <w:p w14:paraId="7D450478" w14:textId="0E18B843" w:rsidR="00D2345D" w:rsidRDefault="00D2345D" w:rsidP="00D2345D">
      <w:pPr>
        <w:pStyle w:val="LagPararubrik"/>
      </w:pPr>
      <w:r>
        <w:t>Pensionsinkomstavdrag</w:t>
      </w:r>
    </w:p>
    <w:p w14:paraId="56A48D34" w14:textId="77777777" w:rsidR="00C663EC" w:rsidRDefault="00C663EC">
      <w:pPr>
        <w:pStyle w:val="ANormal"/>
      </w:pPr>
      <w:r>
        <w:t>- - - - - - - - - - - - - - - - - - - - - - - - - - - - - - - - - - - - - - - - - - - - - - - - - - - -</w:t>
      </w:r>
    </w:p>
    <w:p w14:paraId="2F61E652" w14:textId="277D4C36" w:rsidR="00D2345D" w:rsidRPr="00D2345D" w:rsidRDefault="00D2345D" w:rsidP="00D2345D">
      <w:pPr>
        <w:pStyle w:val="ANormal"/>
        <w:rPr>
          <w:lang w:val="sv-FI"/>
        </w:rPr>
      </w:pPr>
      <w:r>
        <w:rPr>
          <w:lang w:val="sv-FI"/>
        </w:rPr>
        <w:tab/>
      </w:r>
      <w:r w:rsidRPr="00D2345D">
        <w:rPr>
          <w:lang w:val="sv-FI"/>
        </w:rPr>
        <w:t>Fullt pensionsinkomstavdrag räknas ut så att beloppet av full folkpen</w:t>
      </w:r>
      <w:r w:rsidRPr="00D2345D">
        <w:rPr>
          <w:lang w:val="sv-FI"/>
        </w:rPr>
        <w:t>s</w:t>
      </w:r>
      <w:r w:rsidRPr="00D2345D">
        <w:rPr>
          <w:lang w:val="sv-FI"/>
        </w:rPr>
        <w:t>ion multipliceras med 1,3</w:t>
      </w:r>
      <w:r w:rsidR="00C663EC">
        <w:rPr>
          <w:lang w:val="sv-FI"/>
        </w:rPr>
        <w:t>46</w:t>
      </w:r>
      <w:r w:rsidRPr="00D2345D">
        <w:rPr>
          <w:lang w:val="sv-FI"/>
        </w:rPr>
        <w:t>, varefter produkten minskas med 1</w:t>
      </w:r>
      <w:r w:rsidR="00237C6B">
        <w:rPr>
          <w:lang w:val="sv-FI"/>
        </w:rPr>
        <w:t> </w:t>
      </w:r>
      <w:r w:rsidRPr="00D2345D">
        <w:rPr>
          <w:lang w:val="sv-FI"/>
        </w:rPr>
        <w:t>480 euro och resten avrundas uppåt till följande hela tio euro. Pensionsinkomsta</w:t>
      </w:r>
      <w:r w:rsidRPr="00D2345D">
        <w:rPr>
          <w:lang w:val="sv-FI"/>
        </w:rPr>
        <w:t>v</w:t>
      </w:r>
      <w:r w:rsidRPr="00D2345D">
        <w:rPr>
          <w:lang w:val="sv-FI"/>
        </w:rPr>
        <w:t>draget får dock inte överstiga pensionsinkomstens belopp. Är den skat</w:t>
      </w:r>
      <w:r w:rsidRPr="00D2345D">
        <w:rPr>
          <w:lang w:val="sv-FI"/>
        </w:rPr>
        <w:t>t</w:t>
      </w:r>
      <w:r w:rsidRPr="00D2345D">
        <w:rPr>
          <w:lang w:val="sv-FI"/>
        </w:rPr>
        <w:t>skyldiges nettoförvärvsinkomst större än fullt pensionsinkomstavdrag, minskas avdraget med 51 procent av det överskjutande beloppet.</w:t>
      </w:r>
    </w:p>
    <w:p w14:paraId="01C9ED52" w14:textId="77777777" w:rsidR="00C663EC" w:rsidRDefault="00C663EC">
      <w:pPr>
        <w:pStyle w:val="ANormal"/>
      </w:pPr>
      <w:r>
        <w:t>- - - - - - - - - - - - - - - - - - - - - - - - - - - - - - - - - - - - - - - - - - - - - - - - - - - -</w:t>
      </w:r>
    </w:p>
    <w:p w14:paraId="44BBE413" w14:textId="77777777" w:rsidR="00AF3004" w:rsidRDefault="00215B3A">
      <w:pPr>
        <w:pStyle w:val="ANormal"/>
        <w:jc w:val="center"/>
      </w:pPr>
      <w:hyperlink w:anchor="_top" w:tooltip="Klicka för att gå till toppen av dokumentet" w:history="1">
        <w:r w:rsidR="00AF3004">
          <w:rPr>
            <w:rStyle w:val="Hyperlnk"/>
          </w:rPr>
          <w:t>__________________</w:t>
        </w:r>
      </w:hyperlink>
    </w:p>
    <w:p w14:paraId="7729883D" w14:textId="77777777" w:rsidR="00AF3004" w:rsidRDefault="00AF3004">
      <w:pPr>
        <w:pStyle w:val="ANormal"/>
      </w:pPr>
    </w:p>
    <w:p w14:paraId="28625E71" w14:textId="7FC76197" w:rsidR="001237E8" w:rsidRDefault="001237E8" w:rsidP="001237E8">
      <w:pPr>
        <w:pStyle w:val="ANormal"/>
      </w:pPr>
      <w:r>
        <w:tab/>
        <w:t>Lagtinget bemyndigar landskapsregeringen att bestämma att denna lag helt eller delvis ska träda i kraft i den ordning som föreskrivs i 20</w:t>
      </w:r>
      <w:r w:rsidR="001D37AD">
        <w:t> §</w:t>
      </w:r>
      <w:r>
        <w:t xml:space="preserve"> 3</w:t>
      </w:r>
      <w:r w:rsidR="001D37AD">
        <w:t> mom.</w:t>
      </w:r>
      <w:r>
        <w:t xml:space="preserve"> självstyrelselagen.</w:t>
      </w:r>
    </w:p>
    <w:p w14:paraId="0F5C761D" w14:textId="4B70DDDA" w:rsidR="00AF3004" w:rsidRDefault="00D2345D">
      <w:pPr>
        <w:pStyle w:val="ANormal"/>
      </w:pPr>
      <w:r>
        <w:tab/>
        <w:t xml:space="preserve">Denna lag träder i kraft den </w:t>
      </w:r>
      <w:r w:rsidR="001237E8">
        <w:t xml:space="preserve">… </w:t>
      </w:r>
      <w:r>
        <w:t>och tillämpas första gången vid den b</w:t>
      </w:r>
      <w:r>
        <w:t>e</w:t>
      </w:r>
      <w:r>
        <w:t>skattning som gäller skatteåret 2020.</w:t>
      </w:r>
    </w:p>
    <w:p w14:paraId="5F9C78F5" w14:textId="03F6D1B3" w:rsidR="00D2345D" w:rsidRDefault="00D2345D" w:rsidP="00D2345D">
      <w:pPr>
        <w:pStyle w:val="ANormal"/>
      </w:pPr>
      <w:r>
        <w:tab/>
        <w:t xml:space="preserve">För att kompensera kommunerna för den förlust av skatteintäkter som orsakas av denna och andra </w:t>
      </w:r>
      <w:r w:rsidR="00D5669A">
        <w:t>sk</w:t>
      </w:r>
      <w:r>
        <w:t>atteåtgärder som vidt</w:t>
      </w:r>
      <w:r w:rsidR="00D5669A">
        <w:t>a</w:t>
      </w:r>
      <w:r>
        <w:t>s för skatteåret 20</w:t>
      </w:r>
      <w:r w:rsidR="00D5669A">
        <w:t>20</w:t>
      </w:r>
      <w:r>
        <w:t xml:space="preserve"> betalar landskapsregeringen </w:t>
      </w:r>
      <w:r w:rsidR="00D5669A">
        <w:t>5</w:t>
      </w:r>
      <w:r>
        <w:t>00 000 euro i kompensation till kommunerna finansåret 20</w:t>
      </w:r>
      <w:r w:rsidR="00D5669A">
        <w:t>20</w:t>
      </w:r>
      <w:r>
        <w:t>. Beloppet fördelas mellan kommunerna enligt</w:t>
      </w:r>
      <w:r w:rsidR="00D5669A">
        <w:t xml:space="preserve"> antalet inv</w:t>
      </w:r>
      <w:r w:rsidR="00D5669A">
        <w:t>å</w:t>
      </w:r>
      <w:r w:rsidR="00D5669A">
        <w:t xml:space="preserve">nare i </w:t>
      </w:r>
      <w:r w:rsidR="001237E8">
        <w:t xml:space="preserve">den enskilda </w:t>
      </w:r>
      <w:r w:rsidR="00D5669A">
        <w:t>kommun</w:t>
      </w:r>
      <w:r w:rsidR="001237E8">
        <w:t>en den 31 december 2019.</w:t>
      </w:r>
    </w:p>
    <w:p w14:paraId="43EC0AF2" w14:textId="77777777" w:rsidR="00D2345D" w:rsidRDefault="00D2345D">
      <w:pPr>
        <w:pStyle w:val="ANormal"/>
      </w:pPr>
    </w:p>
    <w:p w14:paraId="19FA18ED" w14:textId="77777777" w:rsidR="00D2345D" w:rsidRDefault="00D2345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3D7511B" w14:textId="77777777">
        <w:trPr>
          <w:cantSplit/>
        </w:trPr>
        <w:tc>
          <w:tcPr>
            <w:tcW w:w="7931" w:type="dxa"/>
            <w:gridSpan w:val="2"/>
          </w:tcPr>
          <w:p w14:paraId="692BE404" w14:textId="1E1C2396" w:rsidR="00AF3004" w:rsidRDefault="00AF3004">
            <w:pPr>
              <w:pStyle w:val="ANormal"/>
              <w:keepNext/>
            </w:pPr>
            <w:r>
              <w:t xml:space="preserve">Mariehamn </w:t>
            </w:r>
            <w:r w:rsidR="00237C6B">
              <w:t>den 21 november 2019</w:t>
            </w:r>
          </w:p>
        </w:tc>
      </w:tr>
      <w:tr w:rsidR="00AF3004" w14:paraId="3B1EA87C" w14:textId="77777777">
        <w:tc>
          <w:tcPr>
            <w:tcW w:w="4454" w:type="dxa"/>
            <w:vAlign w:val="bottom"/>
          </w:tcPr>
          <w:p w14:paraId="064F68FB" w14:textId="77777777" w:rsidR="00AF3004" w:rsidRDefault="00AF3004">
            <w:pPr>
              <w:pStyle w:val="ANormal"/>
              <w:keepNext/>
            </w:pPr>
          </w:p>
          <w:p w14:paraId="2F7B1570" w14:textId="77777777" w:rsidR="00AF3004" w:rsidRDefault="00AF3004">
            <w:pPr>
              <w:pStyle w:val="ANormal"/>
              <w:keepNext/>
            </w:pPr>
          </w:p>
          <w:p w14:paraId="1FF242A1" w14:textId="77777777" w:rsidR="00AF3004" w:rsidRDefault="00AF3004">
            <w:pPr>
              <w:pStyle w:val="ANormal"/>
              <w:keepNext/>
            </w:pPr>
            <w:r>
              <w:t>L a n t r å d</w:t>
            </w:r>
          </w:p>
        </w:tc>
        <w:tc>
          <w:tcPr>
            <w:tcW w:w="3477" w:type="dxa"/>
            <w:vAlign w:val="bottom"/>
          </w:tcPr>
          <w:p w14:paraId="2BF2E545" w14:textId="77777777" w:rsidR="00AF3004" w:rsidRDefault="00AF3004">
            <w:pPr>
              <w:pStyle w:val="ANormal"/>
              <w:keepNext/>
            </w:pPr>
          </w:p>
          <w:p w14:paraId="2052462F" w14:textId="77777777" w:rsidR="00AF3004" w:rsidRDefault="00AF3004">
            <w:pPr>
              <w:pStyle w:val="ANormal"/>
              <w:keepNext/>
            </w:pPr>
          </w:p>
          <w:p w14:paraId="0F5B42CF" w14:textId="6C65C7D9" w:rsidR="00AF3004" w:rsidRDefault="00842C31">
            <w:pPr>
              <w:pStyle w:val="ANormal"/>
              <w:keepNext/>
            </w:pPr>
            <w:r>
              <w:t>Katrin Sjögren</w:t>
            </w:r>
          </w:p>
        </w:tc>
      </w:tr>
      <w:tr w:rsidR="00AF3004" w14:paraId="57C45B0E" w14:textId="77777777">
        <w:tc>
          <w:tcPr>
            <w:tcW w:w="4454" w:type="dxa"/>
            <w:vAlign w:val="bottom"/>
          </w:tcPr>
          <w:p w14:paraId="22327A1C" w14:textId="77777777" w:rsidR="00AF3004" w:rsidRDefault="00AF3004">
            <w:pPr>
              <w:pStyle w:val="ANormal"/>
              <w:keepNext/>
            </w:pPr>
          </w:p>
          <w:p w14:paraId="05834E94" w14:textId="77777777" w:rsidR="00AF3004" w:rsidRDefault="00AF3004">
            <w:pPr>
              <w:pStyle w:val="ANormal"/>
              <w:keepNext/>
            </w:pPr>
          </w:p>
          <w:p w14:paraId="196A4568" w14:textId="7BFA676D" w:rsidR="00AF3004" w:rsidRDefault="00AF3004">
            <w:pPr>
              <w:pStyle w:val="ANormal"/>
              <w:keepNext/>
            </w:pPr>
            <w:r>
              <w:t xml:space="preserve">Föredragande </w:t>
            </w:r>
            <w:r w:rsidR="001237E8">
              <w:t>minister</w:t>
            </w:r>
          </w:p>
        </w:tc>
        <w:tc>
          <w:tcPr>
            <w:tcW w:w="3477" w:type="dxa"/>
            <w:vAlign w:val="bottom"/>
          </w:tcPr>
          <w:p w14:paraId="1CF55EC1" w14:textId="77777777" w:rsidR="00AF3004" w:rsidRDefault="00AF3004">
            <w:pPr>
              <w:pStyle w:val="ANormal"/>
              <w:keepNext/>
            </w:pPr>
          </w:p>
          <w:p w14:paraId="0C40DFE4" w14:textId="77777777" w:rsidR="00AF3004" w:rsidRDefault="00AF3004">
            <w:pPr>
              <w:pStyle w:val="ANormal"/>
              <w:keepNext/>
            </w:pPr>
          </w:p>
          <w:p w14:paraId="2FD9F623" w14:textId="0E63D9EC" w:rsidR="00AF3004" w:rsidRDefault="00842C31">
            <w:pPr>
              <w:pStyle w:val="ANormal"/>
              <w:keepNext/>
            </w:pPr>
            <w:r>
              <w:t xml:space="preserve">Mats </w:t>
            </w:r>
            <w:proofErr w:type="spellStart"/>
            <w:r>
              <w:t>Perämaa</w:t>
            </w:r>
            <w:proofErr w:type="spellEnd"/>
          </w:p>
        </w:tc>
      </w:tr>
    </w:tbl>
    <w:p w14:paraId="22E606B9" w14:textId="388E05DD" w:rsidR="00AF3004" w:rsidRDefault="00AF3004">
      <w:pPr>
        <w:pStyle w:val="ANormal"/>
      </w:pPr>
    </w:p>
    <w:p w14:paraId="3B83B6FE" w14:textId="47100198" w:rsidR="00237C6B" w:rsidRDefault="00237C6B">
      <w:pPr>
        <w:rPr>
          <w:sz w:val="22"/>
          <w:szCs w:val="20"/>
        </w:rPr>
      </w:pPr>
      <w:r>
        <w:br w:type="page"/>
      </w:r>
    </w:p>
    <w:p w14:paraId="4C19FD75" w14:textId="08A22DFB" w:rsidR="00237C6B" w:rsidRDefault="00237C6B" w:rsidP="00237C6B">
      <w:pPr>
        <w:pStyle w:val="RubrikA"/>
      </w:pPr>
      <w:bookmarkStart w:id="10" w:name="_Toc25225899"/>
      <w:r>
        <w:lastRenderedPageBreak/>
        <w:t>Parallelltexter</w:t>
      </w:r>
      <w:bookmarkEnd w:id="10"/>
    </w:p>
    <w:p w14:paraId="50CABE57" w14:textId="0CF4E660" w:rsidR="00237C6B" w:rsidRDefault="00237C6B" w:rsidP="00237C6B">
      <w:pPr>
        <w:pStyle w:val="Rubrikmellanrum"/>
      </w:pPr>
    </w:p>
    <w:p w14:paraId="2A36B164" w14:textId="13F3024D" w:rsidR="00237C6B" w:rsidRPr="00237C6B" w:rsidRDefault="00237C6B" w:rsidP="00237C6B">
      <w:pPr>
        <w:pStyle w:val="ArendeUnderRubrik"/>
      </w:pPr>
      <w:r>
        <w:t>Parallelltexter till landskapsregeringens lagförslag nr 5/2019-2020</w:t>
      </w:r>
    </w:p>
    <w:sectPr w:rsidR="00237C6B" w:rsidRPr="00237C6B">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8DCC0" w14:textId="77777777" w:rsidR="008217C0" w:rsidRDefault="008217C0">
      <w:r>
        <w:separator/>
      </w:r>
    </w:p>
  </w:endnote>
  <w:endnote w:type="continuationSeparator" w:id="0">
    <w:p w14:paraId="14D25C27" w14:textId="77777777" w:rsidR="008217C0" w:rsidRDefault="0082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1774" w14:textId="77777777"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C55E" w14:textId="0278726D" w:rsidR="00AF3004" w:rsidRDefault="001D37AD">
    <w:pPr>
      <w:pStyle w:val="Sidfot"/>
      <w:rPr>
        <w:lang w:val="fi-FI"/>
      </w:rPr>
    </w:pPr>
    <w:r>
      <w:t>LF0520192020.docx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9AD9" w14:textId="77777777"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1C353" w14:textId="77777777" w:rsidR="008217C0" w:rsidRDefault="008217C0">
      <w:r>
        <w:separator/>
      </w:r>
    </w:p>
  </w:footnote>
  <w:footnote w:type="continuationSeparator" w:id="0">
    <w:p w14:paraId="57110FF8" w14:textId="77777777" w:rsidR="008217C0" w:rsidRDefault="0082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5DE4"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15B3A">
      <w:rPr>
        <w:rStyle w:val="Sidnummer"/>
        <w:noProof/>
      </w:rPr>
      <w:t>2</w:t>
    </w:r>
    <w:r>
      <w:rPr>
        <w:rStyle w:val="Sidnummer"/>
      </w:rPr>
      <w:fldChar w:fldCharType="end"/>
    </w:r>
  </w:p>
  <w:p w14:paraId="3BD1EA5E" w14:textId="77777777"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72FF"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15B3A">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10"/>
    <w:rsid w:val="00006B72"/>
    <w:rsid w:val="0002403D"/>
    <w:rsid w:val="00030809"/>
    <w:rsid w:val="0003700E"/>
    <w:rsid w:val="000432D7"/>
    <w:rsid w:val="00083014"/>
    <w:rsid w:val="00093893"/>
    <w:rsid w:val="000B3DCC"/>
    <w:rsid w:val="001237E8"/>
    <w:rsid w:val="001319AF"/>
    <w:rsid w:val="001A1AF7"/>
    <w:rsid w:val="001B67E9"/>
    <w:rsid w:val="001B72F0"/>
    <w:rsid w:val="001D37AD"/>
    <w:rsid w:val="002020E1"/>
    <w:rsid w:val="00202894"/>
    <w:rsid w:val="00203FF0"/>
    <w:rsid w:val="002154BC"/>
    <w:rsid w:val="00215B3A"/>
    <w:rsid w:val="00227EE4"/>
    <w:rsid w:val="00237C6B"/>
    <w:rsid w:val="00317882"/>
    <w:rsid w:val="00320627"/>
    <w:rsid w:val="003213ED"/>
    <w:rsid w:val="00342FC4"/>
    <w:rsid w:val="003453EA"/>
    <w:rsid w:val="003E0F3F"/>
    <w:rsid w:val="00464E03"/>
    <w:rsid w:val="00492989"/>
    <w:rsid w:val="0049379F"/>
    <w:rsid w:val="004A6BA1"/>
    <w:rsid w:val="004C6D5C"/>
    <w:rsid w:val="00527117"/>
    <w:rsid w:val="00533623"/>
    <w:rsid w:val="00537724"/>
    <w:rsid w:val="00590CEF"/>
    <w:rsid w:val="00593949"/>
    <w:rsid w:val="005B2402"/>
    <w:rsid w:val="005E284A"/>
    <w:rsid w:val="005F1DF9"/>
    <w:rsid w:val="00644310"/>
    <w:rsid w:val="00693E77"/>
    <w:rsid w:val="006B633C"/>
    <w:rsid w:val="006D069F"/>
    <w:rsid w:val="006F5E3E"/>
    <w:rsid w:val="00722128"/>
    <w:rsid w:val="007319A6"/>
    <w:rsid w:val="00747E6D"/>
    <w:rsid w:val="00774521"/>
    <w:rsid w:val="008056ED"/>
    <w:rsid w:val="008217C0"/>
    <w:rsid w:val="00842C31"/>
    <w:rsid w:val="008450DA"/>
    <w:rsid w:val="0084746A"/>
    <w:rsid w:val="008515E8"/>
    <w:rsid w:val="00851D02"/>
    <w:rsid w:val="00887961"/>
    <w:rsid w:val="008B07E0"/>
    <w:rsid w:val="008C4CAC"/>
    <w:rsid w:val="008D4070"/>
    <w:rsid w:val="00907C3C"/>
    <w:rsid w:val="009216BA"/>
    <w:rsid w:val="00927BF4"/>
    <w:rsid w:val="009C0186"/>
    <w:rsid w:val="009D2E64"/>
    <w:rsid w:val="009E0E0D"/>
    <w:rsid w:val="00A32351"/>
    <w:rsid w:val="00A51378"/>
    <w:rsid w:val="00AB4A3D"/>
    <w:rsid w:val="00AD17F4"/>
    <w:rsid w:val="00AD1CAC"/>
    <w:rsid w:val="00AF3004"/>
    <w:rsid w:val="00BA54AA"/>
    <w:rsid w:val="00C57D51"/>
    <w:rsid w:val="00C663EC"/>
    <w:rsid w:val="00C81B1E"/>
    <w:rsid w:val="00CB7745"/>
    <w:rsid w:val="00CC58EA"/>
    <w:rsid w:val="00CE5022"/>
    <w:rsid w:val="00D2345D"/>
    <w:rsid w:val="00D311E9"/>
    <w:rsid w:val="00D5669A"/>
    <w:rsid w:val="00D854C6"/>
    <w:rsid w:val="00DA23D2"/>
    <w:rsid w:val="00DB2630"/>
    <w:rsid w:val="00DD5E39"/>
    <w:rsid w:val="00DF3DA8"/>
    <w:rsid w:val="00E2341D"/>
    <w:rsid w:val="00EB772C"/>
    <w:rsid w:val="00EF4225"/>
    <w:rsid w:val="00FA3DC2"/>
    <w:rsid w:val="00FC17AA"/>
    <w:rsid w:val="00FD6449"/>
    <w:rsid w:val="00FE62D5"/>
    <w:rsid w:val="00FF0B4D"/>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UnresolvedMention">
    <w:name w:val="Unresolved Mention"/>
    <w:basedOn w:val="Standardstycketeckensnitt"/>
    <w:uiPriority w:val="99"/>
    <w:semiHidden/>
    <w:unhideWhenUsed/>
    <w:rsid w:val="00D2345D"/>
    <w:rPr>
      <w:color w:val="605E5C"/>
      <w:shd w:val="clear" w:color="auto" w:fill="E1DFDD"/>
    </w:rPr>
  </w:style>
  <w:style w:type="paragraph" w:styleId="Ballongtext">
    <w:name w:val="Balloon Text"/>
    <w:basedOn w:val="Normal"/>
    <w:link w:val="BallongtextChar"/>
    <w:uiPriority w:val="99"/>
    <w:semiHidden/>
    <w:unhideWhenUsed/>
    <w:rsid w:val="0049298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2989"/>
    <w:rPr>
      <w:rFonts w:ascii="Segoe UI" w:hAnsi="Segoe UI" w:cs="Segoe UI"/>
      <w:sz w:val="18"/>
      <w:szCs w:val="18"/>
      <w:lang w:val="sv-SE" w:eastAsia="sv-SE"/>
    </w:rPr>
  </w:style>
  <w:style w:type="table" w:styleId="Tabellrutnt">
    <w:name w:val="Table Grid"/>
    <w:basedOn w:val="Normaltabell"/>
    <w:uiPriority w:val="59"/>
    <w:rsid w:val="00E2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UnresolvedMention">
    <w:name w:val="Unresolved Mention"/>
    <w:basedOn w:val="Standardstycketeckensnitt"/>
    <w:uiPriority w:val="99"/>
    <w:semiHidden/>
    <w:unhideWhenUsed/>
    <w:rsid w:val="00D2345D"/>
    <w:rPr>
      <w:color w:val="605E5C"/>
      <w:shd w:val="clear" w:color="auto" w:fill="E1DFDD"/>
    </w:rPr>
  </w:style>
  <w:style w:type="paragraph" w:styleId="Ballongtext">
    <w:name w:val="Balloon Text"/>
    <w:basedOn w:val="Normal"/>
    <w:link w:val="BallongtextChar"/>
    <w:uiPriority w:val="99"/>
    <w:semiHidden/>
    <w:unhideWhenUsed/>
    <w:rsid w:val="0049298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2989"/>
    <w:rPr>
      <w:rFonts w:ascii="Segoe UI" w:hAnsi="Segoe UI" w:cs="Segoe UI"/>
      <w:sz w:val="18"/>
      <w:szCs w:val="18"/>
      <w:lang w:val="sv-SE" w:eastAsia="sv-SE"/>
    </w:rPr>
  </w:style>
  <w:style w:type="table" w:styleId="Tabellrutnt">
    <w:name w:val="Table Grid"/>
    <w:basedOn w:val="Normaltabell"/>
    <w:uiPriority w:val="59"/>
    <w:rsid w:val="00E2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3958">
      <w:bodyDiv w:val="1"/>
      <w:marLeft w:val="0"/>
      <w:marRight w:val="0"/>
      <w:marTop w:val="0"/>
      <w:marBottom w:val="0"/>
      <w:divBdr>
        <w:top w:val="none" w:sz="0" w:space="0" w:color="auto"/>
        <w:left w:val="none" w:sz="0" w:space="0" w:color="auto"/>
        <w:bottom w:val="none" w:sz="0" w:space="0" w:color="auto"/>
        <w:right w:val="none" w:sz="0" w:space="0" w:color="auto"/>
      </w:divBdr>
    </w:div>
    <w:div w:id="1404569966">
      <w:bodyDiv w:val="1"/>
      <w:marLeft w:val="0"/>
      <w:marRight w:val="0"/>
      <w:marTop w:val="0"/>
      <w:marBottom w:val="0"/>
      <w:divBdr>
        <w:top w:val="none" w:sz="0" w:space="0" w:color="auto"/>
        <w:left w:val="none" w:sz="0" w:space="0" w:color="auto"/>
        <w:bottom w:val="none" w:sz="0" w:space="0" w:color="auto"/>
        <w:right w:val="none" w:sz="0" w:space="0" w:color="auto"/>
      </w:divBdr>
      <w:divsChild>
        <w:div w:id="1249731286">
          <w:marLeft w:val="0"/>
          <w:marRight w:val="0"/>
          <w:marTop w:val="0"/>
          <w:marBottom w:val="0"/>
          <w:divBdr>
            <w:top w:val="none" w:sz="0" w:space="0" w:color="auto"/>
            <w:left w:val="none" w:sz="0" w:space="0" w:color="auto"/>
            <w:bottom w:val="none" w:sz="0" w:space="0" w:color="auto"/>
            <w:right w:val="none" w:sz="0" w:space="0" w:color="auto"/>
          </w:divBdr>
        </w:div>
        <w:div w:id="1645812715">
          <w:marLeft w:val="0"/>
          <w:marRight w:val="0"/>
          <w:marTop w:val="0"/>
          <w:marBottom w:val="0"/>
          <w:divBdr>
            <w:top w:val="none" w:sz="0" w:space="0" w:color="auto"/>
            <w:left w:val="none" w:sz="0" w:space="0" w:color="auto"/>
            <w:bottom w:val="none" w:sz="0" w:space="0" w:color="auto"/>
            <w:right w:val="none" w:sz="0" w:space="0" w:color="auto"/>
          </w:divBdr>
        </w:div>
        <w:div w:id="55469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7</Pages>
  <Words>1522</Words>
  <Characters>9941</Characters>
  <Application>Microsoft Office Word</Application>
  <DocSecurity>0</DocSecurity>
  <Lines>82</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11441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lastModifiedBy>Jessica Laaksonen</cp:lastModifiedBy>
  <cp:revision>2</cp:revision>
  <cp:lastPrinted>2019-11-20T08:41:00Z</cp:lastPrinted>
  <dcterms:created xsi:type="dcterms:W3CDTF">2019-11-22T06:31:00Z</dcterms:created>
  <dcterms:modified xsi:type="dcterms:W3CDTF">2019-11-22T06:31:00Z</dcterms:modified>
</cp:coreProperties>
</file>