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2807EE8" w14:textId="77777777">
        <w:trPr>
          <w:cantSplit/>
          <w:trHeight w:val="20"/>
        </w:trPr>
        <w:tc>
          <w:tcPr>
            <w:tcW w:w="861" w:type="dxa"/>
            <w:vMerge w:val="restart"/>
          </w:tcPr>
          <w:p w14:paraId="34FAF809" w14:textId="77777777" w:rsidR="000B3F00" w:rsidRDefault="00A257A7">
            <w:pPr>
              <w:pStyle w:val="xLedtext"/>
              <w:rPr>
                <w:noProof/>
              </w:rPr>
            </w:pPr>
            <w:bookmarkStart w:id="0" w:name="_top"/>
            <w:bookmarkEnd w:id="0"/>
            <w:r>
              <w:rPr>
                <w:noProof/>
                <w:lang w:val="sv-FI" w:eastAsia="sv-FI"/>
              </w:rPr>
              <w:drawing>
                <wp:inline distT="0" distB="0" distL="0" distR="0" wp14:anchorId="3EE39132" wp14:editId="3B45EF80">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1B0A3ADA" w14:textId="77777777" w:rsidR="000B3F00" w:rsidRDefault="00A257A7">
            <w:pPr>
              <w:pStyle w:val="xMellanrum"/>
            </w:pPr>
            <w:r>
              <w:rPr>
                <w:noProof/>
                <w:lang w:val="sv-FI" w:eastAsia="sv-FI"/>
              </w:rPr>
              <w:drawing>
                <wp:inline distT="0" distB="0" distL="0" distR="0" wp14:anchorId="0501CE28" wp14:editId="314E810A">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3F65573B" w14:textId="77777777">
        <w:trPr>
          <w:cantSplit/>
          <w:trHeight w:val="299"/>
        </w:trPr>
        <w:tc>
          <w:tcPr>
            <w:tcW w:w="861" w:type="dxa"/>
            <w:vMerge/>
          </w:tcPr>
          <w:p w14:paraId="46916F96" w14:textId="77777777" w:rsidR="000B3F00" w:rsidRDefault="000B3F00">
            <w:pPr>
              <w:pStyle w:val="xLedtext"/>
            </w:pPr>
          </w:p>
        </w:tc>
        <w:tc>
          <w:tcPr>
            <w:tcW w:w="4448" w:type="dxa"/>
            <w:vAlign w:val="bottom"/>
          </w:tcPr>
          <w:p w14:paraId="54729725" w14:textId="77777777" w:rsidR="000B3F00" w:rsidRDefault="000B3F00">
            <w:pPr>
              <w:pStyle w:val="xAvsandare1"/>
            </w:pPr>
            <w:r>
              <w:t>Ålands lagting</w:t>
            </w:r>
          </w:p>
        </w:tc>
        <w:tc>
          <w:tcPr>
            <w:tcW w:w="4288" w:type="dxa"/>
            <w:gridSpan w:val="2"/>
            <w:vAlign w:val="bottom"/>
          </w:tcPr>
          <w:p w14:paraId="4B1D557C" w14:textId="77777777" w:rsidR="000B3F00" w:rsidRDefault="00D34F0A" w:rsidP="00377141">
            <w:pPr>
              <w:pStyle w:val="xDokTypNr"/>
            </w:pPr>
            <w:r>
              <w:t>RESERVATION</w:t>
            </w:r>
          </w:p>
        </w:tc>
      </w:tr>
      <w:tr w:rsidR="000B3F00" w14:paraId="1B413B11" w14:textId="77777777">
        <w:trPr>
          <w:cantSplit/>
          <w:trHeight w:val="238"/>
        </w:trPr>
        <w:tc>
          <w:tcPr>
            <w:tcW w:w="861" w:type="dxa"/>
            <w:vMerge/>
          </w:tcPr>
          <w:p w14:paraId="2DD03C77" w14:textId="77777777" w:rsidR="000B3F00" w:rsidRDefault="000B3F00">
            <w:pPr>
              <w:pStyle w:val="xLedtext"/>
            </w:pPr>
          </w:p>
        </w:tc>
        <w:tc>
          <w:tcPr>
            <w:tcW w:w="4448" w:type="dxa"/>
            <w:vAlign w:val="bottom"/>
          </w:tcPr>
          <w:p w14:paraId="28AC6664" w14:textId="77777777" w:rsidR="000B3F00" w:rsidRDefault="000B3F00">
            <w:pPr>
              <w:pStyle w:val="xLedtext"/>
            </w:pPr>
            <w:r>
              <w:t xml:space="preserve">Lagtingsledamot </w:t>
            </w:r>
          </w:p>
        </w:tc>
        <w:tc>
          <w:tcPr>
            <w:tcW w:w="1725" w:type="dxa"/>
            <w:vAlign w:val="bottom"/>
          </w:tcPr>
          <w:p w14:paraId="78E0D6E7" w14:textId="77777777" w:rsidR="000B3F00" w:rsidRDefault="000B3F00">
            <w:pPr>
              <w:pStyle w:val="xLedtext"/>
            </w:pPr>
            <w:r>
              <w:t>Datum</w:t>
            </w:r>
          </w:p>
        </w:tc>
        <w:tc>
          <w:tcPr>
            <w:tcW w:w="2563" w:type="dxa"/>
            <w:vAlign w:val="bottom"/>
          </w:tcPr>
          <w:p w14:paraId="64A14E2F" w14:textId="77777777" w:rsidR="000B3F00" w:rsidRDefault="000B3F00">
            <w:pPr>
              <w:pStyle w:val="xLedtext"/>
            </w:pPr>
          </w:p>
        </w:tc>
      </w:tr>
      <w:tr w:rsidR="000B3F00" w14:paraId="05DBDD74" w14:textId="77777777">
        <w:trPr>
          <w:cantSplit/>
          <w:trHeight w:val="238"/>
        </w:trPr>
        <w:tc>
          <w:tcPr>
            <w:tcW w:w="861" w:type="dxa"/>
            <w:vMerge/>
          </w:tcPr>
          <w:p w14:paraId="3083B46C" w14:textId="77777777" w:rsidR="000B3F00" w:rsidRDefault="000B3F00">
            <w:pPr>
              <w:pStyle w:val="xAvsandare2"/>
            </w:pPr>
          </w:p>
        </w:tc>
        <w:tc>
          <w:tcPr>
            <w:tcW w:w="4448" w:type="dxa"/>
            <w:vAlign w:val="center"/>
          </w:tcPr>
          <w:p w14:paraId="47AD6462" w14:textId="69347391" w:rsidR="000B3F00" w:rsidRDefault="000C1515" w:rsidP="000C1515">
            <w:pPr>
              <w:pStyle w:val="xAvsandare2"/>
            </w:pPr>
            <w:r>
              <w:t xml:space="preserve">John Holmberg </w:t>
            </w:r>
            <w:r w:rsidR="00D34F0A">
              <w:t>m.fl.</w:t>
            </w:r>
          </w:p>
        </w:tc>
        <w:tc>
          <w:tcPr>
            <w:tcW w:w="1725" w:type="dxa"/>
            <w:vAlign w:val="center"/>
          </w:tcPr>
          <w:p w14:paraId="61F0D293" w14:textId="0DC7F067" w:rsidR="000B3F00" w:rsidRDefault="0012085E" w:rsidP="0012085E">
            <w:pPr>
              <w:pStyle w:val="xDatum1"/>
            </w:pPr>
            <w:r>
              <w:t>201</w:t>
            </w:r>
            <w:r w:rsidR="00F85761">
              <w:t>9-12-05</w:t>
            </w:r>
          </w:p>
        </w:tc>
        <w:tc>
          <w:tcPr>
            <w:tcW w:w="2563" w:type="dxa"/>
            <w:vAlign w:val="center"/>
          </w:tcPr>
          <w:p w14:paraId="6ECB3C79" w14:textId="77777777" w:rsidR="000B3F00" w:rsidRDefault="000B3F00">
            <w:pPr>
              <w:pStyle w:val="xBeteckning1"/>
            </w:pPr>
          </w:p>
        </w:tc>
      </w:tr>
      <w:tr w:rsidR="000B3F00" w14:paraId="04A744D4" w14:textId="77777777">
        <w:trPr>
          <w:cantSplit/>
          <w:trHeight w:val="238"/>
        </w:trPr>
        <w:tc>
          <w:tcPr>
            <w:tcW w:w="861" w:type="dxa"/>
            <w:vMerge/>
          </w:tcPr>
          <w:p w14:paraId="5ECB6968" w14:textId="77777777" w:rsidR="000B3F00" w:rsidRDefault="000B3F00">
            <w:pPr>
              <w:pStyle w:val="xLedtext"/>
            </w:pPr>
          </w:p>
        </w:tc>
        <w:tc>
          <w:tcPr>
            <w:tcW w:w="4448" w:type="dxa"/>
            <w:vAlign w:val="bottom"/>
          </w:tcPr>
          <w:p w14:paraId="3C979273" w14:textId="77777777" w:rsidR="000B3F00" w:rsidRDefault="000B3F00">
            <w:pPr>
              <w:pStyle w:val="xLedtext"/>
            </w:pPr>
          </w:p>
        </w:tc>
        <w:tc>
          <w:tcPr>
            <w:tcW w:w="1725" w:type="dxa"/>
            <w:vAlign w:val="bottom"/>
          </w:tcPr>
          <w:p w14:paraId="1DDA0D30" w14:textId="77777777" w:rsidR="000B3F00" w:rsidRDefault="000B3F00">
            <w:pPr>
              <w:pStyle w:val="xLedtext"/>
            </w:pPr>
          </w:p>
        </w:tc>
        <w:tc>
          <w:tcPr>
            <w:tcW w:w="2563" w:type="dxa"/>
            <w:vAlign w:val="bottom"/>
          </w:tcPr>
          <w:p w14:paraId="5138A1E2" w14:textId="77777777" w:rsidR="000B3F00" w:rsidRDefault="000B3F00">
            <w:pPr>
              <w:pStyle w:val="xLedtext"/>
            </w:pPr>
          </w:p>
        </w:tc>
      </w:tr>
      <w:tr w:rsidR="000B3F00" w14:paraId="18865C49" w14:textId="77777777">
        <w:trPr>
          <w:cantSplit/>
          <w:trHeight w:val="238"/>
        </w:trPr>
        <w:tc>
          <w:tcPr>
            <w:tcW w:w="861" w:type="dxa"/>
            <w:vMerge/>
            <w:tcBorders>
              <w:bottom w:val="single" w:sz="4" w:space="0" w:color="auto"/>
            </w:tcBorders>
          </w:tcPr>
          <w:p w14:paraId="200837CF" w14:textId="77777777" w:rsidR="000B3F00" w:rsidRDefault="000B3F00">
            <w:pPr>
              <w:pStyle w:val="xAvsandare3"/>
            </w:pPr>
          </w:p>
        </w:tc>
        <w:tc>
          <w:tcPr>
            <w:tcW w:w="4448" w:type="dxa"/>
            <w:tcBorders>
              <w:bottom w:val="single" w:sz="4" w:space="0" w:color="auto"/>
            </w:tcBorders>
            <w:vAlign w:val="center"/>
          </w:tcPr>
          <w:p w14:paraId="7651BBEA" w14:textId="77777777" w:rsidR="000B3F00" w:rsidRDefault="000B3F00">
            <w:pPr>
              <w:pStyle w:val="xAvsandare3"/>
            </w:pPr>
          </w:p>
        </w:tc>
        <w:tc>
          <w:tcPr>
            <w:tcW w:w="1725" w:type="dxa"/>
            <w:tcBorders>
              <w:bottom w:val="single" w:sz="4" w:space="0" w:color="auto"/>
            </w:tcBorders>
            <w:vAlign w:val="center"/>
          </w:tcPr>
          <w:p w14:paraId="38A2F74B" w14:textId="77777777" w:rsidR="000B3F00" w:rsidRDefault="000B3F00">
            <w:pPr>
              <w:pStyle w:val="xDatum2"/>
            </w:pPr>
          </w:p>
        </w:tc>
        <w:tc>
          <w:tcPr>
            <w:tcW w:w="2563" w:type="dxa"/>
            <w:tcBorders>
              <w:bottom w:val="single" w:sz="4" w:space="0" w:color="auto"/>
            </w:tcBorders>
            <w:vAlign w:val="center"/>
          </w:tcPr>
          <w:p w14:paraId="5EF5D8AD" w14:textId="77777777" w:rsidR="000B3F00" w:rsidRDefault="000B3F00">
            <w:pPr>
              <w:pStyle w:val="xBeteckning2"/>
            </w:pPr>
          </w:p>
        </w:tc>
      </w:tr>
      <w:tr w:rsidR="000B3F00" w14:paraId="11529B24" w14:textId="77777777">
        <w:trPr>
          <w:cantSplit/>
          <w:trHeight w:val="238"/>
        </w:trPr>
        <w:tc>
          <w:tcPr>
            <w:tcW w:w="861" w:type="dxa"/>
            <w:tcBorders>
              <w:top w:val="single" w:sz="4" w:space="0" w:color="auto"/>
            </w:tcBorders>
            <w:vAlign w:val="bottom"/>
          </w:tcPr>
          <w:p w14:paraId="758F2486" w14:textId="77777777" w:rsidR="000B3F00" w:rsidRDefault="000B3F00">
            <w:pPr>
              <w:pStyle w:val="xLedtext"/>
            </w:pPr>
          </w:p>
        </w:tc>
        <w:tc>
          <w:tcPr>
            <w:tcW w:w="4448" w:type="dxa"/>
            <w:tcBorders>
              <w:top w:val="single" w:sz="4" w:space="0" w:color="auto"/>
            </w:tcBorders>
            <w:vAlign w:val="bottom"/>
          </w:tcPr>
          <w:p w14:paraId="0F7917E0" w14:textId="77777777" w:rsidR="000B3F00" w:rsidRDefault="000B3F00">
            <w:pPr>
              <w:pStyle w:val="xLedtext"/>
            </w:pPr>
          </w:p>
        </w:tc>
        <w:tc>
          <w:tcPr>
            <w:tcW w:w="4288" w:type="dxa"/>
            <w:gridSpan w:val="2"/>
            <w:tcBorders>
              <w:top w:val="single" w:sz="4" w:space="0" w:color="auto"/>
            </w:tcBorders>
            <w:vAlign w:val="bottom"/>
          </w:tcPr>
          <w:p w14:paraId="3395B522" w14:textId="77777777" w:rsidR="000B3F00" w:rsidRDefault="000B3F00">
            <w:pPr>
              <w:pStyle w:val="xLedtext"/>
            </w:pPr>
          </w:p>
        </w:tc>
      </w:tr>
      <w:tr w:rsidR="000B3F00" w14:paraId="51E34341" w14:textId="77777777">
        <w:trPr>
          <w:cantSplit/>
          <w:trHeight w:val="238"/>
        </w:trPr>
        <w:tc>
          <w:tcPr>
            <w:tcW w:w="861" w:type="dxa"/>
          </w:tcPr>
          <w:p w14:paraId="291679FD" w14:textId="77777777" w:rsidR="000B3F00" w:rsidRDefault="000B3F00">
            <w:pPr>
              <w:pStyle w:val="xCelltext"/>
            </w:pPr>
          </w:p>
        </w:tc>
        <w:tc>
          <w:tcPr>
            <w:tcW w:w="4448" w:type="dxa"/>
            <w:vMerge w:val="restart"/>
          </w:tcPr>
          <w:p w14:paraId="5E52A471" w14:textId="77777777" w:rsidR="000B3F00" w:rsidRDefault="000B3F00">
            <w:pPr>
              <w:pStyle w:val="xMottagare1"/>
            </w:pPr>
            <w:r>
              <w:t>Till Ålands lagting</w:t>
            </w:r>
          </w:p>
        </w:tc>
        <w:tc>
          <w:tcPr>
            <w:tcW w:w="4288" w:type="dxa"/>
            <w:gridSpan w:val="2"/>
            <w:vMerge w:val="restart"/>
          </w:tcPr>
          <w:p w14:paraId="237B7279" w14:textId="77777777" w:rsidR="000B3F00" w:rsidRDefault="000B3F00">
            <w:pPr>
              <w:pStyle w:val="xMottagare1"/>
              <w:tabs>
                <w:tab w:val="left" w:pos="2349"/>
              </w:tabs>
            </w:pPr>
          </w:p>
        </w:tc>
      </w:tr>
      <w:tr w:rsidR="000B3F00" w14:paraId="48CBA923" w14:textId="77777777">
        <w:trPr>
          <w:cantSplit/>
          <w:trHeight w:val="238"/>
        </w:trPr>
        <w:tc>
          <w:tcPr>
            <w:tcW w:w="861" w:type="dxa"/>
          </w:tcPr>
          <w:p w14:paraId="1697F067" w14:textId="77777777" w:rsidR="000B3F00" w:rsidRDefault="000B3F00">
            <w:pPr>
              <w:pStyle w:val="xCelltext"/>
            </w:pPr>
          </w:p>
        </w:tc>
        <w:tc>
          <w:tcPr>
            <w:tcW w:w="4448" w:type="dxa"/>
            <w:vMerge/>
            <w:vAlign w:val="center"/>
          </w:tcPr>
          <w:p w14:paraId="5DEE6673" w14:textId="77777777" w:rsidR="000B3F00" w:rsidRDefault="000B3F00">
            <w:pPr>
              <w:pStyle w:val="xCelltext"/>
            </w:pPr>
          </w:p>
        </w:tc>
        <w:tc>
          <w:tcPr>
            <w:tcW w:w="4288" w:type="dxa"/>
            <w:gridSpan w:val="2"/>
            <w:vMerge/>
            <w:vAlign w:val="center"/>
          </w:tcPr>
          <w:p w14:paraId="1DDD2B1D" w14:textId="77777777" w:rsidR="000B3F00" w:rsidRDefault="000B3F00">
            <w:pPr>
              <w:pStyle w:val="xCelltext"/>
            </w:pPr>
          </w:p>
        </w:tc>
      </w:tr>
      <w:tr w:rsidR="000B3F00" w14:paraId="049418ED" w14:textId="77777777">
        <w:trPr>
          <w:cantSplit/>
          <w:trHeight w:val="238"/>
        </w:trPr>
        <w:tc>
          <w:tcPr>
            <w:tcW w:w="861" w:type="dxa"/>
          </w:tcPr>
          <w:p w14:paraId="482486FF" w14:textId="77777777" w:rsidR="000B3F00" w:rsidRDefault="000B3F00">
            <w:pPr>
              <w:pStyle w:val="xCelltext"/>
            </w:pPr>
          </w:p>
        </w:tc>
        <w:tc>
          <w:tcPr>
            <w:tcW w:w="4448" w:type="dxa"/>
            <w:vMerge/>
            <w:vAlign w:val="center"/>
          </w:tcPr>
          <w:p w14:paraId="3C5BB1F7" w14:textId="77777777" w:rsidR="000B3F00" w:rsidRDefault="000B3F00">
            <w:pPr>
              <w:pStyle w:val="xCelltext"/>
            </w:pPr>
          </w:p>
        </w:tc>
        <w:tc>
          <w:tcPr>
            <w:tcW w:w="4288" w:type="dxa"/>
            <w:gridSpan w:val="2"/>
            <w:vMerge/>
            <w:vAlign w:val="center"/>
          </w:tcPr>
          <w:p w14:paraId="24C71597" w14:textId="77777777" w:rsidR="000B3F00" w:rsidRDefault="000B3F00">
            <w:pPr>
              <w:pStyle w:val="xCelltext"/>
            </w:pPr>
          </w:p>
        </w:tc>
      </w:tr>
      <w:tr w:rsidR="000B3F00" w14:paraId="7E646870" w14:textId="77777777">
        <w:trPr>
          <w:cantSplit/>
          <w:trHeight w:val="238"/>
        </w:trPr>
        <w:tc>
          <w:tcPr>
            <w:tcW w:w="861" w:type="dxa"/>
          </w:tcPr>
          <w:p w14:paraId="408CF21F" w14:textId="77777777" w:rsidR="000B3F00" w:rsidRDefault="000B3F00">
            <w:pPr>
              <w:pStyle w:val="xCelltext"/>
            </w:pPr>
          </w:p>
        </w:tc>
        <w:tc>
          <w:tcPr>
            <w:tcW w:w="4448" w:type="dxa"/>
            <w:vMerge/>
            <w:vAlign w:val="center"/>
          </w:tcPr>
          <w:p w14:paraId="7A3167AD" w14:textId="77777777" w:rsidR="000B3F00" w:rsidRDefault="000B3F00">
            <w:pPr>
              <w:pStyle w:val="xCelltext"/>
            </w:pPr>
          </w:p>
        </w:tc>
        <w:tc>
          <w:tcPr>
            <w:tcW w:w="4288" w:type="dxa"/>
            <w:gridSpan w:val="2"/>
            <w:vMerge/>
            <w:vAlign w:val="center"/>
          </w:tcPr>
          <w:p w14:paraId="54633E93" w14:textId="77777777" w:rsidR="000B3F00" w:rsidRDefault="000B3F00">
            <w:pPr>
              <w:pStyle w:val="xCelltext"/>
            </w:pPr>
          </w:p>
        </w:tc>
      </w:tr>
      <w:tr w:rsidR="000B3F00" w14:paraId="5333B3DF" w14:textId="77777777">
        <w:trPr>
          <w:cantSplit/>
          <w:trHeight w:val="238"/>
        </w:trPr>
        <w:tc>
          <w:tcPr>
            <w:tcW w:w="861" w:type="dxa"/>
          </w:tcPr>
          <w:p w14:paraId="6D078520" w14:textId="77777777" w:rsidR="000B3F00" w:rsidRDefault="000B3F00">
            <w:pPr>
              <w:pStyle w:val="xCelltext"/>
            </w:pPr>
          </w:p>
        </w:tc>
        <w:tc>
          <w:tcPr>
            <w:tcW w:w="4448" w:type="dxa"/>
            <w:vMerge/>
            <w:vAlign w:val="center"/>
          </w:tcPr>
          <w:p w14:paraId="548B00F4" w14:textId="77777777" w:rsidR="000B3F00" w:rsidRDefault="000B3F00">
            <w:pPr>
              <w:pStyle w:val="xCelltext"/>
            </w:pPr>
          </w:p>
        </w:tc>
        <w:tc>
          <w:tcPr>
            <w:tcW w:w="4288" w:type="dxa"/>
            <w:gridSpan w:val="2"/>
            <w:vMerge/>
            <w:vAlign w:val="center"/>
          </w:tcPr>
          <w:p w14:paraId="73B072DE" w14:textId="77777777" w:rsidR="000B3F00" w:rsidRDefault="000B3F00">
            <w:pPr>
              <w:pStyle w:val="xCelltext"/>
            </w:pPr>
          </w:p>
        </w:tc>
      </w:tr>
    </w:tbl>
    <w:p w14:paraId="01884A5B"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64993E74" w14:textId="25E740A5" w:rsidR="000B3F00" w:rsidRDefault="00D34F0A">
      <w:pPr>
        <w:pStyle w:val="ArendeRubrik"/>
      </w:pPr>
      <w:r>
        <w:t xml:space="preserve">Reservation mot </w:t>
      </w:r>
      <w:r w:rsidR="0044118E">
        <w:t>finans- och närings</w:t>
      </w:r>
      <w:r>
        <w:t xml:space="preserve">utskottets betänkande nr </w:t>
      </w:r>
      <w:r w:rsidR="0044118E">
        <w:t>2</w:t>
      </w:r>
      <w:r>
        <w:t>/20</w:t>
      </w:r>
      <w:r w:rsidR="0044118E">
        <w:t>19</w:t>
      </w:r>
      <w:r>
        <w:t>-20</w:t>
      </w:r>
      <w:r w:rsidR="0044118E">
        <w:t>20</w:t>
      </w:r>
      <w:r>
        <w:t xml:space="preserve"> gällande </w:t>
      </w:r>
      <w:r w:rsidR="0044118E">
        <w:t>Ålands budget för Åland 2020</w:t>
      </w:r>
    </w:p>
    <w:p w14:paraId="65FDC739" w14:textId="77777777" w:rsidR="000B3F00" w:rsidRDefault="000B3F00">
      <w:pPr>
        <w:pStyle w:val="ANormal"/>
      </w:pPr>
    </w:p>
    <w:p w14:paraId="46E2036F" w14:textId="511EB457" w:rsidR="0044118E" w:rsidRPr="0044118E" w:rsidRDefault="0044118E">
      <w:pPr>
        <w:pStyle w:val="ANormal"/>
        <w:rPr>
          <w:sz w:val="26"/>
          <w:szCs w:val="24"/>
        </w:rPr>
      </w:pPr>
      <w:r w:rsidRPr="0044118E">
        <w:rPr>
          <w:sz w:val="26"/>
          <w:szCs w:val="24"/>
        </w:rPr>
        <w:t>Ny kommunstruktur</w:t>
      </w:r>
    </w:p>
    <w:p w14:paraId="1604C21F" w14:textId="77777777" w:rsidR="0044118E" w:rsidRDefault="0044118E">
      <w:pPr>
        <w:pStyle w:val="ANormal"/>
      </w:pPr>
    </w:p>
    <w:p w14:paraId="7765A4C7" w14:textId="2199F5E5" w:rsidR="0044118E" w:rsidRPr="000C1515" w:rsidRDefault="000C1515">
      <w:pPr>
        <w:pStyle w:val="ANormal"/>
        <w:rPr>
          <w:sz w:val="24"/>
          <w:szCs w:val="24"/>
        </w:rPr>
      </w:pPr>
      <w:r w:rsidRPr="000C1515">
        <w:rPr>
          <w:sz w:val="24"/>
          <w:szCs w:val="24"/>
        </w:rPr>
        <w:t xml:space="preserve">Det är viktigt att en kommunreform genomförs under mandatperioden mot bakgrund av att ett behov av en reform föreligger och att frågan länge utretts. </w:t>
      </w:r>
    </w:p>
    <w:p w14:paraId="353DD11E" w14:textId="77777777" w:rsidR="000C1515" w:rsidRPr="000C1515" w:rsidRDefault="000C1515">
      <w:pPr>
        <w:pStyle w:val="ANormal"/>
        <w:rPr>
          <w:sz w:val="24"/>
          <w:szCs w:val="24"/>
        </w:rPr>
      </w:pPr>
    </w:p>
    <w:p w14:paraId="211A14E6" w14:textId="4ED81D3E" w:rsidR="000C1515" w:rsidRPr="000C1515" w:rsidRDefault="000C1515" w:rsidP="000C1515">
      <w:pPr>
        <w:pStyle w:val="ANormal"/>
        <w:outlineLvl w:val="0"/>
        <w:rPr>
          <w:sz w:val="24"/>
          <w:szCs w:val="24"/>
        </w:rPr>
      </w:pPr>
      <w:r w:rsidRPr="000C1515">
        <w:rPr>
          <w:sz w:val="24"/>
          <w:szCs w:val="24"/>
        </w:rPr>
        <w:t>Med anledning av det ovanstående föreslår vi</w:t>
      </w:r>
    </w:p>
    <w:p w14:paraId="00A07EEB" w14:textId="77777777" w:rsidR="000C1515" w:rsidRPr="000C1515" w:rsidRDefault="000C1515" w:rsidP="000C1515">
      <w:pPr>
        <w:pStyle w:val="Klam"/>
        <w:ind w:left="0"/>
        <w:rPr>
          <w:sz w:val="24"/>
          <w:szCs w:val="24"/>
        </w:rPr>
      </w:pPr>
    </w:p>
    <w:p w14:paraId="669D8B1A" w14:textId="56C485D4" w:rsidR="0044118E" w:rsidRPr="009C4205" w:rsidRDefault="0044118E" w:rsidP="0044118E">
      <w:pPr>
        <w:pStyle w:val="Klam"/>
        <w:rPr>
          <w:sz w:val="24"/>
          <w:szCs w:val="24"/>
        </w:rPr>
      </w:pPr>
      <w:r w:rsidRPr="009C4205">
        <w:rPr>
          <w:sz w:val="24"/>
          <w:szCs w:val="24"/>
        </w:rPr>
        <w:t>att texten under rubriken ”</w:t>
      </w:r>
      <w:r>
        <w:rPr>
          <w:sz w:val="24"/>
          <w:szCs w:val="24"/>
        </w:rPr>
        <w:t>Landskapet och kommunerna</w:t>
      </w:r>
      <w:r w:rsidRPr="009C4205">
        <w:rPr>
          <w:sz w:val="24"/>
          <w:szCs w:val="24"/>
        </w:rPr>
        <w:t xml:space="preserve">” </w:t>
      </w:r>
      <w:r w:rsidR="000C1515">
        <w:rPr>
          <w:sz w:val="24"/>
          <w:szCs w:val="24"/>
        </w:rPr>
        <w:t xml:space="preserve">i betänkandets allmänna motivering </w:t>
      </w:r>
      <w:r w:rsidRPr="009C4205">
        <w:rPr>
          <w:sz w:val="24"/>
          <w:szCs w:val="24"/>
        </w:rPr>
        <w:t>får följande tillägg:</w:t>
      </w:r>
    </w:p>
    <w:p w14:paraId="44EE43AE" w14:textId="77777777" w:rsidR="0044118E" w:rsidRPr="009C4205" w:rsidRDefault="0044118E" w:rsidP="0044118E">
      <w:pPr>
        <w:pStyle w:val="ANormal"/>
        <w:rPr>
          <w:sz w:val="24"/>
          <w:szCs w:val="24"/>
        </w:rPr>
      </w:pPr>
    </w:p>
    <w:p w14:paraId="052A6155" w14:textId="4393D730" w:rsidR="0044118E" w:rsidRDefault="0044118E" w:rsidP="0044118E">
      <w:pPr>
        <w:pStyle w:val="Klam"/>
      </w:pPr>
      <w:r w:rsidRPr="009C4205">
        <w:rPr>
          <w:sz w:val="24"/>
          <w:szCs w:val="24"/>
        </w:rPr>
        <w:t>”</w:t>
      </w:r>
      <w:r w:rsidR="00AB4B33">
        <w:t>Åland och ålänningarna är i behov av en kommunreform. Utskottet uppmanar därför att l</w:t>
      </w:r>
      <w:r w:rsidR="00182160">
        <w:t>andskapsregeringen</w:t>
      </w:r>
      <w:r w:rsidR="00AB4B33">
        <w:t xml:space="preserve"> målinriktat fortsätter kommunreformarbetet och även sätter en tidsgräns när den nya kommunkartan ska vara färdig. Med tanke på den ekonomiska situationen, kommunernas kostnadsutveckling och alla övriga utmaningar som dagens kommuner har att bemästra, är en ansvarsfull målsättning att detta arbete är genomfört under denna mandatperiod (2019-2023). Detta är rimligt, speciellt då ett omfattande utredningsarbete redan finns att tillgå.</w:t>
      </w:r>
    </w:p>
    <w:p w14:paraId="701D9643" w14:textId="77777777" w:rsidR="0044118E" w:rsidRDefault="0044118E" w:rsidP="0044118E">
      <w:pPr>
        <w:pStyle w:val="Klam"/>
      </w:pPr>
    </w:p>
    <w:p w14:paraId="5D30CC82" w14:textId="77777777" w:rsidR="0044118E" w:rsidRDefault="00AB4B33" w:rsidP="0044118E">
      <w:pPr>
        <w:pStyle w:val="Klam"/>
      </w:pPr>
      <w:r>
        <w:t>För att i närtid kunna ge alla ålänningar en rättssäker och jämlik service till alla ålänningar ställs redan idag krav på specialisering, kompetensförsörjning, utvecklingsarbete, investeringar och valfrihet, men vilket försvåras av dagens kommunstruktur. För att exemplifiera vilka ekonomiska konsekvenser dagens kommunstruktur medför kan en direkt jämförelse med Finland göras. I Finland ges år 2020 statsandelar till kommunerna i storleksordningen 1732 €/inv. På Åland ges landskapsandelar motsvarande 1189 €/inv. På Åland erhåller kommunerna således 543 € mindre per invånare. Totalt sett utgör detta totalt 16,3 miljoner € mindre för de åländska kommunerna. De finländska kommunerna sköter å andra sidan om en betydligt mer omfattande verksamhet än de åländska, då de finansierar stora delar av sjukvården och gymnasialstadiet. Skulle detta åligga de åländska kommunerna innebar det kostnader kring 107,9 miljoner €. Samma landskapsandelar och samma ansvarsområden skulle ge ökade intäkter i form av 16,3 miljoner €, men 107,9 miljoner € i ökade kostnader. En nettoutgiftsökning med 91,6 miljoner € eller 3053 €/invånare.</w:t>
      </w:r>
    </w:p>
    <w:p w14:paraId="283BAC25" w14:textId="77777777" w:rsidR="0044118E" w:rsidRDefault="0044118E" w:rsidP="0044118E">
      <w:pPr>
        <w:pStyle w:val="Klam"/>
      </w:pPr>
    </w:p>
    <w:p w14:paraId="7DC80DDD" w14:textId="559E9AE7" w:rsidR="00AB4B33" w:rsidRDefault="00AB4B33" w:rsidP="0044118E">
      <w:pPr>
        <w:pStyle w:val="Klam"/>
      </w:pPr>
      <w:r>
        <w:t xml:space="preserve">Utskottet betonar därför dels med tanke på den ekonomiska situationen för det offentliga Åland, men även med tanke på behovet av strukturella förändringar för att möta framtidens utmaningar, </w:t>
      </w:r>
      <w:r>
        <w:lastRenderedPageBreak/>
        <w:t>att en kommunreform genomförs målinriktat och med en tidtabell.</w:t>
      </w:r>
      <w:r w:rsidR="0044118E">
        <w:t>”</w:t>
      </w:r>
    </w:p>
    <w:p w14:paraId="40A97765" w14:textId="4056319D" w:rsidR="0044118E" w:rsidRDefault="0044118E" w:rsidP="0044118E">
      <w:pPr>
        <w:pStyle w:val="ANormal"/>
      </w:pPr>
      <w:bookmarkStart w:id="1" w:name="_GoBack"/>
    </w:p>
    <w:bookmarkEnd w:id="1"/>
    <w:p w14:paraId="0F42E14C" w14:textId="77777777" w:rsidR="0044118E" w:rsidRPr="009C4205" w:rsidRDefault="0044118E" w:rsidP="0044118E">
      <w:pPr>
        <w:pStyle w:val="ANormal"/>
        <w:rPr>
          <w:sz w:val="24"/>
          <w:szCs w:val="24"/>
        </w:rPr>
      </w:pPr>
    </w:p>
    <w:tbl>
      <w:tblPr>
        <w:tblW w:w="7931" w:type="dxa"/>
        <w:tblCellMar>
          <w:left w:w="0" w:type="dxa"/>
          <w:right w:w="0" w:type="dxa"/>
        </w:tblCellMar>
        <w:tblLook w:val="0000" w:firstRow="0" w:lastRow="0" w:firstColumn="0" w:lastColumn="0" w:noHBand="0" w:noVBand="0"/>
      </w:tblPr>
      <w:tblGrid>
        <w:gridCol w:w="4454"/>
        <w:gridCol w:w="3477"/>
      </w:tblGrid>
      <w:tr w:rsidR="0044118E" w:rsidRPr="009C4205" w14:paraId="406CE694" w14:textId="77777777" w:rsidTr="00185CAE">
        <w:trPr>
          <w:cantSplit/>
        </w:trPr>
        <w:tc>
          <w:tcPr>
            <w:tcW w:w="7931" w:type="dxa"/>
            <w:gridSpan w:val="2"/>
          </w:tcPr>
          <w:p w14:paraId="13C9D13E" w14:textId="221FF007" w:rsidR="0044118E" w:rsidRPr="009C4205" w:rsidRDefault="0044118E" w:rsidP="00185CAE">
            <w:pPr>
              <w:pStyle w:val="ANormal"/>
              <w:keepNext/>
              <w:rPr>
                <w:sz w:val="24"/>
                <w:szCs w:val="24"/>
              </w:rPr>
            </w:pPr>
            <w:r w:rsidRPr="009C4205">
              <w:rPr>
                <w:sz w:val="24"/>
                <w:szCs w:val="24"/>
              </w:rPr>
              <w:t xml:space="preserve">Mariehamn den </w:t>
            </w:r>
            <w:r w:rsidR="00F85761">
              <w:rPr>
                <w:sz w:val="24"/>
                <w:szCs w:val="24"/>
              </w:rPr>
              <w:t>5</w:t>
            </w:r>
            <w:r w:rsidRPr="009C4205">
              <w:rPr>
                <w:sz w:val="24"/>
                <w:szCs w:val="24"/>
              </w:rPr>
              <w:t xml:space="preserve"> december 2019</w:t>
            </w:r>
          </w:p>
        </w:tc>
      </w:tr>
      <w:tr w:rsidR="0044118E" w:rsidRPr="009C4205" w14:paraId="6E69995A" w14:textId="77777777" w:rsidTr="00185CAE">
        <w:tc>
          <w:tcPr>
            <w:tcW w:w="4454" w:type="dxa"/>
            <w:vAlign w:val="bottom"/>
          </w:tcPr>
          <w:p w14:paraId="2CD6984E" w14:textId="77777777" w:rsidR="0044118E" w:rsidRPr="009C4205" w:rsidRDefault="0044118E" w:rsidP="00185CAE">
            <w:pPr>
              <w:pStyle w:val="ANormal"/>
              <w:rPr>
                <w:sz w:val="24"/>
                <w:szCs w:val="24"/>
              </w:rPr>
            </w:pPr>
          </w:p>
          <w:p w14:paraId="3F9DA853" w14:textId="77777777" w:rsidR="0044118E" w:rsidRDefault="0044118E" w:rsidP="00185CAE">
            <w:pPr>
              <w:pStyle w:val="ANormal"/>
              <w:rPr>
                <w:sz w:val="24"/>
                <w:szCs w:val="24"/>
              </w:rPr>
            </w:pPr>
          </w:p>
          <w:p w14:paraId="1E4F56A4" w14:textId="77777777" w:rsidR="0044118E" w:rsidRPr="009C4205" w:rsidRDefault="0044118E" w:rsidP="00185CAE">
            <w:pPr>
              <w:pStyle w:val="ANormal"/>
              <w:rPr>
                <w:sz w:val="24"/>
                <w:szCs w:val="24"/>
              </w:rPr>
            </w:pPr>
          </w:p>
          <w:p w14:paraId="64BB86ED" w14:textId="11B52AFB" w:rsidR="0044118E" w:rsidRPr="009C4205" w:rsidRDefault="0044118E" w:rsidP="00185CAE">
            <w:pPr>
              <w:pStyle w:val="ANormal"/>
              <w:rPr>
                <w:sz w:val="24"/>
                <w:szCs w:val="24"/>
              </w:rPr>
            </w:pPr>
            <w:r>
              <w:rPr>
                <w:sz w:val="24"/>
                <w:szCs w:val="24"/>
              </w:rPr>
              <w:t>John Holmberg</w:t>
            </w:r>
          </w:p>
        </w:tc>
        <w:tc>
          <w:tcPr>
            <w:tcW w:w="3477" w:type="dxa"/>
            <w:vAlign w:val="bottom"/>
          </w:tcPr>
          <w:p w14:paraId="09341887" w14:textId="77777777" w:rsidR="0044118E" w:rsidRPr="009C4205" w:rsidRDefault="0044118E" w:rsidP="00185CAE">
            <w:pPr>
              <w:pStyle w:val="ANormal"/>
              <w:rPr>
                <w:sz w:val="24"/>
                <w:szCs w:val="24"/>
              </w:rPr>
            </w:pPr>
          </w:p>
          <w:p w14:paraId="2E9DB222" w14:textId="77777777" w:rsidR="0044118E" w:rsidRPr="009C4205" w:rsidRDefault="0044118E" w:rsidP="00185CAE">
            <w:pPr>
              <w:pStyle w:val="ANormal"/>
              <w:rPr>
                <w:sz w:val="24"/>
                <w:szCs w:val="24"/>
              </w:rPr>
            </w:pPr>
          </w:p>
          <w:p w14:paraId="72C799F1" w14:textId="1A5CBC79" w:rsidR="0044118E" w:rsidRPr="009C4205" w:rsidRDefault="00F857B8" w:rsidP="00185CAE">
            <w:pPr>
              <w:pStyle w:val="ANormal"/>
              <w:rPr>
                <w:sz w:val="24"/>
                <w:szCs w:val="24"/>
              </w:rPr>
            </w:pPr>
            <w:r>
              <w:rPr>
                <w:sz w:val="24"/>
                <w:szCs w:val="24"/>
              </w:rPr>
              <w:t>Stephan Toivonen</w:t>
            </w:r>
          </w:p>
        </w:tc>
      </w:tr>
    </w:tbl>
    <w:p w14:paraId="642CF3A0" w14:textId="77777777" w:rsidR="0044118E" w:rsidRDefault="0044118E" w:rsidP="0044118E">
      <w:pPr>
        <w:pStyle w:val="ANormal"/>
      </w:pPr>
    </w:p>
    <w:p w14:paraId="45BA184B" w14:textId="77777777" w:rsidR="0044118E" w:rsidRPr="0044118E" w:rsidRDefault="0044118E" w:rsidP="0044118E">
      <w:pPr>
        <w:pStyle w:val="ANormal"/>
      </w:pPr>
    </w:p>
    <w:sectPr w:rsidR="0044118E" w:rsidRPr="0044118E">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82C4" w14:textId="77777777" w:rsidR="008245A9" w:rsidRDefault="008245A9">
      <w:r>
        <w:separator/>
      </w:r>
    </w:p>
  </w:endnote>
  <w:endnote w:type="continuationSeparator" w:id="0">
    <w:p w14:paraId="6E16461D" w14:textId="77777777" w:rsidR="008245A9" w:rsidRDefault="0082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086B"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1C3D"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C7E1" w14:textId="77777777" w:rsidR="008245A9" w:rsidRDefault="008245A9">
      <w:r>
        <w:separator/>
      </w:r>
    </w:p>
  </w:footnote>
  <w:footnote w:type="continuationSeparator" w:id="0">
    <w:p w14:paraId="79009A91" w14:textId="77777777" w:rsidR="008245A9" w:rsidRDefault="0082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F032"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C1515">
      <w:rPr>
        <w:rStyle w:val="Sidnummer"/>
        <w:noProof/>
      </w:rPr>
      <w:t>2</w:t>
    </w:r>
    <w:r>
      <w:rPr>
        <w:rStyle w:val="Sidnummer"/>
      </w:rPr>
      <w:fldChar w:fldCharType="end"/>
    </w:r>
  </w:p>
  <w:p w14:paraId="23608D06"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C95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7A7"/>
    <w:rsid w:val="00030472"/>
    <w:rsid w:val="00045708"/>
    <w:rsid w:val="00050F1E"/>
    <w:rsid w:val="000B3F00"/>
    <w:rsid w:val="000C1515"/>
    <w:rsid w:val="001120C3"/>
    <w:rsid w:val="0012085E"/>
    <w:rsid w:val="00182160"/>
    <w:rsid w:val="002D7F1A"/>
    <w:rsid w:val="002F50E4"/>
    <w:rsid w:val="003011C1"/>
    <w:rsid w:val="00376F07"/>
    <w:rsid w:val="00377141"/>
    <w:rsid w:val="00381DC7"/>
    <w:rsid w:val="0038300C"/>
    <w:rsid w:val="0044118E"/>
    <w:rsid w:val="00663FC5"/>
    <w:rsid w:val="008245A9"/>
    <w:rsid w:val="0084359B"/>
    <w:rsid w:val="008C0EEE"/>
    <w:rsid w:val="009044DF"/>
    <w:rsid w:val="00935A18"/>
    <w:rsid w:val="0094413E"/>
    <w:rsid w:val="009D01AC"/>
    <w:rsid w:val="00A16986"/>
    <w:rsid w:val="00A257A7"/>
    <w:rsid w:val="00A716AD"/>
    <w:rsid w:val="00AB47CC"/>
    <w:rsid w:val="00AB4B33"/>
    <w:rsid w:val="00AF314A"/>
    <w:rsid w:val="00BB7311"/>
    <w:rsid w:val="00BD0794"/>
    <w:rsid w:val="00C6639B"/>
    <w:rsid w:val="00D0061B"/>
    <w:rsid w:val="00D10E5F"/>
    <w:rsid w:val="00D3286C"/>
    <w:rsid w:val="00D34F0A"/>
    <w:rsid w:val="00E100E9"/>
    <w:rsid w:val="00E131E0"/>
    <w:rsid w:val="00EB5F02"/>
    <w:rsid w:val="00F85761"/>
    <w:rsid w:val="00F857B8"/>
    <w:rsid w:val="00FE6736"/>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C2E9E9"/>
  <w15:docId w15:val="{586262BE-40F4-4CFD-874A-6B9CAC6F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410</Words>
  <Characters>2175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Emma Dahlén</cp:lastModifiedBy>
  <cp:revision>8</cp:revision>
  <cp:lastPrinted>2019-12-05T12:48:00Z</cp:lastPrinted>
  <dcterms:created xsi:type="dcterms:W3CDTF">2019-12-04T12:44:00Z</dcterms:created>
  <dcterms:modified xsi:type="dcterms:W3CDTF">2019-12-05T12:48:00Z</dcterms:modified>
</cp:coreProperties>
</file>