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577410">
            <w:pPr>
              <w:pStyle w:val="xLedtext"/>
              <w:rPr>
                <w:noProof/>
              </w:rPr>
            </w:pPr>
            <w:bookmarkStart w:id="0" w:name="_top"/>
            <w:bookmarkStart w:id="1" w:name="_GoBack"/>
            <w:bookmarkEnd w:id="0"/>
            <w:bookmarkEnd w:id="1"/>
            <w:r>
              <w:rPr>
                <w:noProof/>
                <w:lang w:val="sv-FI" w:eastAsia="sv-FI"/>
              </w:rPr>
              <w:drawing>
                <wp:inline distT="0" distB="0" distL="0" distR="0">
                  <wp:extent cx="482600" cy="683895"/>
                  <wp:effectExtent l="0" t="0" r="0"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600" cy="683895"/>
                          </a:xfrm>
                          <a:prstGeom prst="rect">
                            <a:avLst/>
                          </a:prstGeom>
                          <a:noFill/>
                          <a:ln>
                            <a:noFill/>
                          </a:ln>
                        </pic:spPr>
                      </pic:pic>
                    </a:graphicData>
                  </a:graphic>
                </wp:inline>
              </w:drawing>
            </w:r>
          </w:p>
        </w:tc>
        <w:tc>
          <w:tcPr>
            <w:tcW w:w="8736" w:type="dxa"/>
            <w:gridSpan w:val="3"/>
            <w:vAlign w:val="bottom"/>
          </w:tcPr>
          <w:p w:rsidR="002401D0" w:rsidRDefault="00577410">
            <w:pPr>
              <w:pStyle w:val="xMellanrum"/>
            </w:pPr>
            <w:r>
              <w:rPr>
                <w:noProof/>
                <w:lang w:val="sv-FI" w:eastAsia="sv-FI"/>
              </w:rPr>
              <w:drawing>
                <wp:inline distT="0" distB="0" distL="0" distR="0">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837646">
            <w:pPr>
              <w:pStyle w:val="xDokTypNr"/>
            </w:pPr>
            <w:r>
              <w:t xml:space="preserve">BETÄNKANDE nr </w:t>
            </w:r>
            <w:r w:rsidR="00837646">
              <w:t>25</w:t>
            </w:r>
            <w:r>
              <w:t>/20</w:t>
            </w:r>
            <w:r w:rsidR="00723B93">
              <w:t>1</w:t>
            </w:r>
            <w:r w:rsidR="00311ED4">
              <w:t>8</w:t>
            </w:r>
            <w:r w:rsidR="0015337C">
              <w:t>-20</w:t>
            </w:r>
            <w:r w:rsidR="009F7CE2">
              <w:t>1</w:t>
            </w:r>
            <w:r w:rsidR="00311ED4">
              <w:t>9</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28660F">
            <w:pPr>
              <w:pStyle w:val="xAvsandare2"/>
            </w:pPr>
            <w:r>
              <w:t>Finans- och närings</w:t>
            </w:r>
            <w:r w:rsidR="002401D0">
              <w:t>utskottet</w:t>
            </w:r>
          </w:p>
        </w:tc>
        <w:tc>
          <w:tcPr>
            <w:tcW w:w="1725" w:type="dxa"/>
            <w:vAlign w:val="center"/>
          </w:tcPr>
          <w:p w:rsidR="002401D0" w:rsidRDefault="002401D0" w:rsidP="00E751B4">
            <w:pPr>
              <w:pStyle w:val="xDatum1"/>
            </w:pPr>
            <w:r>
              <w:t>20</w:t>
            </w:r>
            <w:r w:rsidR="00B32E91">
              <w:t>1</w:t>
            </w:r>
            <w:r w:rsidR="00311ED4">
              <w:t>9</w:t>
            </w:r>
            <w:r w:rsidR="0028660F">
              <w:t>-0</w:t>
            </w:r>
            <w:r w:rsidR="00E34A24">
              <w:t>9</w:t>
            </w:r>
            <w:r w:rsidR="0028660F">
              <w:t>-</w:t>
            </w:r>
            <w:r w:rsidR="00E751B4">
              <w:t>17</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28660F">
      <w:pPr>
        <w:pStyle w:val="ArendeOverRubrik"/>
      </w:pPr>
      <w:r>
        <w:lastRenderedPageBreak/>
        <w:t>Finans- och närings</w:t>
      </w:r>
      <w:r w:rsidR="002401D0">
        <w:t>utskottets betänkande</w:t>
      </w:r>
    </w:p>
    <w:p w:rsidR="002401D0" w:rsidRDefault="0028660F" w:rsidP="0028660F">
      <w:pPr>
        <w:pStyle w:val="ArendeRubrik"/>
        <w:ind w:right="-1248"/>
      </w:pPr>
      <w:r>
        <w:t>REDOGÖRELSE ÖVER ÅRSREDOVISNING PER 31.12.201</w:t>
      </w:r>
      <w:r w:rsidR="00276D4F">
        <w:t>8</w:t>
      </w:r>
    </w:p>
    <w:p w:rsidR="002401D0" w:rsidRDefault="00EF2D73">
      <w:pPr>
        <w:pStyle w:val="ArendeUnderRubrik"/>
      </w:pPr>
      <w:hyperlink r:id="rId12" w:history="1">
        <w:r w:rsidR="0028660F" w:rsidRPr="000C1885">
          <w:rPr>
            <w:rStyle w:val="Hyperlnk"/>
          </w:rPr>
          <w:t>Landskapsregeringens redogörelse RS 2/201</w:t>
        </w:r>
        <w:r w:rsidR="009D0715" w:rsidRPr="000C1885">
          <w:rPr>
            <w:rStyle w:val="Hyperlnk"/>
          </w:rPr>
          <w:t>8</w:t>
        </w:r>
        <w:r w:rsidR="0028660F" w:rsidRPr="000C1885">
          <w:rPr>
            <w:rStyle w:val="Hyperlnk"/>
          </w:rPr>
          <w:t>-201</w:t>
        </w:r>
        <w:r w:rsidR="009D0715" w:rsidRPr="000C1885">
          <w:rPr>
            <w:rStyle w:val="Hyperlnk"/>
          </w:rPr>
          <w:t>9</w:t>
        </w:r>
      </w:hyperlink>
    </w:p>
    <w:p w:rsidR="002401D0" w:rsidRDefault="002401D0">
      <w:pPr>
        <w:pStyle w:val="ANormal"/>
      </w:pPr>
    </w:p>
    <w:p w:rsidR="002401D0" w:rsidRDefault="002401D0">
      <w:pPr>
        <w:pStyle w:val="Innehll1"/>
      </w:pPr>
      <w:r>
        <w:t>INNEHÅLL</w:t>
      </w:r>
    </w:p>
    <w:p w:rsidR="00E751B4"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9623963" w:history="1">
        <w:r w:rsidR="00E751B4" w:rsidRPr="00E34239">
          <w:rPr>
            <w:rStyle w:val="Hyperlnk"/>
          </w:rPr>
          <w:t>Sammanfattning</w:t>
        </w:r>
        <w:r w:rsidR="00E751B4">
          <w:rPr>
            <w:webHidden/>
          </w:rPr>
          <w:tab/>
        </w:r>
        <w:r w:rsidR="00E751B4">
          <w:rPr>
            <w:webHidden/>
          </w:rPr>
          <w:fldChar w:fldCharType="begin"/>
        </w:r>
        <w:r w:rsidR="00E751B4">
          <w:rPr>
            <w:webHidden/>
          </w:rPr>
          <w:instrText xml:space="preserve"> PAGEREF _Toc19623963 \h </w:instrText>
        </w:r>
        <w:r w:rsidR="00E751B4">
          <w:rPr>
            <w:webHidden/>
          </w:rPr>
        </w:r>
        <w:r w:rsidR="00E751B4">
          <w:rPr>
            <w:webHidden/>
          </w:rPr>
          <w:fldChar w:fldCharType="separate"/>
        </w:r>
        <w:r w:rsidR="00EF2D73">
          <w:rPr>
            <w:webHidden/>
          </w:rPr>
          <w:t>1</w:t>
        </w:r>
        <w:r w:rsidR="00E751B4">
          <w:rPr>
            <w:webHidden/>
          </w:rPr>
          <w:fldChar w:fldCharType="end"/>
        </w:r>
      </w:hyperlink>
    </w:p>
    <w:p w:rsidR="00E751B4" w:rsidRDefault="00EF2D73">
      <w:pPr>
        <w:pStyle w:val="Innehll2"/>
        <w:rPr>
          <w:rFonts w:asciiTheme="minorHAnsi" w:eastAsiaTheme="minorEastAsia" w:hAnsiTheme="minorHAnsi" w:cstheme="minorBidi"/>
          <w:sz w:val="22"/>
          <w:szCs w:val="22"/>
          <w:lang w:val="sv-FI" w:eastAsia="sv-FI"/>
        </w:rPr>
      </w:pPr>
      <w:hyperlink w:anchor="_Toc19623964" w:history="1">
        <w:r w:rsidR="00E751B4" w:rsidRPr="00E34239">
          <w:rPr>
            <w:rStyle w:val="Hyperlnk"/>
          </w:rPr>
          <w:t>Landskapsregeringens förslag</w:t>
        </w:r>
        <w:r w:rsidR="00E751B4">
          <w:rPr>
            <w:webHidden/>
          </w:rPr>
          <w:tab/>
        </w:r>
        <w:r w:rsidR="00E751B4">
          <w:rPr>
            <w:webHidden/>
          </w:rPr>
          <w:fldChar w:fldCharType="begin"/>
        </w:r>
        <w:r w:rsidR="00E751B4">
          <w:rPr>
            <w:webHidden/>
          </w:rPr>
          <w:instrText xml:space="preserve"> PAGEREF _Toc19623964 \h </w:instrText>
        </w:r>
        <w:r w:rsidR="00E751B4">
          <w:rPr>
            <w:webHidden/>
          </w:rPr>
        </w:r>
        <w:r w:rsidR="00E751B4">
          <w:rPr>
            <w:webHidden/>
          </w:rPr>
          <w:fldChar w:fldCharType="separate"/>
        </w:r>
        <w:r>
          <w:rPr>
            <w:webHidden/>
          </w:rPr>
          <w:t>1</w:t>
        </w:r>
        <w:r w:rsidR="00E751B4">
          <w:rPr>
            <w:webHidden/>
          </w:rPr>
          <w:fldChar w:fldCharType="end"/>
        </w:r>
      </w:hyperlink>
    </w:p>
    <w:p w:rsidR="00E751B4" w:rsidRDefault="00EF2D73">
      <w:pPr>
        <w:pStyle w:val="Innehll2"/>
        <w:rPr>
          <w:rFonts w:asciiTheme="minorHAnsi" w:eastAsiaTheme="minorEastAsia" w:hAnsiTheme="minorHAnsi" w:cstheme="minorBidi"/>
          <w:sz w:val="22"/>
          <w:szCs w:val="22"/>
          <w:lang w:val="sv-FI" w:eastAsia="sv-FI"/>
        </w:rPr>
      </w:pPr>
      <w:hyperlink w:anchor="_Toc19623965" w:history="1">
        <w:r w:rsidR="00E751B4" w:rsidRPr="00E34239">
          <w:rPr>
            <w:rStyle w:val="Hyperlnk"/>
          </w:rPr>
          <w:t>Utskottets förslag</w:t>
        </w:r>
        <w:r w:rsidR="00E751B4">
          <w:rPr>
            <w:webHidden/>
          </w:rPr>
          <w:tab/>
        </w:r>
        <w:r w:rsidR="00E751B4">
          <w:rPr>
            <w:webHidden/>
          </w:rPr>
          <w:fldChar w:fldCharType="begin"/>
        </w:r>
        <w:r w:rsidR="00E751B4">
          <w:rPr>
            <w:webHidden/>
          </w:rPr>
          <w:instrText xml:space="preserve"> PAGEREF _Toc19623965 \h </w:instrText>
        </w:r>
        <w:r w:rsidR="00E751B4">
          <w:rPr>
            <w:webHidden/>
          </w:rPr>
        </w:r>
        <w:r w:rsidR="00E751B4">
          <w:rPr>
            <w:webHidden/>
          </w:rPr>
          <w:fldChar w:fldCharType="separate"/>
        </w:r>
        <w:r>
          <w:rPr>
            <w:webHidden/>
          </w:rPr>
          <w:t>1</w:t>
        </w:r>
        <w:r w:rsidR="00E751B4">
          <w:rPr>
            <w:webHidden/>
          </w:rPr>
          <w:fldChar w:fldCharType="end"/>
        </w:r>
      </w:hyperlink>
    </w:p>
    <w:p w:rsidR="00E751B4" w:rsidRDefault="00EF2D73">
      <w:pPr>
        <w:pStyle w:val="Innehll1"/>
        <w:rPr>
          <w:rFonts w:asciiTheme="minorHAnsi" w:eastAsiaTheme="minorEastAsia" w:hAnsiTheme="minorHAnsi" w:cstheme="minorBidi"/>
          <w:sz w:val="22"/>
          <w:szCs w:val="22"/>
          <w:lang w:val="sv-FI" w:eastAsia="sv-FI"/>
        </w:rPr>
      </w:pPr>
      <w:hyperlink w:anchor="_Toc19623966" w:history="1">
        <w:r w:rsidR="00E751B4" w:rsidRPr="00E34239">
          <w:rPr>
            <w:rStyle w:val="Hyperlnk"/>
          </w:rPr>
          <w:t>Utskottets synpunkter</w:t>
        </w:r>
        <w:r w:rsidR="00E751B4">
          <w:rPr>
            <w:webHidden/>
          </w:rPr>
          <w:tab/>
        </w:r>
        <w:r w:rsidR="00E751B4">
          <w:rPr>
            <w:webHidden/>
          </w:rPr>
          <w:fldChar w:fldCharType="begin"/>
        </w:r>
        <w:r w:rsidR="00E751B4">
          <w:rPr>
            <w:webHidden/>
          </w:rPr>
          <w:instrText xml:space="preserve"> PAGEREF _Toc19623966 \h </w:instrText>
        </w:r>
        <w:r w:rsidR="00E751B4">
          <w:rPr>
            <w:webHidden/>
          </w:rPr>
        </w:r>
        <w:r w:rsidR="00E751B4">
          <w:rPr>
            <w:webHidden/>
          </w:rPr>
          <w:fldChar w:fldCharType="separate"/>
        </w:r>
        <w:r>
          <w:rPr>
            <w:webHidden/>
          </w:rPr>
          <w:t>1</w:t>
        </w:r>
        <w:r w:rsidR="00E751B4">
          <w:rPr>
            <w:webHidden/>
          </w:rPr>
          <w:fldChar w:fldCharType="end"/>
        </w:r>
      </w:hyperlink>
    </w:p>
    <w:p w:rsidR="00E751B4" w:rsidRDefault="00EF2D73">
      <w:pPr>
        <w:pStyle w:val="Innehll3"/>
        <w:rPr>
          <w:rFonts w:asciiTheme="minorHAnsi" w:eastAsiaTheme="minorEastAsia" w:hAnsiTheme="minorHAnsi" w:cstheme="minorBidi"/>
          <w:sz w:val="22"/>
          <w:szCs w:val="22"/>
          <w:lang w:val="sv-FI" w:eastAsia="sv-FI"/>
        </w:rPr>
      </w:pPr>
      <w:hyperlink w:anchor="_Toc19623967" w:history="1">
        <w:r w:rsidR="00E751B4" w:rsidRPr="00E34239">
          <w:rPr>
            <w:rStyle w:val="Hyperlnk"/>
          </w:rPr>
          <w:t>Resultatutvecklingen</w:t>
        </w:r>
        <w:r w:rsidR="00E751B4">
          <w:rPr>
            <w:webHidden/>
          </w:rPr>
          <w:tab/>
        </w:r>
        <w:r w:rsidR="00E751B4">
          <w:rPr>
            <w:webHidden/>
          </w:rPr>
          <w:fldChar w:fldCharType="begin"/>
        </w:r>
        <w:r w:rsidR="00E751B4">
          <w:rPr>
            <w:webHidden/>
          </w:rPr>
          <w:instrText xml:space="preserve"> PAGEREF _Toc19623967 \h </w:instrText>
        </w:r>
        <w:r w:rsidR="00E751B4">
          <w:rPr>
            <w:webHidden/>
          </w:rPr>
        </w:r>
        <w:r w:rsidR="00E751B4">
          <w:rPr>
            <w:webHidden/>
          </w:rPr>
          <w:fldChar w:fldCharType="separate"/>
        </w:r>
        <w:r>
          <w:rPr>
            <w:webHidden/>
          </w:rPr>
          <w:t>2</w:t>
        </w:r>
        <w:r w:rsidR="00E751B4">
          <w:rPr>
            <w:webHidden/>
          </w:rPr>
          <w:fldChar w:fldCharType="end"/>
        </w:r>
      </w:hyperlink>
    </w:p>
    <w:p w:rsidR="00E751B4" w:rsidRDefault="00EF2D73">
      <w:pPr>
        <w:pStyle w:val="Innehll3"/>
        <w:rPr>
          <w:rFonts w:asciiTheme="minorHAnsi" w:eastAsiaTheme="minorEastAsia" w:hAnsiTheme="minorHAnsi" w:cstheme="minorBidi"/>
          <w:sz w:val="22"/>
          <w:szCs w:val="22"/>
          <w:lang w:val="sv-FI" w:eastAsia="sv-FI"/>
        </w:rPr>
      </w:pPr>
      <w:hyperlink w:anchor="_Toc19623968" w:history="1">
        <w:r w:rsidR="00E751B4" w:rsidRPr="00E34239">
          <w:rPr>
            <w:rStyle w:val="Hyperlnk"/>
          </w:rPr>
          <w:t>Skatteintäkterna</w:t>
        </w:r>
        <w:r w:rsidR="00E751B4">
          <w:rPr>
            <w:webHidden/>
          </w:rPr>
          <w:tab/>
        </w:r>
        <w:r w:rsidR="00E751B4">
          <w:rPr>
            <w:webHidden/>
          </w:rPr>
          <w:fldChar w:fldCharType="begin"/>
        </w:r>
        <w:r w:rsidR="00E751B4">
          <w:rPr>
            <w:webHidden/>
          </w:rPr>
          <w:instrText xml:space="preserve"> PAGEREF _Toc19623968 \h </w:instrText>
        </w:r>
        <w:r w:rsidR="00E751B4">
          <w:rPr>
            <w:webHidden/>
          </w:rPr>
        </w:r>
        <w:r w:rsidR="00E751B4">
          <w:rPr>
            <w:webHidden/>
          </w:rPr>
          <w:fldChar w:fldCharType="separate"/>
        </w:r>
        <w:r>
          <w:rPr>
            <w:webHidden/>
          </w:rPr>
          <w:t>2</w:t>
        </w:r>
        <w:r w:rsidR="00E751B4">
          <w:rPr>
            <w:webHidden/>
          </w:rPr>
          <w:fldChar w:fldCharType="end"/>
        </w:r>
      </w:hyperlink>
    </w:p>
    <w:p w:rsidR="00E751B4" w:rsidRDefault="00EF2D73">
      <w:pPr>
        <w:pStyle w:val="Innehll3"/>
        <w:rPr>
          <w:rFonts w:asciiTheme="minorHAnsi" w:eastAsiaTheme="minorEastAsia" w:hAnsiTheme="minorHAnsi" w:cstheme="minorBidi"/>
          <w:sz w:val="22"/>
          <w:szCs w:val="22"/>
          <w:lang w:val="sv-FI" w:eastAsia="sv-FI"/>
        </w:rPr>
      </w:pPr>
      <w:hyperlink w:anchor="_Toc19623969" w:history="1">
        <w:r w:rsidR="00E751B4" w:rsidRPr="00E34239">
          <w:rPr>
            <w:rStyle w:val="Hyperlnk"/>
          </w:rPr>
          <w:t>Pensionskostnaderna</w:t>
        </w:r>
        <w:r w:rsidR="00E751B4">
          <w:rPr>
            <w:webHidden/>
          </w:rPr>
          <w:tab/>
        </w:r>
        <w:r w:rsidR="00E751B4">
          <w:rPr>
            <w:webHidden/>
          </w:rPr>
          <w:fldChar w:fldCharType="begin"/>
        </w:r>
        <w:r w:rsidR="00E751B4">
          <w:rPr>
            <w:webHidden/>
          </w:rPr>
          <w:instrText xml:space="preserve"> PAGEREF _Toc19623969 \h </w:instrText>
        </w:r>
        <w:r w:rsidR="00E751B4">
          <w:rPr>
            <w:webHidden/>
          </w:rPr>
        </w:r>
        <w:r w:rsidR="00E751B4">
          <w:rPr>
            <w:webHidden/>
          </w:rPr>
          <w:fldChar w:fldCharType="separate"/>
        </w:r>
        <w:r>
          <w:rPr>
            <w:webHidden/>
          </w:rPr>
          <w:t>2</w:t>
        </w:r>
        <w:r w:rsidR="00E751B4">
          <w:rPr>
            <w:webHidden/>
          </w:rPr>
          <w:fldChar w:fldCharType="end"/>
        </w:r>
      </w:hyperlink>
    </w:p>
    <w:p w:rsidR="00E751B4" w:rsidRDefault="00EF2D73">
      <w:pPr>
        <w:pStyle w:val="Innehll3"/>
        <w:rPr>
          <w:rFonts w:asciiTheme="minorHAnsi" w:eastAsiaTheme="minorEastAsia" w:hAnsiTheme="minorHAnsi" w:cstheme="minorBidi"/>
          <w:sz w:val="22"/>
          <w:szCs w:val="22"/>
          <w:lang w:val="sv-FI" w:eastAsia="sv-FI"/>
        </w:rPr>
      </w:pPr>
      <w:hyperlink w:anchor="_Toc19623970" w:history="1">
        <w:r w:rsidR="00E751B4" w:rsidRPr="00E34239">
          <w:rPr>
            <w:rStyle w:val="Hyperlnk"/>
          </w:rPr>
          <w:t>Budgetens förverkligande</w:t>
        </w:r>
        <w:r w:rsidR="00E751B4">
          <w:rPr>
            <w:webHidden/>
          </w:rPr>
          <w:tab/>
        </w:r>
        <w:r w:rsidR="00E751B4">
          <w:rPr>
            <w:webHidden/>
          </w:rPr>
          <w:fldChar w:fldCharType="begin"/>
        </w:r>
        <w:r w:rsidR="00E751B4">
          <w:rPr>
            <w:webHidden/>
          </w:rPr>
          <w:instrText xml:space="preserve"> PAGEREF _Toc19623970 \h </w:instrText>
        </w:r>
        <w:r w:rsidR="00E751B4">
          <w:rPr>
            <w:webHidden/>
          </w:rPr>
        </w:r>
        <w:r w:rsidR="00E751B4">
          <w:rPr>
            <w:webHidden/>
          </w:rPr>
          <w:fldChar w:fldCharType="separate"/>
        </w:r>
        <w:r>
          <w:rPr>
            <w:webHidden/>
          </w:rPr>
          <w:t>2</w:t>
        </w:r>
        <w:r w:rsidR="00E751B4">
          <w:rPr>
            <w:webHidden/>
          </w:rPr>
          <w:fldChar w:fldCharType="end"/>
        </w:r>
      </w:hyperlink>
    </w:p>
    <w:p w:rsidR="00E751B4" w:rsidRDefault="00EF2D73">
      <w:pPr>
        <w:pStyle w:val="Innehll3"/>
        <w:rPr>
          <w:rFonts w:asciiTheme="minorHAnsi" w:eastAsiaTheme="minorEastAsia" w:hAnsiTheme="minorHAnsi" w:cstheme="minorBidi"/>
          <w:sz w:val="22"/>
          <w:szCs w:val="22"/>
          <w:lang w:val="sv-FI" w:eastAsia="sv-FI"/>
        </w:rPr>
      </w:pPr>
      <w:hyperlink w:anchor="_Toc19623971" w:history="1">
        <w:r w:rsidR="00E751B4" w:rsidRPr="00E34239">
          <w:rPr>
            <w:rStyle w:val="Hyperlnk"/>
          </w:rPr>
          <w:t>Landskapets likviditet</w:t>
        </w:r>
        <w:r w:rsidR="00E751B4">
          <w:rPr>
            <w:webHidden/>
          </w:rPr>
          <w:tab/>
        </w:r>
        <w:r w:rsidR="00E751B4">
          <w:rPr>
            <w:webHidden/>
          </w:rPr>
          <w:fldChar w:fldCharType="begin"/>
        </w:r>
        <w:r w:rsidR="00E751B4">
          <w:rPr>
            <w:webHidden/>
          </w:rPr>
          <w:instrText xml:space="preserve"> PAGEREF _Toc19623971 \h </w:instrText>
        </w:r>
        <w:r w:rsidR="00E751B4">
          <w:rPr>
            <w:webHidden/>
          </w:rPr>
        </w:r>
        <w:r w:rsidR="00E751B4">
          <w:rPr>
            <w:webHidden/>
          </w:rPr>
          <w:fldChar w:fldCharType="separate"/>
        </w:r>
        <w:r>
          <w:rPr>
            <w:webHidden/>
          </w:rPr>
          <w:t>3</w:t>
        </w:r>
        <w:r w:rsidR="00E751B4">
          <w:rPr>
            <w:webHidden/>
          </w:rPr>
          <w:fldChar w:fldCharType="end"/>
        </w:r>
      </w:hyperlink>
    </w:p>
    <w:p w:rsidR="00E751B4" w:rsidRDefault="00EF2D73">
      <w:pPr>
        <w:pStyle w:val="Innehll3"/>
        <w:rPr>
          <w:rFonts w:asciiTheme="minorHAnsi" w:eastAsiaTheme="minorEastAsia" w:hAnsiTheme="minorHAnsi" w:cstheme="minorBidi"/>
          <w:sz w:val="22"/>
          <w:szCs w:val="22"/>
          <w:lang w:val="sv-FI" w:eastAsia="sv-FI"/>
        </w:rPr>
      </w:pPr>
      <w:hyperlink w:anchor="_Toc19623972" w:history="1">
        <w:r w:rsidR="00E751B4" w:rsidRPr="00E34239">
          <w:rPr>
            <w:rStyle w:val="Hyperlnk"/>
          </w:rPr>
          <w:t>PAF-snurran</w:t>
        </w:r>
        <w:r w:rsidR="00E751B4">
          <w:rPr>
            <w:webHidden/>
          </w:rPr>
          <w:tab/>
        </w:r>
        <w:r w:rsidR="00E751B4">
          <w:rPr>
            <w:webHidden/>
          </w:rPr>
          <w:fldChar w:fldCharType="begin"/>
        </w:r>
        <w:r w:rsidR="00E751B4">
          <w:rPr>
            <w:webHidden/>
          </w:rPr>
          <w:instrText xml:space="preserve"> PAGEREF _Toc19623972 \h </w:instrText>
        </w:r>
        <w:r w:rsidR="00E751B4">
          <w:rPr>
            <w:webHidden/>
          </w:rPr>
        </w:r>
        <w:r w:rsidR="00E751B4">
          <w:rPr>
            <w:webHidden/>
          </w:rPr>
          <w:fldChar w:fldCharType="separate"/>
        </w:r>
        <w:r>
          <w:rPr>
            <w:webHidden/>
          </w:rPr>
          <w:t>3</w:t>
        </w:r>
        <w:r w:rsidR="00E751B4">
          <w:rPr>
            <w:webHidden/>
          </w:rPr>
          <w:fldChar w:fldCharType="end"/>
        </w:r>
      </w:hyperlink>
    </w:p>
    <w:p w:rsidR="00E751B4" w:rsidRDefault="00EF2D73">
      <w:pPr>
        <w:pStyle w:val="Innehll3"/>
        <w:rPr>
          <w:rFonts w:asciiTheme="minorHAnsi" w:eastAsiaTheme="minorEastAsia" w:hAnsiTheme="minorHAnsi" w:cstheme="minorBidi"/>
          <w:sz w:val="22"/>
          <w:szCs w:val="22"/>
          <w:lang w:val="sv-FI" w:eastAsia="sv-FI"/>
        </w:rPr>
      </w:pPr>
      <w:hyperlink w:anchor="_Toc19623973" w:history="1">
        <w:r w:rsidR="00E751B4" w:rsidRPr="00E34239">
          <w:rPr>
            <w:rStyle w:val="Hyperlnk"/>
          </w:rPr>
          <w:t>Fastighetsverket</w:t>
        </w:r>
        <w:r w:rsidR="00E751B4">
          <w:rPr>
            <w:webHidden/>
          </w:rPr>
          <w:tab/>
        </w:r>
        <w:r w:rsidR="00E751B4">
          <w:rPr>
            <w:webHidden/>
          </w:rPr>
          <w:fldChar w:fldCharType="begin"/>
        </w:r>
        <w:r w:rsidR="00E751B4">
          <w:rPr>
            <w:webHidden/>
          </w:rPr>
          <w:instrText xml:space="preserve"> PAGEREF _Toc19623973 \h </w:instrText>
        </w:r>
        <w:r w:rsidR="00E751B4">
          <w:rPr>
            <w:webHidden/>
          </w:rPr>
        </w:r>
        <w:r w:rsidR="00E751B4">
          <w:rPr>
            <w:webHidden/>
          </w:rPr>
          <w:fldChar w:fldCharType="separate"/>
        </w:r>
        <w:r>
          <w:rPr>
            <w:webHidden/>
          </w:rPr>
          <w:t>3</w:t>
        </w:r>
        <w:r w:rsidR="00E751B4">
          <w:rPr>
            <w:webHidden/>
          </w:rPr>
          <w:fldChar w:fldCharType="end"/>
        </w:r>
      </w:hyperlink>
    </w:p>
    <w:p w:rsidR="00E751B4" w:rsidRDefault="00EF2D73">
      <w:pPr>
        <w:pStyle w:val="Innehll3"/>
        <w:rPr>
          <w:rFonts w:asciiTheme="minorHAnsi" w:eastAsiaTheme="minorEastAsia" w:hAnsiTheme="minorHAnsi" w:cstheme="minorBidi"/>
          <w:sz w:val="22"/>
          <w:szCs w:val="22"/>
          <w:lang w:val="sv-FI" w:eastAsia="sv-FI"/>
        </w:rPr>
      </w:pPr>
      <w:hyperlink w:anchor="_Toc19623974" w:history="1">
        <w:r w:rsidR="00E751B4" w:rsidRPr="00E34239">
          <w:rPr>
            <w:rStyle w:val="Hyperlnk"/>
          </w:rPr>
          <w:t>Landskapets bolag</w:t>
        </w:r>
        <w:r w:rsidR="00E751B4">
          <w:rPr>
            <w:webHidden/>
          </w:rPr>
          <w:tab/>
        </w:r>
        <w:r w:rsidR="00E751B4">
          <w:rPr>
            <w:webHidden/>
          </w:rPr>
          <w:fldChar w:fldCharType="begin"/>
        </w:r>
        <w:r w:rsidR="00E751B4">
          <w:rPr>
            <w:webHidden/>
          </w:rPr>
          <w:instrText xml:space="preserve"> PAGEREF _Toc19623974 \h </w:instrText>
        </w:r>
        <w:r w:rsidR="00E751B4">
          <w:rPr>
            <w:webHidden/>
          </w:rPr>
        </w:r>
        <w:r w:rsidR="00E751B4">
          <w:rPr>
            <w:webHidden/>
          </w:rPr>
          <w:fldChar w:fldCharType="separate"/>
        </w:r>
        <w:r>
          <w:rPr>
            <w:webHidden/>
          </w:rPr>
          <w:t>4</w:t>
        </w:r>
        <w:r w:rsidR="00E751B4">
          <w:rPr>
            <w:webHidden/>
          </w:rPr>
          <w:fldChar w:fldCharType="end"/>
        </w:r>
      </w:hyperlink>
    </w:p>
    <w:p w:rsidR="00E751B4" w:rsidRDefault="00EF2D73">
      <w:pPr>
        <w:pStyle w:val="Innehll3"/>
        <w:rPr>
          <w:rFonts w:asciiTheme="minorHAnsi" w:eastAsiaTheme="minorEastAsia" w:hAnsiTheme="minorHAnsi" w:cstheme="minorBidi"/>
          <w:sz w:val="22"/>
          <w:szCs w:val="22"/>
          <w:lang w:val="sv-FI" w:eastAsia="sv-FI"/>
        </w:rPr>
      </w:pPr>
      <w:hyperlink w:anchor="_Toc19623975" w:history="1">
        <w:r w:rsidR="00E751B4" w:rsidRPr="00E34239">
          <w:rPr>
            <w:rStyle w:val="Hyperlnk"/>
          </w:rPr>
          <w:t>Årsredovisningens överskådlighet</w:t>
        </w:r>
        <w:r w:rsidR="00E751B4">
          <w:rPr>
            <w:webHidden/>
          </w:rPr>
          <w:tab/>
        </w:r>
        <w:r w:rsidR="00E751B4">
          <w:rPr>
            <w:webHidden/>
          </w:rPr>
          <w:fldChar w:fldCharType="begin"/>
        </w:r>
        <w:r w:rsidR="00E751B4">
          <w:rPr>
            <w:webHidden/>
          </w:rPr>
          <w:instrText xml:space="preserve"> PAGEREF _Toc19623975 \h </w:instrText>
        </w:r>
        <w:r w:rsidR="00E751B4">
          <w:rPr>
            <w:webHidden/>
          </w:rPr>
        </w:r>
        <w:r w:rsidR="00E751B4">
          <w:rPr>
            <w:webHidden/>
          </w:rPr>
          <w:fldChar w:fldCharType="separate"/>
        </w:r>
        <w:r>
          <w:rPr>
            <w:webHidden/>
          </w:rPr>
          <w:t>4</w:t>
        </w:r>
        <w:r w:rsidR="00E751B4">
          <w:rPr>
            <w:webHidden/>
          </w:rPr>
          <w:fldChar w:fldCharType="end"/>
        </w:r>
      </w:hyperlink>
    </w:p>
    <w:p w:rsidR="00E751B4" w:rsidRDefault="00EF2D73">
      <w:pPr>
        <w:pStyle w:val="Innehll3"/>
        <w:rPr>
          <w:rFonts w:asciiTheme="minorHAnsi" w:eastAsiaTheme="minorEastAsia" w:hAnsiTheme="minorHAnsi" w:cstheme="minorBidi"/>
          <w:sz w:val="22"/>
          <w:szCs w:val="22"/>
          <w:lang w:val="sv-FI" w:eastAsia="sv-FI"/>
        </w:rPr>
      </w:pPr>
      <w:hyperlink w:anchor="_Toc19623976" w:history="1">
        <w:r w:rsidR="00E751B4" w:rsidRPr="00E34239">
          <w:rPr>
            <w:rStyle w:val="Hyperlnk"/>
          </w:rPr>
          <w:t>Övriga påpekanden</w:t>
        </w:r>
        <w:r w:rsidR="00E751B4">
          <w:rPr>
            <w:webHidden/>
          </w:rPr>
          <w:tab/>
        </w:r>
        <w:r w:rsidR="00E751B4">
          <w:rPr>
            <w:webHidden/>
          </w:rPr>
          <w:fldChar w:fldCharType="begin"/>
        </w:r>
        <w:r w:rsidR="00E751B4">
          <w:rPr>
            <w:webHidden/>
          </w:rPr>
          <w:instrText xml:space="preserve"> PAGEREF _Toc19623976 \h </w:instrText>
        </w:r>
        <w:r w:rsidR="00E751B4">
          <w:rPr>
            <w:webHidden/>
          </w:rPr>
        </w:r>
        <w:r w:rsidR="00E751B4">
          <w:rPr>
            <w:webHidden/>
          </w:rPr>
          <w:fldChar w:fldCharType="separate"/>
        </w:r>
        <w:r>
          <w:rPr>
            <w:webHidden/>
          </w:rPr>
          <w:t>4</w:t>
        </w:r>
        <w:r w:rsidR="00E751B4">
          <w:rPr>
            <w:webHidden/>
          </w:rPr>
          <w:fldChar w:fldCharType="end"/>
        </w:r>
      </w:hyperlink>
    </w:p>
    <w:p w:rsidR="00E751B4" w:rsidRDefault="00EF2D73">
      <w:pPr>
        <w:pStyle w:val="Innehll1"/>
        <w:rPr>
          <w:rFonts w:asciiTheme="minorHAnsi" w:eastAsiaTheme="minorEastAsia" w:hAnsiTheme="minorHAnsi" w:cstheme="minorBidi"/>
          <w:sz w:val="22"/>
          <w:szCs w:val="22"/>
          <w:lang w:val="sv-FI" w:eastAsia="sv-FI"/>
        </w:rPr>
      </w:pPr>
      <w:hyperlink w:anchor="_Toc19623977" w:history="1">
        <w:r w:rsidR="00E751B4" w:rsidRPr="00E34239">
          <w:rPr>
            <w:rStyle w:val="Hyperlnk"/>
          </w:rPr>
          <w:t>Ärendets behandling</w:t>
        </w:r>
        <w:r w:rsidR="00E751B4">
          <w:rPr>
            <w:webHidden/>
          </w:rPr>
          <w:tab/>
        </w:r>
        <w:r w:rsidR="00E751B4">
          <w:rPr>
            <w:webHidden/>
          </w:rPr>
          <w:fldChar w:fldCharType="begin"/>
        </w:r>
        <w:r w:rsidR="00E751B4">
          <w:rPr>
            <w:webHidden/>
          </w:rPr>
          <w:instrText xml:space="preserve"> PAGEREF _Toc19623977 \h </w:instrText>
        </w:r>
        <w:r w:rsidR="00E751B4">
          <w:rPr>
            <w:webHidden/>
          </w:rPr>
        </w:r>
        <w:r w:rsidR="00E751B4">
          <w:rPr>
            <w:webHidden/>
          </w:rPr>
          <w:fldChar w:fldCharType="separate"/>
        </w:r>
        <w:r>
          <w:rPr>
            <w:webHidden/>
          </w:rPr>
          <w:t>5</w:t>
        </w:r>
        <w:r w:rsidR="00E751B4">
          <w:rPr>
            <w:webHidden/>
          </w:rPr>
          <w:fldChar w:fldCharType="end"/>
        </w:r>
      </w:hyperlink>
    </w:p>
    <w:p w:rsidR="00E751B4" w:rsidRDefault="00EF2D73">
      <w:pPr>
        <w:pStyle w:val="Innehll1"/>
        <w:rPr>
          <w:rFonts w:asciiTheme="minorHAnsi" w:eastAsiaTheme="minorEastAsia" w:hAnsiTheme="minorHAnsi" w:cstheme="minorBidi"/>
          <w:sz w:val="22"/>
          <w:szCs w:val="22"/>
          <w:lang w:val="sv-FI" w:eastAsia="sv-FI"/>
        </w:rPr>
      </w:pPr>
      <w:hyperlink w:anchor="_Toc19623978" w:history="1">
        <w:r w:rsidR="00E751B4" w:rsidRPr="00E34239">
          <w:rPr>
            <w:rStyle w:val="Hyperlnk"/>
          </w:rPr>
          <w:t>Utskottets förslag</w:t>
        </w:r>
        <w:r w:rsidR="00E751B4">
          <w:rPr>
            <w:webHidden/>
          </w:rPr>
          <w:tab/>
        </w:r>
        <w:r w:rsidR="00E751B4">
          <w:rPr>
            <w:webHidden/>
          </w:rPr>
          <w:fldChar w:fldCharType="begin"/>
        </w:r>
        <w:r w:rsidR="00E751B4">
          <w:rPr>
            <w:webHidden/>
          </w:rPr>
          <w:instrText xml:space="preserve"> PAGEREF _Toc19623978 \h </w:instrText>
        </w:r>
        <w:r w:rsidR="00E751B4">
          <w:rPr>
            <w:webHidden/>
          </w:rPr>
        </w:r>
        <w:r w:rsidR="00E751B4">
          <w:rPr>
            <w:webHidden/>
          </w:rPr>
          <w:fldChar w:fldCharType="separate"/>
        </w:r>
        <w:r>
          <w:rPr>
            <w:webHidden/>
          </w:rPr>
          <w:t>5</w:t>
        </w:r>
        <w:r w:rsidR="00E751B4">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19623963"/>
      <w:r>
        <w:t>Sammanfattning</w:t>
      </w:r>
      <w:bookmarkEnd w:id="2"/>
      <w:bookmarkEnd w:id="3"/>
    </w:p>
    <w:p w:rsidR="002401D0" w:rsidRDefault="002401D0">
      <w:pPr>
        <w:pStyle w:val="Rubrikmellanrum"/>
      </w:pPr>
    </w:p>
    <w:p w:rsidR="002401D0" w:rsidRPr="008C010E" w:rsidRDefault="0028660F">
      <w:pPr>
        <w:pStyle w:val="RubrikB"/>
      </w:pPr>
      <w:bookmarkStart w:id="4" w:name="_Toc529800933"/>
      <w:bookmarkStart w:id="5" w:name="_Toc19623964"/>
      <w:r w:rsidRPr="008C010E">
        <w:t>Landskapsregeringens</w:t>
      </w:r>
      <w:r w:rsidR="002401D0" w:rsidRPr="008C010E">
        <w:t xml:space="preserve"> förslag</w:t>
      </w:r>
      <w:bookmarkEnd w:id="4"/>
      <w:bookmarkEnd w:id="5"/>
    </w:p>
    <w:p w:rsidR="002401D0" w:rsidRPr="008C010E" w:rsidRDefault="002401D0">
      <w:pPr>
        <w:pStyle w:val="Rubrikmellanrum"/>
      </w:pPr>
    </w:p>
    <w:p w:rsidR="0028660F" w:rsidRPr="008C010E" w:rsidRDefault="0028660F" w:rsidP="0028660F">
      <w:pPr>
        <w:pStyle w:val="ANormal"/>
      </w:pPr>
      <w:r w:rsidRPr="008C010E">
        <w:t xml:space="preserve">Landskapsregeringen </w:t>
      </w:r>
      <w:r w:rsidR="00C772BB" w:rsidRPr="008C010E">
        <w:t xml:space="preserve">har </w:t>
      </w:r>
      <w:r w:rsidRPr="008C010E">
        <w:t>överlämna</w:t>
      </w:r>
      <w:r w:rsidR="00C772BB" w:rsidRPr="008C010E">
        <w:t>t</w:t>
      </w:r>
      <w:r w:rsidRPr="008C010E">
        <w:t xml:space="preserve"> årsredovisning</w:t>
      </w:r>
      <w:r w:rsidR="00C772BB" w:rsidRPr="008C010E">
        <w:t>en</w:t>
      </w:r>
      <w:r w:rsidRPr="008C010E">
        <w:t xml:space="preserve"> för landskapet Åland </w:t>
      </w:r>
      <w:r w:rsidR="00384C67" w:rsidRPr="008C010E">
        <w:t>gällande</w:t>
      </w:r>
      <w:r w:rsidR="00C772BB" w:rsidRPr="008C010E">
        <w:t xml:space="preserve"> år </w:t>
      </w:r>
      <w:r w:rsidRPr="008C010E">
        <w:t>201</w:t>
      </w:r>
      <w:r w:rsidR="008C010E">
        <w:t>8</w:t>
      </w:r>
      <w:r w:rsidRPr="008C010E">
        <w:t xml:space="preserve"> till lagtinget såsom redogörelse nr 2/201</w:t>
      </w:r>
      <w:r w:rsidR="008C010E">
        <w:t>8</w:t>
      </w:r>
      <w:r w:rsidRPr="008C010E">
        <w:t>-201</w:t>
      </w:r>
      <w:r w:rsidR="008C010E">
        <w:t>9</w:t>
      </w:r>
      <w:r w:rsidRPr="008C010E">
        <w:t xml:space="preserve"> i enlighet med § </w:t>
      </w:r>
      <w:r w:rsidR="0000155F" w:rsidRPr="008C010E">
        <w:t>25</w:t>
      </w:r>
      <w:r w:rsidRPr="008C010E">
        <w:t xml:space="preserve"> </w:t>
      </w:r>
      <w:r w:rsidR="0000155F" w:rsidRPr="008C010E">
        <w:t>landskapslagen (1971</w:t>
      </w:r>
      <w:r w:rsidRPr="008C010E">
        <w:t>:</w:t>
      </w:r>
      <w:r w:rsidR="0000155F" w:rsidRPr="008C010E">
        <w:t>42</w:t>
      </w:r>
      <w:r w:rsidRPr="008C010E">
        <w:t xml:space="preserve">) om </w:t>
      </w:r>
      <w:r w:rsidR="0000155F" w:rsidRPr="008C010E">
        <w:t>Ålands landskapsregering.</w:t>
      </w:r>
      <w:r w:rsidR="00023409" w:rsidRPr="008C010E">
        <w:tab/>
      </w:r>
      <w:r w:rsidR="00C772BB" w:rsidRPr="008C010E">
        <w:t>Årsredovisningen inkluderar dessutom bokslutet för Landskapets fasti</w:t>
      </w:r>
      <w:r w:rsidR="00C772BB" w:rsidRPr="008C010E">
        <w:t>g</w:t>
      </w:r>
      <w:r w:rsidR="00C772BB" w:rsidRPr="008C010E">
        <w:t>hetsverk per 31.12.201</w:t>
      </w:r>
      <w:r w:rsidR="008C010E" w:rsidRPr="008C010E">
        <w:t>8</w:t>
      </w:r>
      <w:r w:rsidR="00C772BB" w:rsidRPr="008C010E">
        <w:t xml:space="preserve"> och Landskapsrevisionens revisionsberättelse för finansåret 201</w:t>
      </w:r>
      <w:r w:rsidR="008C010E" w:rsidRPr="008C010E">
        <w:t>8</w:t>
      </w:r>
      <w:r w:rsidR="00C772BB" w:rsidRPr="008C010E">
        <w:t>.</w:t>
      </w:r>
    </w:p>
    <w:p w:rsidR="002401D0" w:rsidRPr="009D0715" w:rsidRDefault="002401D0">
      <w:pPr>
        <w:pStyle w:val="ANormal"/>
        <w:rPr>
          <w:color w:val="FF0000"/>
        </w:rPr>
      </w:pPr>
    </w:p>
    <w:p w:rsidR="002401D0" w:rsidRPr="008C010E" w:rsidRDefault="002401D0">
      <w:pPr>
        <w:pStyle w:val="RubrikB"/>
      </w:pPr>
      <w:bookmarkStart w:id="6" w:name="_Toc529800934"/>
      <w:bookmarkStart w:id="7" w:name="_Toc19623965"/>
      <w:r w:rsidRPr="008C010E">
        <w:t>Utskottets förslag</w:t>
      </w:r>
      <w:bookmarkEnd w:id="6"/>
      <w:bookmarkEnd w:id="7"/>
    </w:p>
    <w:p w:rsidR="002401D0" w:rsidRPr="008C010E" w:rsidRDefault="002401D0">
      <w:pPr>
        <w:pStyle w:val="Rubrikmellanrum"/>
      </w:pPr>
    </w:p>
    <w:p w:rsidR="002401D0" w:rsidRPr="008C010E" w:rsidRDefault="00023409">
      <w:pPr>
        <w:pStyle w:val="ANormal"/>
      </w:pPr>
      <w:r w:rsidRPr="008C010E">
        <w:t>Utskottet föreslår att årsredovisningen för 201</w:t>
      </w:r>
      <w:r w:rsidR="00982306" w:rsidRPr="008C010E">
        <w:t>8</w:t>
      </w:r>
      <w:r w:rsidRPr="008C010E">
        <w:t xml:space="preserve"> antecknas för kännedom och att utskottets synpunkter bringas landskapsregeringen till kännedom.</w:t>
      </w:r>
    </w:p>
    <w:p w:rsidR="002401D0" w:rsidRPr="009D0715" w:rsidRDefault="002401D0">
      <w:pPr>
        <w:pStyle w:val="ANormal"/>
        <w:rPr>
          <w:color w:val="FF0000"/>
        </w:rPr>
      </w:pPr>
    </w:p>
    <w:p w:rsidR="002401D0" w:rsidRPr="008C010E" w:rsidRDefault="002401D0">
      <w:pPr>
        <w:pStyle w:val="RubrikA"/>
      </w:pPr>
      <w:bookmarkStart w:id="8" w:name="_Toc529800935"/>
      <w:bookmarkStart w:id="9" w:name="_Toc19623966"/>
      <w:r w:rsidRPr="008C010E">
        <w:t>Utskottets synpunkter</w:t>
      </w:r>
      <w:bookmarkEnd w:id="8"/>
      <w:bookmarkEnd w:id="9"/>
    </w:p>
    <w:p w:rsidR="002401D0" w:rsidRPr="008C010E" w:rsidRDefault="002401D0">
      <w:pPr>
        <w:pStyle w:val="Rubrikmellanrum"/>
      </w:pPr>
    </w:p>
    <w:p w:rsidR="00074652" w:rsidRDefault="00074652" w:rsidP="00074652">
      <w:pPr>
        <w:pStyle w:val="ANormal"/>
      </w:pPr>
      <w:r w:rsidRPr="008C010E">
        <w:t>Utskottet konstaterar att utöver årsredovisningen för landskapet Ålands förvaltning och ekonomi har separata verksamhetsberättelser jämte bokslut upprättats för Ålands hälso- och sjukvård (ÅHS), Landskapets pension</w:t>
      </w:r>
      <w:r w:rsidRPr="008C010E">
        <w:t>s</w:t>
      </w:r>
      <w:r w:rsidRPr="008C010E">
        <w:t xml:space="preserve">fond och Landskapets fastighetsverk. Av dessa är endast ÅHS konsoliderat i huvudbokslutet. Fastighetsverkets sifferbokslut är intaget som en bilaga i årsredovisningen. </w:t>
      </w:r>
      <w:r w:rsidRPr="008C010E">
        <w:tab/>
      </w:r>
    </w:p>
    <w:p w:rsidR="000F32A0" w:rsidRDefault="000F32A0" w:rsidP="00074652">
      <w:pPr>
        <w:pStyle w:val="ANormal"/>
      </w:pPr>
      <w:r>
        <w:tab/>
        <w:t>Årsredovisningen är för första gången uppgjort inom det nya verksa</w:t>
      </w:r>
      <w:r>
        <w:t>m</w:t>
      </w:r>
      <w:r>
        <w:t>hetsstyrningssystemet som numera används inom landskapsförvaltningen. Detta gör att redovisningen får ett mera sammanhållet och genomgående konsekvent intryck.</w:t>
      </w:r>
    </w:p>
    <w:p w:rsidR="000F32A0" w:rsidRDefault="000F32A0" w:rsidP="00074652">
      <w:pPr>
        <w:pStyle w:val="ANormal"/>
      </w:pPr>
      <w:r>
        <w:lastRenderedPageBreak/>
        <w:tab/>
        <w:t>Hållbarhetsarbetet inom förvaltningarna lyfts fram tydligare än i tidigare årsredovisningar och kompletteras av e</w:t>
      </w:r>
      <w:r w:rsidR="00F96115">
        <w:t xml:space="preserve">n </w:t>
      </w:r>
      <w:r>
        <w:t>in</w:t>
      </w:r>
      <w:r w:rsidR="00F96115">
        <w:t>nehållsförteckning över de red</w:t>
      </w:r>
      <w:r w:rsidR="00F96115">
        <w:t>o</w:t>
      </w:r>
      <w:r w:rsidR="00F96115">
        <w:t xml:space="preserve">visade hållbarhetsåtgärderna som ingår i </w:t>
      </w:r>
      <w:r>
        <w:t>årsredovisningen.</w:t>
      </w:r>
    </w:p>
    <w:p w:rsidR="000F32A0" w:rsidRDefault="000F32A0" w:rsidP="00074652">
      <w:pPr>
        <w:pStyle w:val="ANormal"/>
      </w:pPr>
    </w:p>
    <w:p w:rsidR="000F32A0" w:rsidRDefault="000F32A0" w:rsidP="00074652">
      <w:pPr>
        <w:pStyle w:val="ANormal"/>
      </w:pPr>
    </w:p>
    <w:p w:rsidR="000F32A0" w:rsidRDefault="000F32A0" w:rsidP="000F32A0">
      <w:pPr>
        <w:pStyle w:val="RubrikC"/>
      </w:pPr>
      <w:bookmarkStart w:id="10" w:name="_Toc19623967"/>
      <w:r>
        <w:t>Resultatutvecklingen</w:t>
      </w:r>
      <w:bookmarkEnd w:id="10"/>
    </w:p>
    <w:p w:rsidR="000F32A0" w:rsidRPr="000F32A0" w:rsidRDefault="000F32A0" w:rsidP="000F32A0">
      <w:pPr>
        <w:pStyle w:val="Rubrikmellanrum"/>
      </w:pPr>
    </w:p>
    <w:p w:rsidR="00C25CBC" w:rsidRPr="008C010E" w:rsidRDefault="00074652" w:rsidP="00074652">
      <w:pPr>
        <w:pStyle w:val="ANormal"/>
      </w:pPr>
      <w:r w:rsidRPr="009D0715">
        <w:rPr>
          <w:color w:val="FF0000"/>
        </w:rPr>
        <w:t xml:space="preserve">   </w:t>
      </w:r>
      <w:r w:rsidRPr="009D0715">
        <w:rPr>
          <w:color w:val="FF0000"/>
        </w:rPr>
        <w:tab/>
      </w:r>
      <w:r w:rsidRPr="008C010E">
        <w:t>Verksamhetsbidraget, som utgörs av verksamhetens intäkter och kos</w:t>
      </w:r>
      <w:r w:rsidRPr="008C010E">
        <w:t>t</w:t>
      </w:r>
      <w:r w:rsidRPr="008C010E">
        <w:t>nader, pensionsintäkter och -kostnader samt överföringsekonomins intäkter och kostnader, uppgick till</w:t>
      </w:r>
      <w:r w:rsidR="008C010E" w:rsidRPr="008C010E">
        <w:t xml:space="preserve"> </w:t>
      </w:r>
      <w:r w:rsidR="0063064B">
        <w:t>-</w:t>
      </w:r>
      <w:r w:rsidR="008C010E" w:rsidRPr="008C010E">
        <w:t>281,0</w:t>
      </w:r>
      <w:r w:rsidRPr="008C010E">
        <w:t xml:space="preserve"> (201</w:t>
      </w:r>
      <w:r w:rsidR="008C010E" w:rsidRPr="008C010E">
        <w:t xml:space="preserve">7 </w:t>
      </w:r>
      <w:r w:rsidRPr="008C010E">
        <w:t>= -26</w:t>
      </w:r>
      <w:r w:rsidR="008C010E" w:rsidRPr="008C010E">
        <w:t>4</w:t>
      </w:r>
      <w:r w:rsidRPr="008C010E">
        <w:t>,</w:t>
      </w:r>
      <w:r w:rsidR="008C010E" w:rsidRPr="008C010E">
        <w:t>1</w:t>
      </w:r>
      <w:r w:rsidRPr="008C010E">
        <w:t xml:space="preserve">) miljoner euro.  </w:t>
      </w:r>
    </w:p>
    <w:p w:rsidR="00C25CBC" w:rsidRPr="001E0424" w:rsidRDefault="00C25CBC" w:rsidP="00074652">
      <w:pPr>
        <w:pStyle w:val="ANormal"/>
      </w:pPr>
      <w:r w:rsidRPr="009D0715">
        <w:rPr>
          <w:color w:val="FF0000"/>
        </w:rPr>
        <w:tab/>
      </w:r>
      <w:r w:rsidR="00074652" w:rsidRPr="001E0424">
        <w:t>Årsbidraget som utgörs av verksamhetsbidraget, skatteinkomster och f</w:t>
      </w:r>
      <w:r w:rsidR="00074652" w:rsidRPr="001E0424">
        <w:t>i</w:t>
      </w:r>
      <w:r w:rsidR="00074652" w:rsidRPr="001E0424">
        <w:t xml:space="preserve">nansiella poster uppgick till </w:t>
      </w:r>
      <w:r w:rsidR="001D2A05" w:rsidRPr="001E0424">
        <w:t>2</w:t>
      </w:r>
      <w:r w:rsidR="001E0424" w:rsidRPr="001E0424">
        <w:t>5,1</w:t>
      </w:r>
      <w:r w:rsidR="00074652" w:rsidRPr="001E0424">
        <w:t xml:space="preserve"> (</w:t>
      </w:r>
      <w:r w:rsidR="001E0424" w:rsidRPr="001E0424">
        <w:t>28</w:t>
      </w:r>
      <w:r w:rsidR="001D2A05" w:rsidRPr="001E0424">
        <w:t>,</w:t>
      </w:r>
      <w:r w:rsidR="001E0424" w:rsidRPr="001E0424">
        <w:t>5</w:t>
      </w:r>
      <w:r w:rsidR="00074652" w:rsidRPr="001E0424">
        <w:t xml:space="preserve">) miljoner euro. </w:t>
      </w:r>
    </w:p>
    <w:p w:rsidR="001E0424" w:rsidRDefault="00C25CBC" w:rsidP="00074652">
      <w:pPr>
        <w:pStyle w:val="ANormal"/>
      </w:pPr>
      <w:r w:rsidRPr="001E0424">
        <w:tab/>
      </w:r>
      <w:r w:rsidR="00EC68F1" w:rsidRPr="001E0424">
        <w:t>Om man bortser från bokslutets extraordinära kostnads- och intäktspo</w:t>
      </w:r>
      <w:r w:rsidR="00EC68F1" w:rsidRPr="001E0424">
        <w:t>s</w:t>
      </w:r>
      <w:r w:rsidR="00EC68F1" w:rsidRPr="001E0424">
        <w:t xml:space="preserve">ter </w:t>
      </w:r>
      <w:r w:rsidR="00B45252" w:rsidRPr="001E0424">
        <w:t>blir</w:t>
      </w:r>
      <w:r w:rsidR="00EC68F1" w:rsidRPr="001E0424">
        <w:t xml:space="preserve"> r</w:t>
      </w:r>
      <w:r w:rsidR="00074652" w:rsidRPr="001E0424">
        <w:t xml:space="preserve">äkenskapsperiodens resultat </w:t>
      </w:r>
      <w:r w:rsidR="001D2A05" w:rsidRPr="001E0424">
        <w:t>16</w:t>
      </w:r>
      <w:r w:rsidR="00074652" w:rsidRPr="001E0424">
        <w:t>,</w:t>
      </w:r>
      <w:r w:rsidR="001E0424" w:rsidRPr="001E0424">
        <w:t>3</w:t>
      </w:r>
      <w:r w:rsidR="00074652" w:rsidRPr="001E0424">
        <w:t xml:space="preserve"> </w:t>
      </w:r>
      <w:r w:rsidR="0063064B">
        <w:t xml:space="preserve">(16,8) </w:t>
      </w:r>
      <w:r w:rsidR="00074652" w:rsidRPr="001E0424">
        <w:t>miljoner euro</w:t>
      </w:r>
      <w:r w:rsidR="00EC68F1" w:rsidRPr="001E0424">
        <w:t xml:space="preserve">. </w:t>
      </w:r>
    </w:p>
    <w:p w:rsidR="00C25CBC" w:rsidRPr="009D0715" w:rsidRDefault="001E0424" w:rsidP="00074652">
      <w:pPr>
        <w:pStyle w:val="ANormal"/>
        <w:rPr>
          <w:color w:val="FF0000"/>
        </w:rPr>
      </w:pPr>
      <w:r>
        <w:tab/>
        <w:t>Under året har ÅHS fastighetsbestånd överförts till Fastighetsverket vi</w:t>
      </w:r>
      <w:r>
        <w:t>l</w:t>
      </w:r>
      <w:r>
        <w:t>ket medförde en extraordinär bokföringsmässig intäkt om 24,</w:t>
      </w:r>
      <w:r w:rsidRPr="001E0424">
        <w:t>3</w:t>
      </w:r>
      <w:r w:rsidR="00074652" w:rsidRPr="001E0424">
        <w:t xml:space="preserve"> miljoner euro som </w:t>
      </w:r>
      <w:r w:rsidRPr="001E0424">
        <w:t>uppstod när ÅHS byggnader uppvärderades till gängse värden.</w:t>
      </w:r>
      <w:r w:rsidR="00074652" w:rsidRPr="009D0715">
        <w:rPr>
          <w:color w:val="FF0000"/>
        </w:rPr>
        <w:t xml:space="preserve"> </w:t>
      </w:r>
      <w:r w:rsidRPr="00E0709F">
        <w:t xml:space="preserve">Den extraordinära intäkten innebar att räkenskapsperiodens </w:t>
      </w:r>
      <w:r w:rsidR="00E0709F" w:rsidRPr="00E0709F">
        <w:t xml:space="preserve">redovisade </w:t>
      </w:r>
      <w:r w:rsidRPr="00E0709F">
        <w:t>r</w:t>
      </w:r>
      <w:r w:rsidRPr="00E0709F">
        <w:t>e</w:t>
      </w:r>
      <w:r w:rsidRPr="00E0709F">
        <w:t xml:space="preserve">sultat uppgick till 40,6 </w:t>
      </w:r>
      <w:r w:rsidR="00E0709F" w:rsidRPr="00E0709F">
        <w:t xml:space="preserve">(16,9) </w:t>
      </w:r>
      <w:r w:rsidRPr="00E0709F">
        <w:t>miljoner euro</w:t>
      </w:r>
      <w:r w:rsidR="00E0709F" w:rsidRPr="00E0709F">
        <w:t>.</w:t>
      </w:r>
      <w:r w:rsidR="00E0709F">
        <w:t xml:space="preserve"> En motsvarande </w:t>
      </w:r>
      <w:r w:rsidR="003F3A5C" w:rsidRPr="00DE0F61">
        <w:t>transaktion</w:t>
      </w:r>
      <w:r w:rsidR="00E0709F">
        <w:t xml:space="preserve"> genomfördes i bokslutet för år 2016 då centralförvaltningens fastighetsb</w:t>
      </w:r>
      <w:r w:rsidR="00E0709F">
        <w:t>e</w:t>
      </w:r>
      <w:r w:rsidR="00E0709F">
        <w:t>stånd överfördes till Fastighetsverket vilket resulterade i en extraordinär i</w:t>
      </w:r>
      <w:r w:rsidR="00E0709F">
        <w:t>n</w:t>
      </w:r>
      <w:r w:rsidR="00E0709F">
        <w:t>täkt om 57,5 miljoner euro.</w:t>
      </w:r>
    </w:p>
    <w:p w:rsidR="009B2ED2" w:rsidRDefault="00C25CBC" w:rsidP="00074652">
      <w:pPr>
        <w:pStyle w:val="ANormal"/>
      </w:pPr>
      <w:r w:rsidRPr="009D0715">
        <w:rPr>
          <w:color w:val="FF0000"/>
        </w:rPr>
        <w:tab/>
      </w:r>
    </w:p>
    <w:p w:rsidR="008522F4" w:rsidRDefault="008522F4" w:rsidP="008522F4">
      <w:pPr>
        <w:pStyle w:val="RubrikC"/>
      </w:pPr>
      <w:bookmarkStart w:id="11" w:name="_Toc19623968"/>
      <w:r>
        <w:t>Skatteintäkterna</w:t>
      </w:r>
      <w:bookmarkEnd w:id="11"/>
    </w:p>
    <w:p w:rsidR="008522F4" w:rsidRPr="003D6F3C" w:rsidRDefault="008522F4" w:rsidP="008522F4">
      <w:pPr>
        <w:pStyle w:val="Rubrikmellanrum"/>
      </w:pPr>
    </w:p>
    <w:p w:rsidR="003D6F3C" w:rsidRDefault="008522F4" w:rsidP="00074652">
      <w:pPr>
        <w:pStyle w:val="ANormal"/>
      </w:pPr>
      <w:r w:rsidRPr="003D6F3C">
        <w:t xml:space="preserve">De totala intäkterna av skattekaraktär ökade med 3,3 miljoner euro eller 1,2 %, vilket är ganska måttfullt. </w:t>
      </w:r>
      <w:r w:rsidR="003D6F3C" w:rsidRPr="003D6F3C">
        <w:t xml:space="preserve">Skatteintäkterna </w:t>
      </w:r>
      <w:r w:rsidRPr="003D6F3C">
        <w:t>är</w:t>
      </w:r>
      <w:r w:rsidR="003D6F3C" w:rsidRPr="003D6F3C">
        <w:t xml:space="preserve"> i stort sett oförändrade.</w:t>
      </w:r>
      <w:r w:rsidRPr="003D6F3C">
        <w:t xml:space="preserve"> </w:t>
      </w:r>
      <w:r w:rsidR="003D6F3C" w:rsidRPr="003D6F3C">
        <w:t>S</w:t>
      </w:r>
      <w:r w:rsidR="00431F72" w:rsidRPr="003D6F3C">
        <w:t>kattegottgörelse</w:t>
      </w:r>
      <w:r w:rsidRPr="003D6F3C">
        <w:t xml:space="preserve">n minskade </w:t>
      </w:r>
      <w:r w:rsidR="003D6F3C" w:rsidRPr="003D6F3C">
        <w:t xml:space="preserve">med 11,5 miljoner euro </w:t>
      </w:r>
      <w:r w:rsidRPr="003D6F3C">
        <w:t>från 23,9 miljoner till 12,4 miljoner euro</w:t>
      </w:r>
      <w:r w:rsidR="003D6F3C">
        <w:t xml:space="preserve"> och avräkningsbeloppet ökade med 11,0 miljoner euro från 233,6 miljoner till 244,6 miljoner euro</w:t>
      </w:r>
      <w:r w:rsidRPr="003D6F3C">
        <w:t xml:space="preserve">. </w:t>
      </w:r>
    </w:p>
    <w:p w:rsidR="003D6F3C" w:rsidRDefault="003D4464" w:rsidP="00074652">
      <w:pPr>
        <w:pStyle w:val="ANormal"/>
      </w:pPr>
      <w:r>
        <w:tab/>
      </w:r>
      <w:r w:rsidR="008522F4" w:rsidRPr="003D6F3C">
        <w:t>Skattegottgörelsen</w:t>
      </w:r>
      <w:r w:rsidR="00431F72" w:rsidRPr="003D6F3C">
        <w:t xml:space="preserve"> betalas om landskapets andel av debiteringen av i</w:t>
      </w:r>
      <w:r w:rsidR="00431F72" w:rsidRPr="003D6F3C">
        <w:t>n</w:t>
      </w:r>
      <w:r w:rsidR="00431F72" w:rsidRPr="003D6F3C">
        <w:t>komst- och förmögenhetsskatt i Finland överstiger 0,5 procent. Skattegot</w:t>
      </w:r>
      <w:r w:rsidR="00431F72" w:rsidRPr="003D6F3C">
        <w:t>t</w:t>
      </w:r>
      <w:r w:rsidR="00431F72" w:rsidRPr="003D6F3C">
        <w:t>görelsen minska</w:t>
      </w:r>
      <w:r w:rsidR="008522F4" w:rsidRPr="003D6F3C">
        <w:t>r</w:t>
      </w:r>
      <w:r w:rsidR="00431F72" w:rsidRPr="003D6F3C">
        <w:t xml:space="preserve"> eftersom den finländska ekonomin har börjat gå bättre, vilket minska</w:t>
      </w:r>
      <w:r w:rsidR="008522F4" w:rsidRPr="003D6F3C">
        <w:t>r</w:t>
      </w:r>
      <w:r w:rsidR="00431F72" w:rsidRPr="003D6F3C">
        <w:t xml:space="preserve"> landskapets relativa andel av de totala skatteintäkterna. En minskad intäkt från skattegottgörelsen </w:t>
      </w:r>
      <w:r w:rsidR="001B131E" w:rsidRPr="003D6F3C">
        <w:t xml:space="preserve">på grund av högre skatteinkomster i Finland kompenseras </w:t>
      </w:r>
      <w:r w:rsidR="003D6F3C" w:rsidRPr="003D6F3C">
        <w:t xml:space="preserve">i allmänhet av </w:t>
      </w:r>
      <w:r w:rsidR="001B131E" w:rsidRPr="003D6F3C">
        <w:t>ett högre avräkningsbelopp</w:t>
      </w:r>
      <w:r w:rsidR="003D6F3C" w:rsidRPr="003D6F3C">
        <w:t>, vilket också skedde</w:t>
      </w:r>
      <w:r w:rsidR="001B131E" w:rsidRPr="003D6F3C">
        <w:t>.</w:t>
      </w:r>
      <w:r w:rsidR="003D6F3C" w:rsidRPr="003D6F3C">
        <w:t xml:space="preserve"> </w:t>
      </w:r>
    </w:p>
    <w:p w:rsidR="004A43C6" w:rsidRDefault="003D6F3C" w:rsidP="00074652">
      <w:pPr>
        <w:pStyle w:val="ANormal"/>
      </w:pPr>
      <w:r>
        <w:tab/>
      </w:r>
      <w:r w:rsidRPr="003D6F3C">
        <w:t>Återbäringen av lotteriskatt ökade med 1,0 miljon euro.</w:t>
      </w:r>
    </w:p>
    <w:p w:rsidR="000F32A0" w:rsidRDefault="000F32A0" w:rsidP="000F32A0">
      <w:pPr>
        <w:pStyle w:val="RubrikC"/>
        <w:rPr>
          <w:b w:val="0"/>
          <w:bCs w:val="0"/>
        </w:rPr>
      </w:pPr>
    </w:p>
    <w:p w:rsidR="000F32A0" w:rsidRDefault="000F32A0" w:rsidP="000F32A0">
      <w:pPr>
        <w:pStyle w:val="RubrikC"/>
      </w:pPr>
      <w:bookmarkStart w:id="12" w:name="_Toc19623969"/>
      <w:r>
        <w:t>Pensionskostnaderna</w:t>
      </w:r>
      <w:bookmarkEnd w:id="12"/>
    </w:p>
    <w:p w:rsidR="000F32A0" w:rsidRDefault="000F32A0" w:rsidP="000F32A0">
      <w:pPr>
        <w:pStyle w:val="Rubrikmellanrum"/>
      </w:pPr>
    </w:p>
    <w:p w:rsidR="00F96115" w:rsidRDefault="000F32A0" w:rsidP="000F32A0">
      <w:pPr>
        <w:pStyle w:val="ANormal"/>
      </w:pPr>
      <w:r>
        <w:t>Pensionskostnadernas nettobelopp har ökat från 15,5 miljoner till 17,5 mi</w:t>
      </w:r>
      <w:r>
        <w:t>l</w:t>
      </w:r>
      <w:r>
        <w:t xml:space="preserve">joner euro </w:t>
      </w:r>
      <w:r w:rsidR="003D4464">
        <w:t>från</w:t>
      </w:r>
      <w:r>
        <w:t xml:space="preserve"> år 2017 </w:t>
      </w:r>
      <w:r w:rsidR="003D4464">
        <w:t>till år</w:t>
      </w:r>
      <w:r>
        <w:t xml:space="preserve"> 2018. De egentliga pensionskostnaderna har ökat med 1,5 miljoner euro samtidigt som uttaget ur pensionsfonden har minskat med 0,5 miljoner till 16,0 miljoner euro. </w:t>
      </w:r>
    </w:p>
    <w:p w:rsidR="000F32A0" w:rsidRDefault="00F96115" w:rsidP="000F32A0">
      <w:pPr>
        <w:pStyle w:val="ANormal"/>
      </w:pPr>
      <w:r>
        <w:tab/>
        <w:t>U</w:t>
      </w:r>
      <w:r w:rsidR="000F32A0">
        <w:t xml:space="preserve">ttaget ur fonden har varierat årligen, som exempel kan nämnas att år 2016 togs 18,5 miljoner euro ut ur fonden. Enligt pensionsfondslagen får högst 75 procent av landskapsregeringens pensionskostnader beskostas från fondens medel, vilket innebär att det </w:t>
      </w:r>
      <w:r>
        <w:t xml:space="preserve">för tillfället </w:t>
      </w:r>
      <w:r w:rsidR="000F32A0">
        <w:t>finns utrymme att lyfta fondmedel ända upp till 25 miljoner euro.</w:t>
      </w:r>
    </w:p>
    <w:p w:rsidR="000F32A0" w:rsidRPr="000F32A0" w:rsidRDefault="000F32A0" w:rsidP="000F32A0">
      <w:pPr>
        <w:pStyle w:val="ANormal"/>
      </w:pPr>
      <w:r>
        <w:tab/>
        <w:t>Det kalkylerade pensionsansvaret har stigit med 12 miljoner till totalt 784 miljoner euro. Värdet på pensionsfondens tillgångar räknat till mar</w:t>
      </w:r>
      <w:r>
        <w:t>k</w:t>
      </w:r>
      <w:r>
        <w:t>nadsvärde uppgick till cirka 430 miljoner euro vid årsskiftet.</w:t>
      </w:r>
    </w:p>
    <w:p w:rsidR="007C1486" w:rsidRPr="009D0715" w:rsidRDefault="007C1486" w:rsidP="00074652">
      <w:pPr>
        <w:pStyle w:val="ANormal"/>
        <w:rPr>
          <w:color w:val="FF0000"/>
        </w:rPr>
      </w:pPr>
    </w:p>
    <w:p w:rsidR="007C1486" w:rsidRPr="0052146E" w:rsidRDefault="008522F4" w:rsidP="007C1486">
      <w:pPr>
        <w:pStyle w:val="RubrikC"/>
      </w:pPr>
      <w:bookmarkStart w:id="13" w:name="_Toc19623970"/>
      <w:r>
        <w:t>Budget</w:t>
      </w:r>
      <w:r w:rsidR="00C81F01">
        <w:t xml:space="preserve">ens </w:t>
      </w:r>
      <w:r>
        <w:t>förverkligande</w:t>
      </w:r>
      <w:bookmarkEnd w:id="13"/>
    </w:p>
    <w:p w:rsidR="007C1486" w:rsidRPr="0052146E" w:rsidRDefault="007C1486" w:rsidP="007C1486">
      <w:pPr>
        <w:pStyle w:val="Rubrikmellanrum"/>
      </w:pPr>
    </w:p>
    <w:p w:rsidR="008522F4" w:rsidRDefault="0052146E" w:rsidP="00074652">
      <w:pPr>
        <w:pStyle w:val="ANormal"/>
      </w:pPr>
      <w:r w:rsidRPr="0052146E">
        <w:t xml:space="preserve">Då </w:t>
      </w:r>
      <w:r w:rsidR="00A855FB" w:rsidRPr="0052146E">
        <w:t>resultaträkningen</w:t>
      </w:r>
      <w:r w:rsidR="00074652" w:rsidRPr="0052146E">
        <w:t xml:space="preserve"> </w:t>
      </w:r>
      <w:r w:rsidRPr="0052146E">
        <w:t xml:space="preserve">jämförs </w:t>
      </w:r>
      <w:r w:rsidR="00074652" w:rsidRPr="0052146E">
        <w:t xml:space="preserve">med budgeten, </w:t>
      </w:r>
      <w:r w:rsidRPr="0052146E">
        <w:t>med</w:t>
      </w:r>
      <w:r w:rsidR="00074652" w:rsidRPr="0052146E">
        <w:t xml:space="preserve"> </w:t>
      </w:r>
      <w:r w:rsidR="0012136A">
        <w:t>utelämnande</w:t>
      </w:r>
      <w:r w:rsidRPr="0052146E">
        <w:t xml:space="preserve"> av</w:t>
      </w:r>
      <w:r w:rsidR="00074652" w:rsidRPr="0052146E">
        <w:t xml:space="preserve"> de extr</w:t>
      </w:r>
      <w:r w:rsidR="00074652" w:rsidRPr="0052146E">
        <w:t>a</w:t>
      </w:r>
      <w:r w:rsidR="00074652" w:rsidRPr="0052146E">
        <w:t xml:space="preserve">ordinära posterna, kan man konstatera att verksamhetsbidraget är </w:t>
      </w:r>
      <w:r w:rsidRPr="0052146E">
        <w:t>9</w:t>
      </w:r>
      <w:r w:rsidR="001D2A05" w:rsidRPr="0052146E">
        <w:t>,</w:t>
      </w:r>
      <w:r w:rsidRPr="0052146E">
        <w:t>4</w:t>
      </w:r>
      <w:r w:rsidR="0012136A">
        <w:t xml:space="preserve"> (23,0)</w:t>
      </w:r>
      <w:r w:rsidR="001D2A05" w:rsidRPr="0052146E">
        <w:t xml:space="preserve"> </w:t>
      </w:r>
      <w:r w:rsidR="00074652" w:rsidRPr="0052146E">
        <w:t xml:space="preserve">miljoner euro bättre än </w:t>
      </w:r>
      <w:r w:rsidR="00A855FB" w:rsidRPr="0052146E">
        <w:t xml:space="preserve">det </w:t>
      </w:r>
      <w:r w:rsidR="00074652" w:rsidRPr="0052146E">
        <w:t>budget</w:t>
      </w:r>
      <w:r w:rsidR="00A855FB" w:rsidRPr="0052146E">
        <w:t>erade beloppet</w:t>
      </w:r>
      <w:r w:rsidR="00074652" w:rsidRPr="0052146E">
        <w:t xml:space="preserve">, årsbidraget </w:t>
      </w:r>
      <w:r w:rsidRPr="0052146E">
        <w:t>9</w:t>
      </w:r>
      <w:r w:rsidR="007115B4" w:rsidRPr="0052146E">
        <w:t>,1</w:t>
      </w:r>
      <w:r w:rsidR="00074652" w:rsidRPr="0052146E">
        <w:t xml:space="preserve"> </w:t>
      </w:r>
      <w:r w:rsidR="0012136A">
        <w:t xml:space="preserve">(13,1) </w:t>
      </w:r>
      <w:r w:rsidR="00074652" w:rsidRPr="0052146E">
        <w:lastRenderedPageBreak/>
        <w:t xml:space="preserve">miljoner euro bättre än budget och årets resultat </w:t>
      </w:r>
      <w:r w:rsidRPr="0052146E">
        <w:t>10,0 (</w:t>
      </w:r>
      <w:r w:rsidR="007115B4" w:rsidRPr="0052146E">
        <w:t>13</w:t>
      </w:r>
      <w:r w:rsidR="00074652" w:rsidRPr="0052146E">
        <w:t>,</w:t>
      </w:r>
      <w:r w:rsidR="007115B4" w:rsidRPr="0052146E">
        <w:t>6</w:t>
      </w:r>
      <w:r w:rsidRPr="0052146E">
        <w:t>)</w:t>
      </w:r>
      <w:r w:rsidR="00074652" w:rsidRPr="0052146E">
        <w:t xml:space="preserve"> miljoner euro bättre än budget.</w:t>
      </w:r>
      <w:r w:rsidR="0012136A">
        <w:t xml:space="preserve"> </w:t>
      </w:r>
    </w:p>
    <w:p w:rsidR="00C352B6" w:rsidRPr="00DE0F61" w:rsidRDefault="008522F4" w:rsidP="00074652">
      <w:pPr>
        <w:pStyle w:val="ANormal"/>
      </w:pPr>
      <w:r>
        <w:tab/>
      </w:r>
      <w:r w:rsidR="00080809" w:rsidRPr="00DE0F61">
        <w:t>Vissa anslag (</w:t>
      </w:r>
      <w:r w:rsidR="008A4892" w:rsidRPr="00DE0F61">
        <w:t xml:space="preserve">med </w:t>
      </w:r>
      <w:r w:rsidR="00080809" w:rsidRPr="00DE0F61">
        <w:t>beteckning</w:t>
      </w:r>
      <w:r w:rsidR="008A4892" w:rsidRPr="00DE0F61">
        <w:t>en</w:t>
      </w:r>
      <w:r w:rsidR="00080809" w:rsidRPr="00DE0F61">
        <w:t xml:space="preserve"> R) är möjliga att överföra till följande budgetår om de inte blivit fullt utnyttjade eller om förbindelser ingåtts som inte kunnat användas under det aktuella budgetåret. </w:t>
      </w:r>
      <w:r w:rsidRPr="00DE0F61">
        <w:t xml:space="preserve">Från budgeten för år 2018 överförs 16,0 (13,2) miljoner euro </w:t>
      </w:r>
      <w:r w:rsidR="00414E83" w:rsidRPr="00DE0F61">
        <w:t>av de icke utnyttjade</w:t>
      </w:r>
      <w:r w:rsidRPr="00DE0F61">
        <w:t xml:space="preserve"> verksamhets- och överföringsanslagen till år 2019. Överföring</w:t>
      </w:r>
      <w:r w:rsidR="00C352B6" w:rsidRPr="00DE0F61">
        <w:t>ssumman</w:t>
      </w:r>
      <w:r w:rsidRPr="00DE0F61">
        <w:t xml:space="preserve"> utgjorde nästan 5 procent av </w:t>
      </w:r>
      <w:r w:rsidR="00080809" w:rsidRPr="00DE0F61">
        <w:t>de totala kostnads</w:t>
      </w:r>
      <w:r w:rsidRPr="00DE0F61">
        <w:t>anslage</w:t>
      </w:r>
      <w:r w:rsidR="00080809" w:rsidRPr="00DE0F61">
        <w:t>n för verksamhet och överföringar</w:t>
      </w:r>
      <w:r w:rsidRPr="00DE0F61">
        <w:t xml:space="preserve"> </w:t>
      </w:r>
      <w:r w:rsidR="00080809" w:rsidRPr="00DE0F61">
        <w:t>u</w:t>
      </w:r>
      <w:r w:rsidR="00080809" w:rsidRPr="00DE0F61">
        <w:t>n</w:t>
      </w:r>
      <w:r w:rsidR="00080809" w:rsidRPr="00DE0F61">
        <w:t>der</w:t>
      </w:r>
      <w:r w:rsidRPr="00DE0F61">
        <w:t xml:space="preserve"> 2018. Utskottet konstaterar att överföring</w:t>
      </w:r>
      <w:r w:rsidR="00C352B6" w:rsidRPr="00DE0F61">
        <w:t>ssumman</w:t>
      </w:r>
      <w:r w:rsidRPr="00DE0F61">
        <w:t xml:space="preserve"> </w:t>
      </w:r>
      <w:r w:rsidR="008A4892" w:rsidRPr="00DE0F61">
        <w:t xml:space="preserve">i stora drag </w:t>
      </w:r>
      <w:r w:rsidR="00C352B6" w:rsidRPr="00DE0F61">
        <w:t>är i nivå med tidigare år</w:t>
      </w:r>
      <w:r w:rsidR="00080809" w:rsidRPr="00DE0F61">
        <w:t>s budgetöverföringar.</w:t>
      </w:r>
    </w:p>
    <w:p w:rsidR="008522F4" w:rsidRDefault="008522F4" w:rsidP="00074652">
      <w:pPr>
        <w:pStyle w:val="ANormal"/>
      </w:pPr>
      <w:r w:rsidRPr="00DE0F61">
        <w:tab/>
        <w:t>Investeringsanslagen som förs över mellan de olika budgetåren är bety</w:t>
      </w:r>
      <w:r w:rsidRPr="00DE0F61">
        <w:t>d</w:t>
      </w:r>
      <w:r w:rsidRPr="00DE0F61">
        <w:t>ligt högre</w:t>
      </w:r>
      <w:r w:rsidR="00080809" w:rsidRPr="00DE0F61">
        <w:t xml:space="preserve"> eftersom investeringarna ofta sträcker sig över flera år.</w:t>
      </w:r>
      <w:r w:rsidRPr="00DE0F61">
        <w:t xml:space="preserve"> </w:t>
      </w:r>
      <w:r w:rsidR="00080809" w:rsidRPr="00DE0F61">
        <w:t>F</w:t>
      </w:r>
      <w:r w:rsidRPr="00DE0F61">
        <w:t xml:space="preserve">rån år 2018 överförs 45,0 miljoner euro till år 2019. Även detta belopp </w:t>
      </w:r>
      <w:r w:rsidR="00080809" w:rsidRPr="00DE0F61">
        <w:t xml:space="preserve">motsvarar beloppsmässigt </w:t>
      </w:r>
      <w:r w:rsidRPr="00DE0F61">
        <w:t xml:space="preserve">de senaste </w:t>
      </w:r>
      <w:r w:rsidR="00080809" w:rsidRPr="00DE0F61">
        <w:t>fyra</w:t>
      </w:r>
      <w:r w:rsidRPr="00DE0F61">
        <w:t xml:space="preserve"> årens medeltal.</w:t>
      </w:r>
    </w:p>
    <w:p w:rsidR="008522F4" w:rsidRDefault="008522F4" w:rsidP="00074652">
      <w:pPr>
        <w:pStyle w:val="ANormal"/>
      </w:pPr>
    </w:p>
    <w:p w:rsidR="00A855FB" w:rsidRDefault="008522F4" w:rsidP="008522F4">
      <w:pPr>
        <w:pStyle w:val="RubrikC"/>
        <w:rPr>
          <w:color w:val="FF0000"/>
        </w:rPr>
      </w:pPr>
      <w:bookmarkStart w:id="14" w:name="_Toc19623971"/>
      <w:r w:rsidRPr="008522F4">
        <w:t>Landskapets likviditet</w:t>
      </w:r>
      <w:bookmarkEnd w:id="14"/>
      <w:r w:rsidR="00074652" w:rsidRPr="008522F4">
        <w:rPr>
          <w:color w:val="FF0000"/>
        </w:rPr>
        <w:tab/>
      </w:r>
    </w:p>
    <w:p w:rsidR="008522F4" w:rsidRPr="008522F4" w:rsidRDefault="008522F4" w:rsidP="008522F4">
      <w:pPr>
        <w:pStyle w:val="Rubrikmellanrum"/>
      </w:pPr>
    </w:p>
    <w:p w:rsidR="00B94710" w:rsidRPr="000F32A0" w:rsidRDefault="00A855FB" w:rsidP="00074652">
      <w:pPr>
        <w:pStyle w:val="ANormal"/>
      </w:pPr>
      <w:r w:rsidRPr="009D0715">
        <w:rPr>
          <w:color w:val="FF0000"/>
        </w:rPr>
        <w:tab/>
      </w:r>
      <w:r w:rsidR="00074652" w:rsidRPr="000F32A0">
        <w:t xml:space="preserve">Landskapets </w:t>
      </w:r>
      <w:r w:rsidR="000F32A0" w:rsidRPr="000F32A0">
        <w:t xml:space="preserve">redovisade </w:t>
      </w:r>
      <w:r w:rsidR="00074652" w:rsidRPr="000F32A0">
        <w:t>likviditet i form av banktillgodohavanden och kortfristiga placeringar uppgick 31.12.201</w:t>
      </w:r>
      <w:r w:rsidR="008522F4" w:rsidRPr="000F32A0">
        <w:t>8</w:t>
      </w:r>
      <w:r w:rsidR="00074652" w:rsidRPr="000F32A0">
        <w:t xml:space="preserve"> till </w:t>
      </w:r>
      <w:r w:rsidR="000F32A0" w:rsidRPr="000F32A0">
        <w:t xml:space="preserve">73,0 </w:t>
      </w:r>
      <w:r w:rsidR="00074652" w:rsidRPr="000F32A0">
        <w:t xml:space="preserve">miljoner euro, vilket ska jämföras med föregående år då likviditeten var </w:t>
      </w:r>
      <w:r w:rsidR="000F32A0" w:rsidRPr="000F32A0">
        <w:t>65,6</w:t>
      </w:r>
      <w:r w:rsidR="00074652" w:rsidRPr="000F32A0">
        <w:t xml:space="preserve"> miljoner euro. </w:t>
      </w:r>
      <w:r w:rsidRPr="000F32A0">
        <w:t xml:space="preserve">I dessa siffror ingår också likviditeten i fastighetsverket och ÅHS. Eftersom </w:t>
      </w:r>
      <w:r w:rsidR="00857757" w:rsidRPr="000F32A0">
        <w:t>en del av penningmedlen är låsta i stipendiefonder och liknande utgör de medel som är operativt tillgängliga för landskapets verksamhet ett lägre b</w:t>
      </w:r>
      <w:r w:rsidR="00857757" w:rsidRPr="000F32A0">
        <w:t>e</w:t>
      </w:r>
      <w:r w:rsidR="00857757" w:rsidRPr="000F32A0">
        <w:t xml:space="preserve">lopp än vad som framkommer i bokslutet. Utskottet har </w:t>
      </w:r>
      <w:proofErr w:type="gramStart"/>
      <w:r w:rsidR="00857757" w:rsidRPr="000F32A0">
        <w:t>erfarit</w:t>
      </w:r>
      <w:proofErr w:type="gramEnd"/>
      <w:r w:rsidR="00857757" w:rsidRPr="000F32A0">
        <w:t xml:space="preserve"> att den op</w:t>
      </w:r>
      <w:r w:rsidR="00857757" w:rsidRPr="000F32A0">
        <w:t>e</w:t>
      </w:r>
      <w:r w:rsidR="00857757" w:rsidRPr="000F32A0">
        <w:t xml:space="preserve">rativa likviditeten uppgick till cirka </w:t>
      </w:r>
      <w:r w:rsidR="000F32A0" w:rsidRPr="000F32A0">
        <w:t>68,8 (</w:t>
      </w:r>
      <w:r w:rsidR="00857757" w:rsidRPr="000F32A0">
        <w:t>61,5</w:t>
      </w:r>
      <w:r w:rsidR="000F32A0" w:rsidRPr="000F32A0">
        <w:t>)</w:t>
      </w:r>
      <w:r w:rsidR="00857757" w:rsidRPr="000F32A0">
        <w:t xml:space="preserve"> miljoner euro vid årsskiftet.</w:t>
      </w:r>
    </w:p>
    <w:p w:rsidR="00D26588" w:rsidRDefault="00D26588" w:rsidP="00074652">
      <w:pPr>
        <w:pStyle w:val="ANormal"/>
      </w:pPr>
    </w:p>
    <w:p w:rsidR="003D6F3C" w:rsidRDefault="003D6F3C" w:rsidP="003D6F3C">
      <w:pPr>
        <w:pStyle w:val="RubrikC"/>
      </w:pPr>
      <w:bookmarkStart w:id="15" w:name="_Toc19623972"/>
      <w:r>
        <w:t>PAF-snurran</w:t>
      </w:r>
      <w:bookmarkEnd w:id="15"/>
    </w:p>
    <w:p w:rsidR="002555BF" w:rsidRPr="00923E3D" w:rsidRDefault="002555BF" w:rsidP="002555BF">
      <w:pPr>
        <w:pStyle w:val="Rubrikmellanrum"/>
      </w:pPr>
    </w:p>
    <w:p w:rsidR="002555BF" w:rsidRDefault="002555BF" w:rsidP="002555BF">
      <w:pPr>
        <w:pStyle w:val="ANormal"/>
      </w:pPr>
      <w:r w:rsidRPr="00923E3D">
        <w:tab/>
        <w:t>Utskottet har i sina betänkanden över årsredovisning</w:t>
      </w:r>
      <w:r>
        <w:t xml:space="preserve">arna </w:t>
      </w:r>
      <w:r w:rsidRPr="00923E3D">
        <w:t>för</w:t>
      </w:r>
      <w:r>
        <w:t xml:space="preserve"> åren</w:t>
      </w:r>
      <w:r w:rsidRPr="00923E3D">
        <w:t xml:space="preserve"> 2016 och 2017 behandlat den så kallade PAF-snurran, där man budgeterar och återför PAF-medel som intäkter respektive kostnader. Utskottet konstaterar att för</w:t>
      </w:r>
      <w:r w:rsidR="00414E83">
        <w:t>f</w:t>
      </w:r>
      <w:r w:rsidRPr="00923E3D">
        <w:t>arandet i och med årsredovisningen för år 2018 har avslutats, vilket är tillfredsställande.</w:t>
      </w:r>
    </w:p>
    <w:p w:rsidR="003D6F3C" w:rsidRDefault="003D6F3C" w:rsidP="002555BF">
      <w:pPr>
        <w:pStyle w:val="ANormal"/>
      </w:pPr>
      <w:r>
        <w:tab/>
        <w:t xml:space="preserve">Ändringen medför att inga medel </w:t>
      </w:r>
      <w:r w:rsidR="00414E83">
        <w:t xml:space="preserve">längre </w:t>
      </w:r>
      <w:r>
        <w:t xml:space="preserve">återförs till </w:t>
      </w:r>
      <w:r w:rsidR="00414E83">
        <w:t>Ålands penninga</w:t>
      </w:r>
      <w:r w:rsidR="00414E83">
        <w:t>u</w:t>
      </w:r>
      <w:r w:rsidR="00414E83">
        <w:t>tomatförening r.f. (PAF).</w:t>
      </w:r>
      <w:r>
        <w:t xml:space="preserve"> Återföringen som tidigare utgjorde en kostnad under ”övriga finansiella kostnader” (10,1 m€ år 2017) överförs istället via en reservering (också en kostnadspost) till en fond för PAF-medel i balan</w:t>
      </w:r>
      <w:r>
        <w:t>s</w:t>
      </w:r>
      <w:r>
        <w:t>räkningen. Den reservation som överfördes till PAF-medelfonden uppgick till 10,7 miljoner euro, vilket innebär att det tillsammans med tidigare r</w:t>
      </w:r>
      <w:r>
        <w:t>e</w:t>
      </w:r>
      <w:r>
        <w:t>servation om 10,0 miljoner euro redan finns 20,7 miljoner euro reserverade för utdelningar. Enligt årsberättelsen kommer i fortsättningen också amo</w:t>
      </w:r>
      <w:r>
        <w:t>r</w:t>
      </w:r>
      <w:r>
        <w:t>teringarna på utgivna PAF-lån att föras till fonden</w:t>
      </w:r>
      <w:r w:rsidRPr="00DE0F61">
        <w:t xml:space="preserve">. </w:t>
      </w:r>
      <w:r w:rsidR="00876059" w:rsidRPr="00DE0F61">
        <w:t xml:space="preserve">Utskottet konstaterar att det </w:t>
      </w:r>
      <w:r w:rsidR="008A4892" w:rsidRPr="00DE0F61">
        <w:t>är möjligt</w:t>
      </w:r>
      <w:r w:rsidR="00876059" w:rsidRPr="00DE0F61">
        <w:t xml:space="preserve"> att fonden kommer att växa i </w:t>
      </w:r>
      <w:r w:rsidR="008A4892" w:rsidRPr="00DE0F61">
        <w:t>volym</w:t>
      </w:r>
      <w:r w:rsidR="00876059" w:rsidRPr="00DE0F61">
        <w:t xml:space="preserve"> relativt snabbt </w:t>
      </w:r>
      <w:r w:rsidR="008A4892" w:rsidRPr="00DE0F61">
        <w:t>varför även fondmedlens framtida användning bör klarläggas. Utskottet noterar att det i budgeten för år 2019 finns tankar om en tillväxt- och stabilisering</w:t>
      </w:r>
      <w:r w:rsidR="008A4892" w:rsidRPr="00DE0F61">
        <w:t>s</w:t>
      </w:r>
      <w:r w:rsidR="008A4892" w:rsidRPr="00DE0F61">
        <w:t>fond som skulle finansieras med de penningautomatmedel som inte a</w:t>
      </w:r>
      <w:r w:rsidR="008A4892" w:rsidRPr="00DE0F61">
        <w:t>n</w:t>
      </w:r>
      <w:r w:rsidR="008A4892" w:rsidRPr="00DE0F61">
        <w:t>vänds för fördelning till allmännyttiga ändamål.</w:t>
      </w:r>
    </w:p>
    <w:p w:rsidR="000A3B5C" w:rsidRDefault="000A3B5C" w:rsidP="002555BF">
      <w:pPr>
        <w:pStyle w:val="ANormal"/>
      </w:pPr>
    </w:p>
    <w:p w:rsidR="000A3B5C" w:rsidRPr="005173FD" w:rsidRDefault="000A3B5C" w:rsidP="000A3B5C">
      <w:pPr>
        <w:pStyle w:val="RubrikC"/>
      </w:pPr>
      <w:bookmarkStart w:id="16" w:name="_Toc19623973"/>
      <w:r w:rsidRPr="005173FD">
        <w:t>Fastighetsverket</w:t>
      </w:r>
      <w:bookmarkEnd w:id="16"/>
    </w:p>
    <w:p w:rsidR="000A3B5C" w:rsidRPr="00640E2A" w:rsidRDefault="000A3B5C" w:rsidP="000A3B5C">
      <w:pPr>
        <w:pStyle w:val="Rubrikmellanrum"/>
      </w:pPr>
    </w:p>
    <w:p w:rsidR="000A3B5C" w:rsidRPr="00640E2A" w:rsidRDefault="000A3B5C" w:rsidP="000A3B5C">
      <w:pPr>
        <w:pStyle w:val="ANormal"/>
      </w:pPr>
      <w:r w:rsidRPr="00640E2A">
        <w:t>Fastighetsverkets sifferbokslut ingår som en kortfatta</w:t>
      </w:r>
      <w:r w:rsidR="00414E83" w:rsidRPr="00640E2A">
        <w:t>d</w:t>
      </w:r>
      <w:r w:rsidRPr="00640E2A">
        <w:t xml:space="preserve"> bilaga i årsredovi</w:t>
      </w:r>
      <w:r w:rsidRPr="00640E2A">
        <w:t>s</w:t>
      </w:r>
      <w:r w:rsidRPr="00640E2A">
        <w:t>ningen. Därutöver publicerar fastighetsverket en egen längre årsredovi</w:t>
      </w:r>
      <w:r w:rsidRPr="00640E2A">
        <w:t>s</w:t>
      </w:r>
      <w:r w:rsidRPr="00640E2A">
        <w:t xml:space="preserve">ning. Fastighetsverkets rörelseresultat uppgick till 5,1 (4,5) miljoner euro. Enligt budgeten för 2018 skulle fastighetsverkets budgeterade resultat uppgå till 6,5 miljoner euro. Underskottet i förhållande till budgeten uppgår </w:t>
      </w:r>
      <w:r w:rsidR="00414E83" w:rsidRPr="00640E2A">
        <w:t xml:space="preserve">således </w:t>
      </w:r>
      <w:r w:rsidRPr="00640E2A">
        <w:t xml:space="preserve">till nästan 1,5 miljoner euro av vilket 0,5 miljoner har en förklaring i form av högre avskrivningar än planerat. </w:t>
      </w:r>
    </w:p>
    <w:p w:rsidR="003D6F3C" w:rsidRDefault="003D6F3C" w:rsidP="002555BF">
      <w:pPr>
        <w:pStyle w:val="ANormal"/>
      </w:pPr>
    </w:p>
    <w:p w:rsidR="00AF6B8C" w:rsidRDefault="00AF6B8C" w:rsidP="002555BF">
      <w:pPr>
        <w:pStyle w:val="ANormal"/>
      </w:pPr>
    </w:p>
    <w:p w:rsidR="00AF6B8C" w:rsidRDefault="00AF6B8C" w:rsidP="002555BF">
      <w:pPr>
        <w:pStyle w:val="ANormal"/>
      </w:pPr>
    </w:p>
    <w:p w:rsidR="00AF6B8C" w:rsidRDefault="00AF6B8C" w:rsidP="00AF6B8C">
      <w:pPr>
        <w:pStyle w:val="RubrikC"/>
      </w:pPr>
      <w:bookmarkStart w:id="17" w:name="_Toc19623974"/>
      <w:r>
        <w:t>Landskapets bolag</w:t>
      </w:r>
      <w:bookmarkEnd w:id="17"/>
    </w:p>
    <w:p w:rsidR="00AF6B8C" w:rsidRPr="00AF6B8C" w:rsidRDefault="00AF6B8C" w:rsidP="00AF6B8C">
      <w:pPr>
        <w:pStyle w:val="Rubrikmellanrum"/>
      </w:pPr>
    </w:p>
    <w:p w:rsidR="00103629" w:rsidRPr="00C20998" w:rsidRDefault="00876059" w:rsidP="002555BF">
      <w:pPr>
        <w:pStyle w:val="ANormal"/>
      </w:pPr>
      <w:r>
        <w:tab/>
      </w:r>
      <w:r w:rsidR="00AF6B8C" w:rsidRPr="00C20998">
        <w:t xml:space="preserve">Utskottet har tagit del av boksluten för Ålands Utvecklings Ab och Ålands Fastighets Ab, två bolag vars verksamhet </w:t>
      </w:r>
      <w:r w:rsidR="00B9497B" w:rsidRPr="00C20998">
        <w:t xml:space="preserve">delvis har </w:t>
      </w:r>
      <w:r w:rsidR="005173FD" w:rsidRPr="00C20998">
        <w:t>sam</w:t>
      </w:r>
      <w:r w:rsidR="00AF6B8C" w:rsidRPr="00C20998">
        <w:t>administr</w:t>
      </w:r>
      <w:r w:rsidR="00AF6B8C" w:rsidRPr="00C20998">
        <w:t>e</w:t>
      </w:r>
      <w:r w:rsidR="00AF6B8C" w:rsidRPr="00C20998">
        <w:t>ra</w:t>
      </w:r>
      <w:r w:rsidR="00B9497B" w:rsidRPr="00C20998">
        <w:t>t</w:t>
      </w:r>
      <w:r w:rsidR="00AF6B8C" w:rsidRPr="00C20998">
        <w:t xml:space="preserve">s och </w:t>
      </w:r>
      <w:r w:rsidR="005173FD" w:rsidRPr="00C20998">
        <w:t>i stor utsträckning har</w:t>
      </w:r>
      <w:r w:rsidR="00AF6B8C" w:rsidRPr="00C20998">
        <w:t xml:space="preserve"> sammanfallande ekonomiska verksamheter. </w:t>
      </w:r>
      <w:r w:rsidRPr="00C20998">
        <w:t xml:space="preserve">Utskottet har </w:t>
      </w:r>
      <w:r w:rsidR="00AF6B8C" w:rsidRPr="00C20998">
        <w:t>kunnat</w:t>
      </w:r>
      <w:r w:rsidRPr="00C20998">
        <w:t xml:space="preserve"> notera att det </w:t>
      </w:r>
      <w:r w:rsidR="00AF6B8C" w:rsidRPr="00C20998">
        <w:t xml:space="preserve">såväl i bolagsrevisorns som </w:t>
      </w:r>
      <w:r w:rsidRPr="00C20998">
        <w:t>i landskap</w:t>
      </w:r>
      <w:r w:rsidRPr="00C20998">
        <w:t>s</w:t>
      </w:r>
      <w:r w:rsidRPr="00C20998">
        <w:t>revisorns berättelse ingår en notering gällande användningen av E</w:t>
      </w:r>
      <w:r w:rsidR="003C7A70" w:rsidRPr="00C20998">
        <w:t>RUF-medel i Ålands Utvecklings A</w:t>
      </w:r>
      <w:r w:rsidRPr="00C20998">
        <w:t xml:space="preserve">b. </w:t>
      </w:r>
      <w:r w:rsidR="007C198F" w:rsidRPr="00C20998">
        <w:t>Bolaget hade vid utgången av bo</w:t>
      </w:r>
      <w:r w:rsidRPr="00C20998">
        <w:t>k</w:t>
      </w:r>
      <w:r w:rsidR="007C198F" w:rsidRPr="00C20998">
        <w:t>s</w:t>
      </w:r>
      <w:r w:rsidRPr="00C20998">
        <w:t>lutsåret 201</w:t>
      </w:r>
      <w:r w:rsidR="00AF6B8C" w:rsidRPr="00C20998">
        <w:t>8</w:t>
      </w:r>
      <w:r w:rsidRPr="00C20998">
        <w:t xml:space="preserve"> pantsatt 1,0 miljon euro från ERUF-medlen som säkerhet</w:t>
      </w:r>
      <w:r w:rsidR="00AF6B8C" w:rsidRPr="00C20998">
        <w:t xml:space="preserve"> för bolagets egen checkkredit</w:t>
      </w:r>
      <w:r w:rsidR="005173FD" w:rsidRPr="00C20998">
        <w:t>, vilken är till för bolagets egen verksamhet</w:t>
      </w:r>
      <w:r w:rsidRPr="00C20998">
        <w:t xml:space="preserve">. Utskottet konstaterar i likhet med bolagets revisorer och landskapsrevisorn att </w:t>
      </w:r>
      <w:r w:rsidR="00640E2A" w:rsidRPr="00C20998">
        <w:t>ERUF-m</w:t>
      </w:r>
      <w:r w:rsidRPr="00C20998">
        <w:t>edl</w:t>
      </w:r>
      <w:r w:rsidR="00640E2A" w:rsidRPr="00C20998">
        <w:t>en</w:t>
      </w:r>
      <w:r w:rsidRPr="00C20998">
        <w:t xml:space="preserve"> inte </w:t>
      </w:r>
      <w:r w:rsidR="007C198F" w:rsidRPr="00C20998">
        <w:t>får</w:t>
      </w:r>
      <w:r w:rsidRPr="00C20998">
        <w:t xml:space="preserve"> sammanblandas med bolagets egen verksamhet</w:t>
      </w:r>
      <w:r w:rsidR="00AF6B8C" w:rsidRPr="00C20998">
        <w:t xml:space="preserve"> och uppm</w:t>
      </w:r>
      <w:r w:rsidR="00AF6B8C" w:rsidRPr="00C20998">
        <w:t>a</w:t>
      </w:r>
      <w:r w:rsidR="00AF6B8C" w:rsidRPr="00C20998">
        <w:t>nar landskapsregeringen att utöva en aktivare ägarroll för att undvika hä</w:t>
      </w:r>
      <w:r w:rsidR="00AF6B8C" w:rsidRPr="00C20998">
        <w:t>n</w:t>
      </w:r>
      <w:r w:rsidR="00AF6B8C" w:rsidRPr="00C20998">
        <w:t>delser av denna typ</w:t>
      </w:r>
      <w:r w:rsidRPr="00C20998">
        <w:t>.</w:t>
      </w:r>
      <w:r w:rsidR="00AF6B8C" w:rsidRPr="00C20998">
        <w:t xml:space="preserve"> </w:t>
      </w:r>
    </w:p>
    <w:p w:rsidR="00103629" w:rsidRPr="003C7A70" w:rsidRDefault="00103629" w:rsidP="002555BF">
      <w:pPr>
        <w:pStyle w:val="ANormal"/>
      </w:pPr>
      <w:r>
        <w:rPr>
          <w:color w:val="FF0000"/>
        </w:rPr>
        <w:tab/>
      </w:r>
      <w:r w:rsidR="00AF6B8C" w:rsidRPr="003C7A70">
        <w:t>Utskottet konstaterar vidare att det ges mycket knapphändig information om bolagen, t</w:t>
      </w:r>
      <w:r w:rsidR="000C5E78" w:rsidRPr="003C7A70">
        <w:t xml:space="preserve">ill </w:t>
      </w:r>
      <w:r w:rsidR="00AF6B8C" w:rsidRPr="003C7A70">
        <w:t>ex</w:t>
      </w:r>
      <w:r w:rsidR="000C5E78" w:rsidRPr="003C7A70">
        <w:t>empel</w:t>
      </w:r>
      <w:r w:rsidR="00AF6B8C" w:rsidRPr="003C7A70">
        <w:t xml:space="preserve"> har det inte uppgjorts verksamhetsberättelser för bolagen</w:t>
      </w:r>
      <w:r w:rsidRPr="003C7A70">
        <w:t>. Ålands Fastighets Ab har som huvudverksamhet att äga fastighe</w:t>
      </w:r>
      <w:r w:rsidRPr="003C7A70">
        <w:t>t</w:t>
      </w:r>
      <w:r w:rsidRPr="003C7A70">
        <w:t xml:space="preserve">er och byggnader. Trots detta snäva verksamhetsområde går det inte </w:t>
      </w:r>
      <w:r w:rsidR="000C5E78" w:rsidRPr="003C7A70">
        <w:t>utg</w:t>
      </w:r>
      <w:r w:rsidR="000C5E78" w:rsidRPr="003C7A70">
        <w:t>å</w:t>
      </w:r>
      <w:r w:rsidR="000C5E78" w:rsidRPr="003C7A70">
        <w:t>ende från bokslutsuppgifterna att</w:t>
      </w:r>
      <w:r w:rsidRPr="003C7A70">
        <w:t xml:space="preserve"> </w:t>
      </w:r>
      <w:r w:rsidR="000C5E78" w:rsidRPr="003C7A70">
        <w:t xml:space="preserve">geografiskt </w:t>
      </w:r>
      <w:r w:rsidR="00901C71" w:rsidRPr="003C7A70">
        <w:t>lokalisera två av de tre</w:t>
      </w:r>
      <w:r w:rsidRPr="003C7A70">
        <w:t xml:space="preserve"> fasti</w:t>
      </w:r>
      <w:r w:rsidRPr="003C7A70">
        <w:t>g</w:t>
      </w:r>
      <w:r w:rsidRPr="003C7A70">
        <w:t>heter som bolaget</w:t>
      </w:r>
      <w:r w:rsidR="00901C71" w:rsidRPr="003C7A70">
        <w:t xml:space="preserve"> äger</w:t>
      </w:r>
      <w:r w:rsidRPr="003C7A70">
        <w:t>.</w:t>
      </w:r>
    </w:p>
    <w:p w:rsidR="00876059" w:rsidRPr="003C7A70" w:rsidRDefault="00103629" w:rsidP="002555BF">
      <w:pPr>
        <w:pStyle w:val="ANormal"/>
      </w:pPr>
      <w:r w:rsidRPr="003C7A70">
        <w:tab/>
        <w:t>Även om</w:t>
      </w:r>
      <w:r w:rsidR="00AF6B8C" w:rsidRPr="003C7A70">
        <w:t xml:space="preserve"> bokföringslagen</w:t>
      </w:r>
      <w:r w:rsidR="00015AEF" w:rsidRPr="003C7A70">
        <w:t xml:space="preserve"> </w:t>
      </w:r>
      <w:r w:rsidRPr="003C7A70">
        <w:t xml:space="preserve">inte </w:t>
      </w:r>
      <w:r w:rsidR="008B3E10" w:rsidRPr="003C7A70">
        <w:t xml:space="preserve">uttryckligen </w:t>
      </w:r>
      <w:r w:rsidRPr="003C7A70">
        <w:t xml:space="preserve">kräver </w:t>
      </w:r>
      <w:r w:rsidR="00015AEF" w:rsidRPr="003C7A70">
        <w:t>att ver</w:t>
      </w:r>
      <w:r w:rsidRPr="003C7A70">
        <w:t>ks</w:t>
      </w:r>
      <w:r w:rsidR="00015AEF" w:rsidRPr="003C7A70">
        <w:t>amhetsberä</w:t>
      </w:r>
      <w:r w:rsidR="00015AEF" w:rsidRPr="003C7A70">
        <w:t>t</w:t>
      </w:r>
      <w:r w:rsidR="00015AEF" w:rsidRPr="003C7A70">
        <w:t xml:space="preserve">telse ska uppgöras </w:t>
      </w:r>
      <w:r w:rsidRPr="003C7A70">
        <w:t>anser u</w:t>
      </w:r>
      <w:r w:rsidR="00015AEF" w:rsidRPr="003C7A70">
        <w:t xml:space="preserve">tskottet </w:t>
      </w:r>
      <w:r w:rsidRPr="003C7A70">
        <w:t>a</w:t>
      </w:r>
      <w:r w:rsidR="00015AEF" w:rsidRPr="003C7A70">
        <w:t>tt verksamheten i samtliga de bolag i vilk</w:t>
      </w:r>
      <w:r w:rsidR="00C20998">
        <w:t>a</w:t>
      </w:r>
      <w:r w:rsidR="00015AEF" w:rsidRPr="003C7A70">
        <w:t xml:space="preserve"> landskapet har </w:t>
      </w:r>
      <w:r w:rsidR="00B03D6C" w:rsidRPr="003C7A70">
        <w:t xml:space="preserve">en </w:t>
      </w:r>
      <w:r w:rsidR="00015AEF" w:rsidRPr="003C7A70">
        <w:t xml:space="preserve">ägarandel </w:t>
      </w:r>
      <w:r w:rsidRPr="003C7A70">
        <w:t>har ett</w:t>
      </w:r>
      <w:r w:rsidR="00015AEF" w:rsidRPr="003C7A70">
        <w:t xml:space="preserve"> allmänt intresse</w:t>
      </w:r>
      <w:r w:rsidRPr="003C7A70">
        <w:t xml:space="preserve">, varför </w:t>
      </w:r>
      <w:r w:rsidR="00CC5482" w:rsidRPr="003C7A70">
        <w:t>all väsen</w:t>
      </w:r>
      <w:r w:rsidR="00CC5482" w:rsidRPr="003C7A70">
        <w:t>t</w:t>
      </w:r>
      <w:r w:rsidR="00CC5482" w:rsidRPr="003C7A70">
        <w:t>lig</w:t>
      </w:r>
      <w:r w:rsidRPr="003C7A70">
        <w:t xml:space="preserve"> information om deras verksamhet ska gå att få fram</w:t>
      </w:r>
      <w:r w:rsidR="008B3E10" w:rsidRPr="003C7A70">
        <w:t xml:space="preserve"> och att verksa</w:t>
      </w:r>
      <w:r w:rsidR="008B3E10" w:rsidRPr="003C7A70">
        <w:t>m</w:t>
      </w:r>
      <w:r w:rsidR="008B3E10" w:rsidRPr="003C7A70">
        <w:t>hetsberättelse ska uppgöras samt att bokslutens not</w:t>
      </w:r>
      <w:r w:rsidR="00CC5482" w:rsidRPr="003C7A70">
        <w:t>er</w:t>
      </w:r>
      <w:r w:rsidR="008B3E10" w:rsidRPr="003C7A70">
        <w:t xml:space="preserve"> ska vara adekvat</w:t>
      </w:r>
      <w:r w:rsidR="00CC5482" w:rsidRPr="003C7A70">
        <w:t>a</w:t>
      </w:r>
      <w:r w:rsidR="00015AEF" w:rsidRPr="003C7A70">
        <w:t>.</w:t>
      </w:r>
      <w:r w:rsidR="00C20998">
        <w:t xml:space="preserve"> U</w:t>
      </w:r>
      <w:r w:rsidR="00C20998">
        <w:t>t</w:t>
      </w:r>
      <w:r w:rsidR="00C20998">
        <w:t xml:space="preserve">skottet uppmanar därför landskapsregeringen att </w:t>
      </w:r>
      <w:proofErr w:type="gramStart"/>
      <w:r w:rsidR="00C20998">
        <w:t>tillse</w:t>
      </w:r>
      <w:proofErr w:type="gramEnd"/>
      <w:r w:rsidR="00C20998">
        <w:t xml:space="preserve"> att detta utförs.</w:t>
      </w:r>
    </w:p>
    <w:p w:rsidR="00C46A55" w:rsidRDefault="00C46A55" w:rsidP="002555BF">
      <w:pPr>
        <w:pStyle w:val="ANormal"/>
      </w:pPr>
    </w:p>
    <w:p w:rsidR="00C46A55" w:rsidRPr="00923E3D" w:rsidRDefault="00C46A55" w:rsidP="00C46A55">
      <w:pPr>
        <w:pStyle w:val="RubrikC"/>
      </w:pPr>
      <w:bookmarkStart w:id="18" w:name="_Toc19623975"/>
      <w:r>
        <w:t>Årsredovisningens överskådlighet</w:t>
      </w:r>
      <w:bookmarkEnd w:id="18"/>
    </w:p>
    <w:p w:rsidR="00C46A55" w:rsidRPr="00923E3D" w:rsidRDefault="00C46A55" w:rsidP="00C46A55">
      <w:pPr>
        <w:pStyle w:val="Rubrikmellanrum"/>
      </w:pPr>
    </w:p>
    <w:p w:rsidR="00C46A55" w:rsidRDefault="00C46A55" w:rsidP="00C46A55">
      <w:pPr>
        <w:pStyle w:val="ANormal"/>
      </w:pPr>
      <w:r w:rsidRPr="00D26588">
        <w:t>Utskottet har i sina betänka</w:t>
      </w:r>
      <w:r>
        <w:t>n</w:t>
      </w:r>
      <w:r w:rsidRPr="00D26588">
        <w:t xml:space="preserve">den </w:t>
      </w:r>
      <w:r>
        <w:t>över</w:t>
      </w:r>
      <w:r w:rsidRPr="00D26588">
        <w:t xml:space="preserve"> årsredovisningarna för åren 2016 och 2017 fört en diskussion om att landskapsregeringen bör överväga att up</w:t>
      </w:r>
      <w:r w:rsidRPr="00D26588">
        <w:t>p</w:t>
      </w:r>
      <w:r w:rsidRPr="00D26588">
        <w:t xml:space="preserve">göra koncernbokslut. Utskottet </w:t>
      </w:r>
      <w:proofErr w:type="gramStart"/>
      <w:r w:rsidRPr="00D26588">
        <w:t>erfar</w:t>
      </w:r>
      <w:proofErr w:type="gramEnd"/>
      <w:r w:rsidRPr="00D26588">
        <w:t xml:space="preserve"> att det nuvarande ekonomisystemet inte stöder uppgörandet av ett koncernbokslut, men att det på sikt kan bli nödvändigt i och med att allt större enheter verkar utanför budgetekonomin och den nuvarande resultat- och balansräkningen. Förutom Landskapets fastighetsverk äger landskapet 50 % eller mer i följande bolag som högst sannolikt skulle ingå i ett koncernbokslut: Kraftnät Åland ab, Långnäs Hamn ab, Ålands Fastighets ab, Posten Åland ab, Ålands Radio &amp; TV Ab, Ålands Utvecklings Ab och Åda Ab. </w:t>
      </w:r>
    </w:p>
    <w:p w:rsidR="00C46A55" w:rsidRDefault="00C46A55" w:rsidP="00C46A55">
      <w:pPr>
        <w:pStyle w:val="ANormal"/>
      </w:pPr>
      <w:r>
        <w:tab/>
        <w:t>Utskottet har på nytt bedömt frågan och konstaterar att ett koncernbo</w:t>
      </w:r>
      <w:r>
        <w:t>k</w:t>
      </w:r>
      <w:r>
        <w:t>slut är en tekniskt avancerad produkt som i sig inte ger allmänheten en bättre eller tydligare information om landskapets ekonomiska ställning. U</w:t>
      </w:r>
      <w:r>
        <w:t>t</w:t>
      </w:r>
      <w:r>
        <w:t>skottet uppmanar istället landskapsregeringen att överväga att på ett öve</w:t>
      </w:r>
      <w:r>
        <w:t>r</w:t>
      </w:r>
      <w:r>
        <w:t>skådligt sätt göra en presentation av landskapsregeringens och de underli</w:t>
      </w:r>
      <w:r>
        <w:t>g</w:t>
      </w:r>
      <w:r>
        <w:t>gande bolagens ekonomiska situation.</w:t>
      </w:r>
    </w:p>
    <w:p w:rsidR="00390A57" w:rsidRDefault="00390A57" w:rsidP="00C46A55">
      <w:pPr>
        <w:pStyle w:val="ANormal"/>
      </w:pPr>
    </w:p>
    <w:p w:rsidR="00390A57" w:rsidRDefault="00390A57" w:rsidP="00390A57">
      <w:pPr>
        <w:pStyle w:val="RubrikC"/>
      </w:pPr>
      <w:bookmarkStart w:id="19" w:name="_Toc19623976"/>
      <w:r w:rsidRPr="00923E3D">
        <w:t>Övriga påpekanden</w:t>
      </w:r>
      <w:bookmarkEnd w:id="19"/>
    </w:p>
    <w:p w:rsidR="00390A57" w:rsidRPr="00414E83" w:rsidRDefault="00390A57" w:rsidP="00390A57">
      <w:pPr>
        <w:pStyle w:val="Rubrikmellanrum"/>
      </w:pPr>
    </w:p>
    <w:p w:rsidR="00390A57" w:rsidRDefault="00390A57" w:rsidP="00390A57">
      <w:pPr>
        <w:pStyle w:val="ANormal"/>
      </w:pPr>
      <w:r w:rsidRPr="00923E3D">
        <w:t>Utskottet noterar vidare att driftreserveringen om en mil</w:t>
      </w:r>
      <w:r>
        <w:t>jon euro för ÅHS verksamhet, om vilket utskottet också har gjort påpekanden i sina betä</w:t>
      </w:r>
      <w:r>
        <w:t>n</w:t>
      </w:r>
      <w:r>
        <w:t>kanden över årsredovisningen för åren 2016 och 2017,</w:t>
      </w:r>
      <w:r w:rsidRPr="00923E3D">
        <w:t xml:space="preserve"> har lösts upp och </w:t>
      </w:r>
      <w:proofErr w:type="gramStart"/>
      <w:r>
        <w:t>e</w:t>
      </w:r>
      <w:r>
        <w:t>r</w:t>
      </w:r>
      <w:r>
        <w:t>farit</w:t>
      </w:r>
      <w:proofErr w:type="gramEnd"/>
      <w:r>
        <w:t xml:space="preserve"> </w:t>
      </w:r>
      <w:r w:rsidRPr="00923E3D">
        <w:t>att förfarandet med en driftreservering var en engångshändelse som inte kommer att upprepas.</w:t>
      </w:r>
    </w:p>
    <w:p w:rsidR="00390A57" w:rsidRPr="00195A8B" w:rsidRDefault="00390A57" w:rsidP="00C46A55">
      <w:pPr>
        <w:pStyle w:val="ANormal"/>
      </w:pPr>
      <w:r>
        <w:tab/>
      </w:r>
      <w:r w:rsidRPr="00195A8B">
        <w:t xml:space="preserve">Utskottet har också </w:t>
      </w:r>
      <w:proofErr w:type="gramStart"/>
      <w:r w:rsidRPr="00195A8B">
        <w:t>erfarit</w:t>
      </w:r>
      <w:proofErr w:type="gramEnd"/>
      <w:r w:rsidRPr="00195A8B">
        <w:t xml:space="preserve"> att det i årsredovisningens not 18 (sid. 200) finns ett tekniskt fel. Felet, som inte finns i själva bokföringen utan enbart i årsredovisningen</w:t>
      </w:r>
      <w:r w:rsidR="00195A8B" w:rsidRPr="00195A8B">
        <w:t>s not</w:t>
      </w:r>
      <w:r w:rsidRPr="00195A8B">
        <w:t xml:space="preserve">, </w:t>
      </w:r>
      <w:r w:rsidR="00AF4A8E" w:rsidRPr="00195A8B">
        <w:t xml:space="preserve">gäller </w:t>
      </w:r>
      <w:r w:rsidR="00195A8B" w:rsidRPr="00195A8B">
        <w:t xml:space="preserve">summeringsbeloppen under </w:t>
      </w:r>
      <w:r w:rsidR="00AF4A8E" w:rsidRPr="00195A8B">
        <w:t>rubriken</w:t>
      </w:r>
      <w:r w:rsidRPr="00195A8B">
        <w:t xml:space="preserve"> ”Kor</w:t>
      </w:r>
      <w:r w:rsidRPr="00195A8B">
        <w:t>t</w:t>
      </w:r>
      <w:r w:rsidRPr="00195A8B">
        <w:lastRenderedPageBreak/>
        <w:t>fristiga” för år 2017</w:t>
      </w:r>
      <w:r w:rsidR="00195A8B" w:rsidRPr="00195A8B">
        <w:t xml:space="preserve"> och 2018</w:t>
      </w:r>
      <w:r w:rsidRPr="00195A8B">
        <w:t xml:space="preserve"> </w:t>
      </w:r>
      <w:r w:rsidR="00195A8B" w:rsidRPr="00195A8B">
        <w:t>samt summeringen under rubriken ”Frä</w:t>
      </w:r>
      <w:r w:rsidR="00195A8B" w:rsidRPr="00195A8B">
        <w:t>m</w:t>
      </w:r>
      <w:r w:rsidR="00195A8B" w:rsidRPr="00195A8B">
        <w:t xml:space="preserve">mande kapital totalt” för år 2017 och 2018. </w:t>
      </w:r>
      <w:r w:rsidRPr="00195A8B">
        <w:t xml:space="preserve">Felet återfinns i motsvarande not i årsredovisningen för 2017. </w:t>
      </w:r>
      <w:r w:rsidR="00B97AC9" w:rsidRPr="00195A8B">
        <w:t>Den korrekta tabellen under not 18 åte</w:t>
      </w:r>
      <w:r w:rsidR="00B97AC9" w:rsidRPr="00195A8B">
        <w:t>r</w:t>
      </w:r>
      <w:r w:rsidR="00B97AC9" w:rsidRPr="00195A8B">
        <w:t>finns nedan.</w:t>
      </w:r>
    </w:p>
    <w:p w:rsidR="00AF4A8E" w:rsidRDefault="00AF4A8E" w:rsidP="00C46A55">
      <w:pPr>
        <w:pStyle w:val="ANormal"/>
        <w:rPr>
          <w:color w:val="FF0000"/>
        </w:rPr>
      </w:pPr>
    </w:p>
    <w:p w:rsidR="00B97AC9" w:rsidRPr="00AF6B8C" w:rsidRDefault="00B97AC9" w:rsidP="00C46A55">
      <w:pPr>
        <w:pStyle w:val="ANormal"/>
        <w:rPr>
          <w:color w:val="FF0000"/>
        </w:rPr>
      </w:pPr>
      <w:r w:rsidRPr="00B97AC9">
        <w:rPr>
          <w:noProof/>
          <w:lang w:val="sv-FI" w:eastAsia="sv-FI"/>
        </w:rPr>
        <w:drawing>
          <wp:inline distT="0" distB="0" distL="0" distR="0" wp14:anchorId="3854EA55" wp14:editId="2CAE9F3D">
            <wp:extent cx="2993428" cy="2333549"/>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4829" cy="2334641"/>
                    </a:xfrm>
                    <a:prstGeom prst="rect">
                      <a:avLst/>
                    </a:prstGeom>
                    <a:noFill/>
                    <a:ln>
                      <a:noFill/>
                    </a:ln>
                  </pic:spPr>
                </pic:pic>
              </a:graphicData>
            </a:graphic>
          </wp:inline>
        </w:drawing>
      </w:r>
    </w:p>
    <w:p w:rsidR="002401D0" w:rsidRDefault="002401D0">
      <w:pPr>
        <w:pStyle w:val="ANormal"/>
      </w:pPr>
    </w:p>
    <w:p w:rsidR="00B74B1D" w:rsidRDefault="00B74B1D">
      <w:pPr>
        <w:pStyle w:val="ANormal"/>
      </w:pPr>
    </w:p>
    <w:p w:rsidR="002401D0" w:rsidRDefault="002401D0">
      <w:pPr>
        <w:pStyle w:val="RubrikA"/>
      </w:pPr>
      <w:bookmarkStart w:id="20" w:name="_Toc529800936"/>
      <w:bookmarkStart w:id="21" w:name="_Toc19623977"/>
      <w:r>
        <w:t>Ärendets behandling</w:t>
      </w:r>
      <w:bookmarkEnd w:id="20"/>
      <w:bookmarkEnd w:id="21"/>
    </w:p>
    <w:p w:rsidR="002401D0" w:rsidRDefault="002401D0">
      <w:pPr>
        <w:pStyle w:val="Rubrikmellanrum"/>
      </w:pPr>
    </w:p>
    <w:p w:rsidR="0028660F" w:rsidRDefault="0028660F" w:rsidP="0028660F">
      <w:pPr>
        <w:pStyle w:val="ANormal"/>
      </w:pPr>
      <w:r>
        <w:rPr>
          <w:szCs w:val="22"/>
        </w:rPr>
        <w:t>Lagtinget har den 2</w:t>
      </w:r>
      <w:r w:rsidR="009D0715">
        <w:rPr>
          <w:szCs w:val="22"/>
        </w:rPr>
        <w:t>9</w:t>
      </w:r>
      <w:r>
        <w:rPr>
          <w:szCs w:val="22"/>
        </w:rPr>
        <w:t xml:space="preserve"> </w:t>
      </w:r>
      <w:r w:rsidR="009D0715">
        <w:rPr>
          <w:szCs w:val="22"/>
        </w:rPr>
        <w:t>maj 2019</w:t>
      </w:r>
      <w:r>
        <w:rPr>
          <w:szCs w:val="22"/>
        </w:rPr>
        <w:t xml:space="preserve"> </w:t>
      </w:r>
      <w:proofErr w:type="spellStart"/>
      <w:r>
        <w:rPr>
          <w:szCs w:val="22"/>
        </w:rPr>
        <w:t>inbegärt</w:t>
      </w:r>
      <w:proofErr w:type="spellEnd"/>
      <w:r>
        <w:rPr>
          <w:szCs w:val="22"/>
        </w:rPr>
        <w:t xml:space="preserve"> finans- och näringsutskottets yt</w:t>
      </w:r>
      <w:r>
        <w:rPr>
          <w:szCs w:val="22"/>
        </w:rPr>
        <w:t>t</w:t>
      </w:r>
      <w:r>
        <w:rPr>
          <w:szCs w:val="22"/>
        </w:rPr>
        <w:t>rande över budgetförslaget.</w:t>
      </w:r>
    </w:p>
    <w:p w:rsidR="009D0715" w:rsidRDefault="0028660F" w:rsidP="0028660F">
      <w:pPr>
        <w:pStyle w:val="ANormal"/>
      </w:pPr>
      <w:r w:rsidRPr="0004644E">
        <w:tab/>
      </w:r>
      <w:r>
        <w:t>Utskottet har i ärendet hört</w:t>
      </w:r>
      <w:r w:rsidR="00C772BB">
        <w:t xml:space="preserve"> </w:t>
      </w:r>
      <w:proofErr w:type="spellStart"/>
      <w:r w:rsidR="00E751B4">
        <w:t>vicelantrådet</w:t>
      </w:r>
      <w:proofErr w:type="spellEnd"/>
      <w:r w:rsidR="00E751B4">
        <w:t xml:space="preserve"> Camilla Gunell, </w:t>
      </w:r>
      <w:r w:rsidR="00C772BB">
        <w:t xml:space="preserve">ministern Mats </w:t>
      </w:r>
      <w:proofErr w:type="spellStart"/>
      <w:r w:rsidR="00AB6B1C">
        <w:t>P</w:t>
      </w:r>
      <w:r w:rsidR="00C772BB">
        <w:t>erämaa</w:t>
      </w:r>
      <w:proofErr w:type="spellEnd"/>
      <w:r w:rsidR="00C772BB">
        <w:t>,</w:t>
      </w:r>
      <w:r w:rsidR="00E751B4">
        <w:t xml:space="preserve"> </w:t>
      </w:r>
      <w:r w:rsidR="00C772BB">
        <w:t>finanschefen Conny Nyholm, redovisningschefen Susanna Matt</w:t>
      </w:r>
      <w:r w:rsidR="00C772BB">
        <w:t>s</w:t>
      </w:r>
      <w:r w:rsidR="00C772BB">
        <w:t>son</w:t>
      </w:r>
      <w:r w:rsidR="00A629BF">
        <w:t xml:space="preserve">, </w:t>
      </w:r>
      <w:r w:rsidR="00DC153D">
        <w:t xml:space="preserve">finanskontrollern Bodil Karlsson, </w:t>
      </w:r>
      <w:r w:rsidR="002827E4">
        <w:t xml:space="preserve">avdelningschefen Linnea Johansson, </w:t>
      </w:r>
      <w:r w:rsidR="00A629BF">
        <w:t>landskapsrevisorn Dan Bergman</w:t>
      </w:r>
      <w:r w:rsidR="009D0715">
        <w:t xml:space="preserve"> samt</w:t>
      </w:r>
      <w:r w:rsidR="00A629BF">
        <w:t xml:space="preserve"> hälso- och sjukvårdsdirektören Je</w:t>
      </w:r>
      <w:r w:rsidR="00A629BF">
        <w:t>a</w:t>
      </w:r>
      <w:r w:rsidR="00A629BF">
        <w:t>nette Pajunen</w:t>
      </w:r>
      <w:r w:rsidR="009D0715">
        <w:t>.</w:t>
      </w:r>
    </w:p>
    <w:p w:rsidR="0028660F" w:rsidRDefault="0028660F" w:rsidP="0028660F">
      <w:pPr>
        <w:pStyle w:val="ANormal"/>
      </w:pPr>
      <w:r>
        <w:tab/>
      </w:r>
      <w:r w:rsidRPr="00445762">
        <w:t>I ärendets a</w:t>
      </w:r>
      <w:r>
        <w:t>vgörande behandling deltog</w:t>
      </w:r>
      <w:r w:rsidR="002B1EAA">
        <w:t xml:space="preserve"> </w:t>
      </w:r>
      <w:r>
        <w:t>ordförande</w:t>
      </w:r>
      <w:r w:rsidR="002B1EAA">
        <w:t>n</w:t>
      </w:r>
      <w:r>
        <w:t xml:space="preserve"> </w:t>
      </w:r>
      <w:r w:rsidR="00640E2A">
        <w:t xml:space="preserve">Petri Carlsson </w:t>
      </w:r>
      <w:r>
        <w:t>samt</w:t>
      </w:r>
      <w:r w:rsidRPr="00DB5ECA">
        <w:t xml:space="preserve"> ledamöterna John Holmberg,</w:t>
      </w:r>
      <w:r>
        <w:t xml:space="preserve"> Lars Häggblom, Stephan Toivonen</w:t>
      </w:r>
      <w:r w:rsidR="002B1EAA">
        <w:t>, Ingrid Zetterman</w:t>
      </w:r>
      <w:r w:rsidR="00640E2A">
        <w:t xml:space="preserve"> och</w:t>
      </w:r>
      <w:r w:rsidR="009F06C0">
        <w:t xml:space="preserve"> vicetalmannen</w:t>
      </w:r>
      <w:r w:rsidR="002B1EAA">
        <w:t xml:space="preserve"> Veronica </w:t>
      </w:r>
      <w:proofErr w:type="spellStart"/>
      <w:r w:rsidR="002B1EAA">
        <w:t>Thörnroos</w:t>
      </w:r>
      <w:proofErr w:type="spellEnd"/>
      <w:r w:rsidR="00640E2A">
        <w:t>.</w:t>
      </w:r>
    </w:p>
    <w:p w:rsidR="002401D0" w:rsidRDefault="002401D0">
      <w:pPr>
        <w:pStyle w:val="ANormal"/>
      </w:pPr>
    </w:p>
    <w:p w:rsidR="002401D0" w:rsidRDefault="002401D0">
      <w:pPr>
        <w:pStyle w:val="ANormal"/>
      </w:pPr>
    </w:p>
    <w:p w:rsidR="002401D0" w:rsidRDefault="002401D0">
      <w:pPr>
        <w:pStyle w:val="RubrikA"/>
      </w:pPr>
      <w:bookmarkStart w:id="22" w:name="_Toc529800937"/>
      <w:bookmarkStart w:id="23" w:name="_Toc19623978"/>
      <w:r>
        <w:t>Utskottets förslag</w:t>
      </w:r>
      <w:bookmarkEnd w:id="22"/>
      <w:bookmarkEnd w:id="23"/>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7730AE" w:rsidRDefault="002401D0" w:rsidP="0028660F">
      <w:pPr>
        <w:pStyle w:val="Klam"/>
      </w:pPr>
      <w:r>
        <w:t>att lagtinget</w:t>
      </w:r>
      <w:r w:rsidR="0028660F">
        <w:rPr>
          <w:szCs w:val="22"/>
        </w:rPr>
        <w:t xml:space="preserve"> </w:t>
      </w:r>
      <w:r w:rsidR="0028660F" w:rsidRPr="00700244">
        <w:t>antecknar sig landskapsregeringens redogörelse över årsredovisningen per den 31.12.201</w:t>
      </w:r>
      <w:r w:rsidR="002B1EAA">
        <w:t>8</w:t>
      </w:r>
      <w:r w:rsidR="0028660F">
        <w:t xml:space="preserve"> jämte </w:t>
      </w:r>
      <w:r w:rsidR="0028660F" w:rsidRPr="00700244">
        <w:t xml:space="preserve">landskapsrevisionens berättelse </w:t>
      </w:r>
      <w:r w:rsidR="0028660F">
        <w:t xml:space="preserve">för kännedom </w:t>
      </w:r>
      <w:r w:rsidR="0028660F" w:rsidRPr="00700244">
        <w:t xml:space="preserve">samt </w:t>
      </w:r>
    </w:p>
    <w:p w:rsidR="004F27E9" w:rsidRPr="004F27E9" w:rsidRDefault="004F27E9" w:rsidP="004F27E9">
      <w:pPr>
        <w:pStyle w:val="ANormal"/>
      </w:pPr>
    </w:p>
    <w:p w:rsidR="0028660F" w:rsidRPr="00700244" w:rsidRDefault="0028660F" w:rsidP="0028660F">
      <w:pPr>
        <w:pStyle w:val="Klam"/>
      </w:pPr>
      <w:proofErr w:type="gramStart"/>
      <w:r w:rsidRPr="00700244">
        <w:t>att utskottets betänkande bringas till landskapsregeringens känn</w:t>
      </w:r>
      <w:r w:rsidRPr="00700244">
        <w:t>e</w:t>
      </w:r>
      <w:r w:rsidRPr="00700244">
        <w:t>dom.</w:t>
      </w:r>
      <w:proofErr w:type="gramEnd"/>
    </w:p>
    <w:p w:rsidR="002401D0" w:rsidRDefault="002401D0">
      <w:pPr>
        <w:pStyle w:val="Klam"/>
      </w:pPr>
    </w:p>
    <w:p w:rsidR="002401D0" w:rsidRDefault="00EF2D73">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E751B4">
            <w:pPr>
              <w:pStyle w:val="ANormal"/>
              <w:keepNext/>
            </w:pPr>
            <w:r>
              <w:lastRenderedPageBreak/>
              <w:t xml:space="preserve">Mariehamn den </w:t>
            </w:r>
            <w:r w:rsidR="00E751B4">
              <w:t>17</w:t>
            </w:r>
            <w:r w:rsidR="0028660F">
              <w:t xml:space="preserve"> </w:t>
            </w:r>
            <w:r w:rsidR="008B2E9B">
              <w:t>september</w:t>
            </w:r>
            <w:r w:rsidR="0028660F">
              <w:t xml:space="preserve"> 201</w:t>
            </w:r>
            <w:r w:rsidR="002B1EAA">
              <w:t>9</w:t>
            </w:r>
          </w:p>
        </w:tc>
      </w:tr>
      <w:tr w:rsidR="002401D0">
        <w:tc>
          <w:tcPr>
            <w:tcW w:w="4454" w:type="dxa"/>
            <w:vAlign w:val="bottom"/>
          </w:tcPr>
          <w:p w:rsidR="002401D0" w:rsidRDefault="002401D0">
            <w:pPr>
              <w:pStyle w:val="ANormal"/>
              <w:keepNext/>
            </w:pPr>
          </w:p>
          <w:p w:rsidR="008B2E9B" w:rsidRDefault="008B2E9B">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28660F">
            <w:pPr>
              <w:pStyle w:val="ANormal"/>
              <w:keepNext/>
            </w:pPr>
            <w:r>
              <w:t>Petri Carlsson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28660F">
            <w:pPr>
              <w:pStyle w:val="ANormal"/>
              <w:keepNext/>
            </w:pPr>
            <w:r>
              <w:t>Sten Eriksson</w:t>
            </w:r>
          </w:p>
        </w:tc>
      </w:tr>
    </w:tbl>
    <w:p w:rsidR="002401D0" w:rsidRDefault="002401D0">
      <w:pPr>
        <w:pStyle w:val="ANormal"/>
      </w:pPr>
    </w:p>
    <w:sectPr w:rsidR="002401D0">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C9" w:rsidRDefault="00B97AC9">
      <w:r>
        <w:separator/>
      </w:r>
    </w:p>
  </w:endnote>
  <w:endnote w:type="continuationSeparator" w:id="0">
    <w:p w:rsidR="00B97AC9" w:rsidRDefault="00B9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C9" w:rsidRDefault="00B97AC9">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C9" w:rsidRDefault="00B97AC9">
    <w:pPr>
      <w:pStyle w:val="Sidfot"/>
      <w:rPr>
        <w:lang w:val="fi-FI"/>
      </w:rPr>
    </w:pPr>
    <w:r>
      <w:fldChar w:fldCharType="begin"/>
    </w:r>
    <w:r>
      <w:rPr>
        <w:lang w:val="fi-FI"/>
      </w:rPr>
      <w:instrText xml:space="preserve"> FILENAME  \* MERGEFORMAT </w:instrText>
    </w:r>
    <w:r>
      <w:fldChar w:fldCharType="separate"/>
    </w:r>
    <w:r w:rsidR="00EF2D73">
      <w:rPr>
        <w:noProof/>
        <w:lang w:val="fi-FI"/>
      </w:rPr>
      <w:t>FNU2520182019.docx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C9" w:rsidRDefault="00B97AC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C9" w:rsidRDefault="00B97AC9">
      <w:r>
        <w:separator/>
      </w:r>
    </w:p>
  </w:footnote>
  <w:footnote w:type="continuationSeparator" w:id="0">
    <w:p w:rsidR="00B97AC9" w:rsidRDefault="00B97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C9" w:rsidRDefault="00B97AC9">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EF2D73">
      <w:rPr>
        <w:rStyle w:val="Sidnummer"/>
        <w:noProof/>
      </w:rPr>
      <w:t>6</w:t>
    </w:r>
    <w:r>
      <w:rPr>
        <w:rStyle w:val="Sidnummer"/>
      </w:rPr>
      <w:fldChar w:fldCharType="end"/>
    </w:r>
  </w:p>
  <w:p w:rsidR="00B97AC9" w:rsidRDefault="00B97AC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C9" w:rsidRDefault="00B97AC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EF2D73">
      <w:rPr>
        <w:rStyle w:val="Sidnummer"/>
        <w:noProof/>
      </w:rPr>
      <w:t>5</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85"/>
    <w:rsid w:val="0000155F"/>
    <w:rsid w:val="00003789"/>
    <w:rsid w:val="00015AEF"/>
    <w:rsid w:val="00015E9C"/>
    <w:rsid w:val="00023409"/>
    <w:rsid w:val="00051556"/>
    <w:rsid w:val="00074652"/>
    <w:rsid w:val="00080809"/>
    <w:rsid w:val="000A3B5C"/>
    <w:rsid w:val="000B2DC9"/>
    <w:rsid w:val="000C1885"/>
    <w:rsid w:val="000C5E78"/>
    <w:rsid w:val="000E74D9"/>
    <w:rsid w:val="000F32A0"/>
    <w:rsid w:val="000F7417"/>
    <w:rsid w:val="00103629"/>
    <w:rsid w:val="00104E9F"/>
    <w:rsid w:val="0012136A"/>
    <w:rsid w:val="00140161"/>
    <w:rsid w:val="0015337C"/>
    <w:rsid w:val="00195A8B"/>
    <w:rsid w:val="001B131E"/>
    <w:rsid w:val="001D2A05"/>
    <w:rsid w:val="001E0424"/>
    <w:rsid w:val="002401D0"/>
    <w:rsid w:val="002555BF"/>
    <w:rsid w:val="00261E9E"/>
    <w:rsid w:val="00276D4F"/>
    <w:rsid w:val="002827E4"/>
    <w:rsid w:val="0028660F"/>
    <w:rsid w:val="002B1EAA"/>
    <w:rsid w:val="00306A3F"/>
    <w:rsid w:val="00311ED4"/>
    <w:rsid w:val="003145DC"/>
    <w:rsid w:val="0036359C"/>
    <w:rsid w:val="00366A7E"/>
    <w:rsid w:val="00384C67"/>
    <w:rsid w:val="00390A57"/>
    <w:rsid w:val="00396C85"/>
    <w:rsid w:val="003A410F"/>
    <w:rsid w:val="003C7A70"/>
    <w:rsid w:val="003D4464"/>
    <w:rsid w:val="003D6F3C"/>
    <w:rsid w:val="003F3A5C"/>
    <w:rsid w:val="003F4905"/>
    <w:rsid w:val="00414E83"/>
    <w:rsid w:val="00431F72"/>
    <w:rsid w:val="004A0E23"/>
    <w:rsid w:val="004A43C6"/>
    <w:rsid w:val="004F27E9"/>
    <w:rsid w:val="00506820"/>
    <w:rsid w:val="005173FD"/>
    <w:rsid w:val="0052146E"/>
    <w:rsid w:val="0053343B"/>
    <w:rsid w:val="0055767C"/>
    <w:rsid w:val="00577410"/>
    <w:rsid w:val="005C7DA8"/>
    <w:rsid w:val="005D48B7"/>
    <w:rsid w:val="006219B7"/>
    <w:rsid w:val="0063064B"/>
    <w:rsid w:val="00640E2A"/>
    <w:rsid w:val="0066595E"/>
    <w:rsid w:val="006B2E9E"/>
    <w:rsid w:val="006F5146"/>
    <w:rsid w:val="00702060"/>
    <w:rsid w:val="007115B4"/>
    <w:rsid w:val="00723B93"/>
    <w:rsid w:val="00752D7B"/>
    <w:rsid w:val="007730AE"/>
    <w:rsid w:val="007C1486"/>
    <w:rsid w:val="007C198F"/>
    <w:rsid w:val="00811D50"/>
    <w:rsid w:val="00817B04"/>
    <w:rsid w:val="00830A55"/>
    <w:rsid w:val="00831E23"/>
    <w:rsid w:val="00837646"/>
    <w:rsid w:val="008522F4"/>
    <w:rsid w:val="00857757"/>
    <w:rsid w:val="0086750F"/>
    <w:rsid w:val="00876059"/>
    <w:rsid w:val="008A4892"/>
    <w:rsid w:val="008B2E9B"/>
    <w:rsid w:val="008B3E10"/>
    <w:rsid w:val="008C010E"/>
    <w:rsid w:val="008F11A4"/>
    <w:rsid w:val="00901C71"/>
    <w:rsid w:val="00923E3D"/>
    <w:rsid w:val="00930631"/>
    <w:rsid w:val="0093302F"/>
    <w:rsid w:val="009335E1"/>
    <w:rsid w:val="00957C36"/>
    <w:rsid w:val="00963E35"/>
    <w:rsid w:val="00982306"/>
    <w:rsid w:val="00984B19"/>
    <w:rsid w:val="009B2ED2"/>
    <w:rsid w:val="009B418F"/>
    <w:rsid w:val="009C3ECD"/>
    <w:rsid w:val="009D0715"/>
    <w:rsid w:val="009D73B2"/>
    <w:rsid w:val="009E038E"/>
    <w:rsid w:val="009E7FCC"/>
    <w:rsid w:val="009F06C0"/>
    <w:rsid w:val="009F7CE2"/>
    <w:rsid w:val="00A177E8"/>
    <w:rsid w:val="00A234A9"/>
    <w:rsid w:val="00A629BF"/>
    <w:rsid w:val="00A855FB"/>
    <w:rsid w:val="00AA38B4"/>
    <w:rsid w:val="00AB6B1C"/>
    <w:rsid w:val="00AF4A8E"/>
    <w:rsid w:val="00AF6B8C"/>
    <w:rsid w:val="00B01CE8"/>
    <w:rsid w:val="00B03D6C"/>
    <w:rsid w:val="00B266EA"/>
    <w:rsid w:val="00B32E91"/>
    <w:rsid w:val="00B36A8F"/>
    <w:rsid w:val="00B45252"/>
    <w:rsid w:val="00B569FE"/>
    <w:rsid w:val="00B74B1D"/>
    <w:rsid w:val="00B90DEC"/>
    <w:rsid w:val="00B94710"/>
    <w:rsid w:val="00B9497B"/>
    <w:rsid w:val="00B96D48"/>
    <w:rsid w:val="00B97AC9"/>
    <w:rsid w:val="00BC2BEF"/>
    <w:rsid w:val="00C20998"/>
    <w:rsid w:val="00C25CBC"/>
    <w:rsid w:val="00C324A1"/>
    <w:rsid w:val="00C352B6"/>
    <w:rsid w:val="00C46A55"/>
    <w:rsid w:val="00C56047"/>
    <w:rsid w:val="00C6611C"/>
    <w:rsid w:val="00C772BB"/>
    <w:rsid w:val="00C81F01"/>
    <w:rsid w:val="00C901DA"/>
    <w:rsid w:val="00CB087E"/>
    <w:rsid w:val="00CC5482"/>
    <w:rsid w:val="00CD704E"/>
    <w:rsid w:val="00CE5256"/>
    <w:rsid w:val="00CF700E"/>
    <w:rsid w:val="00D16403"/>
    <w:rsid w:val="00D255C3"/>
    <w:rsid w:val="00D26588"/>
    <w:rsid w:val="00D97E84"/>
    <w:rsid w:val="00DA4B23"/>
    <w:rsid w:val="00DC153D"/>
    <w:rsid w:val="00DC45B2"/>
    <w:rsid w:val="00DC7A0C"/>
    <w:rsid w:val="00DD200A"/>
    <w:rsid w:val="00DE0F61"/>
    <w:rsid w:val="00E0709F"/>
    <w:rsid w:val="00E34A24"/>
    <w:rsid w:val="00E45CFC"/>
    <w:rsid w:val="00E751B4"/>
    <w:rsid w:val="00EC68F1"/>
    <w:rsid w:val="00EF2CB7"/>
    <w:rsid w:val="00EF2D73"/>
    <w:rsid w:val="00F21901"/>
    <w:rsid w:val="00F23C7C"/>
    <w:rsid w:val="00F318FD"/>
    <w:rsid w:val="00F651A5"/>
    <w:rsid w:val="00F77544"/>
    <w:rsid w:val="00F90A79"/>
    <w:rsid w:val="00F96115"/>
    <w:rsid w:val="00FB6B85"/>
    <w:rsid w:val="00FD1F5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28660F"/>
    <w:rPr>
      <w:sz w:val="22"/>
      <w:lang w:val="sv-SE" w:eastAsia="sv-SE"/>
    </w:rPr>
  </w:style>
  <w:style w:type="paragraph" w:styleId="Ballongtext">
    <w:name w:val="Balloon Text"/>
    <w:basedOn w:val="Normal"/>
    <w:link w:val="BallongtextChar"/>
    <w:rsid w:val="00B266EA"/>
    <w:rPr>
      <w:rFonts w:ascii="Tahoma" w:hAnsi="Tahoma" w:cs="Tahoma"/>
      <w:sz w:val="16"/>
      <w:szCs w:val="16"/>
    </w:rPr>
  </w:style>
  <w:style w:type="character" w:customStyle="1" w:styleId="BallongtextChar">
    <w:name w:val="Ballongtext Char"/>
    <w:basedOn w:val="Standardstycketeckensnitt"/>
    <w:link w:val="Ballongtext"/>
    <w:rsid w:val="00B266EA"/>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28660F"/>
    <w:rPr>
      <w:sz w:val="22"/>
      <w:lang w:val="sv-SE" w:eastAsia="sv-SE"/>
    </w:rPr>
  </w:style>
  <w:style w:type="paragraph" w:styleId="Ballongtext">
    <w:name w:val="Balloon Text"/>
    <w:basedOn w:val="Normal"/>
    <w:link w:val="BallongtextChar"/>
    <w:rsid w:val="00B266EA"/>
    <w:rPr>
      <w:rFonts w:ascii="Tahoma" w:hAnsi="Tahoma" w:cs="Tahoma"/>
      <w:sz w:val="16"/>
      <w:szCs w:val="16"/>
    </w:rPr>
  </w:style>
  <w:style w:type="character" w:customStyle="1" w:styleId="BallongtextChar">
    <w:name w:val="Ballongtext Char"/>
    <w:basedOn w:val="Standardstycketeckensnitt"/>
    <w:link w:val="Ballongtext"/>
    <w:rsid w:val="00B266EA"/>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rs0220182019.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6A91D1CB.dotm</Template>
  <TotalTime>4</TotalTime>
  <Pages>6</Pages>
  <Words>1696</Words>
  <Characters>12555</Characters>
  <Application>Microsoft Office Word</Application>
  <DocSecurity>0</DocSecurity>
  <Lines>104</Lines>
  <Paragraphs>28</Paragraphs>
  <ScaleCrop>false</ScaleCrop>
  <HeadingPairs>
    <vt:vector size="2" baseType="variant">
      <vt:variant>
        <vt:lpstr>Rubrik</vt:lpstr>
      </vt:variant>
      <vt:variant>
        <vt:i4>1</vt:i4>
      </vt:variant>
    </vt:vector>
  </HeadingPairs>
  <TitlesOfParts>
    <vt:vector size="1" baseType="lpstr">
      <vt:lpstr>Finans- och näringsutskottets betänkande nr 25/2018-2019</vt:lpstr>
    </vt:vector>
  </TitlesOfParts>
  <Company>Ålands lagting</Company>
  <LinksUpToDate>false</LinksUpToDate>
  <CharactersWithSpaces>14223</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25/2018-2019</dc:title>
  <dc:creator>Jessica Laaksonen</dc:creator>
  <cp:lastModifiedBy>Jessica Laaksonen</cp:lastModifiedBy>
  <cp:revision>4</cp:revision>
  <cp:lastPrinted>2019-09-17T11:56:00Z</cp:lastPrinted>
  <dcterms:created xsi:type="dcterms:W3CDTF">2019-09-17T11:55:00Z</dcterms:created>
  <dcterms:modified xsi:type="dcterms:W3CDTF">2019-09-17T12:00:00Z</dcterms:modified>
</cp:coreProperties>
</file>