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A70CC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A70CC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EB67B1">
            <w:pPr>
              <w:pStyle w:val="xDokTypNr"/>
            </w:pPr>
            <w:r>
              <w:t xml:space="preserve">BETÄNKANDE nr </w:t>
            </w:r>
            <w:r w:rsidR="00EB67B1">
              <w:t>22</w:t>
            </w:r>
            <w:r>
              <w:t>/20</w:t>
            </w:r>
            <w:r w:rsidR="00723B93">
              <w:t>1</w:t>
            </w:r>
            <w:r w:rsidR="00982380">
              <w:t>8</w:t>
            </w:r>
            <w:r w:rsidR="0015337C">
              <w:t>-20</w:t>
            </w:r>
            <w:r w:rsidR="009F7CE2">
              <w:t>1</w:t>
            </w:r>
            <w:r w:rsidR="00982380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982380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D70E54">
            <w:pPr>
              <w:pStyle w:val="xDatum1"/>
            </w:pPr>
            <w:r>
              <w:t>20</w:t>
            </w:r>
            <w:r w:rsidR="00B32E91">
              <w:t>1</w:t>
            </w:r>
            <w:r w:rsidR="00982380">
              <w:t>9-09-</w:t>
            </w:r>
            <w:r w:rsidR="00D70E54">
              <w:t>1</w:t>
            </w:r>
            <w:r w:rsidR="00117F58">
              <w:t>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982380">
      <w:pPr>
        <w:pStyle w:val="ArendeOverRubrik"/>
      </w:pPr>
      <w:r>
        <w:lastRenderedPageBreak/>
        <w:t>Lag och kultur</w:t>
      </w:r>
      <w:r w:rsidR="002401D0">
        <w:t>utskottets betänkande</w:t>
      </w:r>
    </w:p>
    <w:p w:rsidR="006F4436" w:rsidRDefault="00982380" w:rsidP="006F4436">
      <w:pPr>
        <w:pStyle w:val="ArendeRubrik"/>
      </w:pPr>
      <w:r>
        <w:t xml:space="preserve">Republikens presidents framställning </w:t>
      </w:r>
      <w:r w:rsidRPr="007C413E">
        <w:t xml:space="preserve">till Ålands lagting om </w:t>
      </w:r>
      <w:r w:rsidR="006F4436">
        <w:t>s</w:t>
      </w:r>
      <w:r w:rsidR="006F4436" w:rsidRPr="00D859BC">
        <w:t>tatsrådets föror</w:t>
      </w:r>
      <w:r w:rsidR="006F4436">
        <w:t xml:space="preserve">dning </w:t>
      </w:r>
      <w:r w:rsidR="006F4436" w:rsidRPr="00EB0F98">
        <w:t>om sättande i kraft av det enligt avsnitt 1.5.1 i bilaga A till den europeiska överenskommelsen om internationell transport av farligt gods på väg (ADR)</w:t>
      </w:r>
    </w:p>
    <w:p w:rsidR="002401D0" w:rsidRDefault="00294878">
      <w:pPr>
        <w:pStyle w:val="ArendeUnderRubrik"/>
      </w:pPr>
      <w:hyperlink r:id="rId12" w:history="1">
        <w:r w:rsidR="00982380" w:rsidRPr="00FA2B85">
          <w:rPr>
            <w:rStyle w:val="Hyperlnk"/>
          </w:rPr>
          <w:t>Republike</w:t>
        </w:r>
        <w:r w:rsidR="006F4436" w:rsidRPr="00FA2B85">
          <w:rPr>
            <w:rStyle w:val="Hyperlnk"/>
          </w:rPr>
          <w:t>ns presidents framställning RP 9</w:t>
        </w:r>
        <w:r w:rsidR="00982380" w:rsidRPr="00FA2B85">
          <w:rPr>
            <w:rStyle w:val="Hyperlnk"/>
          </w:rPr>
          <w:t>/2018-2019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D70E5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9605205" w:history="1">
        <w:r w:rsidR="00D70E54" w:rsidRPr="00880054">
          <w:rPr>
            <w:rStyle w:val="Hyperlnk"/>
          </w:rPr>
          <w:t>Republikens presidents förslag</w:t>
        </w:r>
        <w:r w:rsidR="00D70E54">
          <w:rPr>
            <w:webHidden/>
          </w:rPr>
          <w:tab/>
        </w:r>
        <w:r w:rsidR="00D70E54">
          <w:rPr>
            <w:webHidden/>
          </w:rPr>
          <w:fldChar w:fldCharType="begin"/>
        </w:r>
        <w:r w:rsidR="00D70E54">
          <w:rPr>
            <w:webHidden/>
          </w:rPr>
          <w:instrText xml:space="preserve"> PAGEREF _Toc19605205 \h </w:instrText>
        </w:r>
        <w:r w:rsidR="00D70E54">
          <w:rPr>
            <w:webHidden/>
          </w:rPr>
        </w:r>
        <w:r w:rsidR="00D70E54">
          <w:rPr>
            <w:webHidden/>
          </w:rPr>
          <w:fldChar w:fldCharType="separate"/>
        </w:r>
        <w:r w:rsidR="00B1174A">
          <w:rPr>
            <w:webHidden/>
          </w:rPr>
          <w:t>1</w:t>
        </w:r>
        <w:r w:rsidR="00D70E54">
          <w:rPr>
            <w:webHidden/>
          </w:rPr>
          <w:fldChar w:fldCharType="end"/>
        </w:r>
      </w:hyperlink>
    </w:p>
    <w:p w:rsidR="00D70E54" w:rsidRDefault="0029487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9605206" w:history="1">
        <w:r w:rsidR="00D70E54" w:rsidRPr="00880054">
          <w:rPr>
            <w:rStyle w:val="Hyperlnk"/>
          </w:rPr>
          <w:t>Landskapsregeringens yttrande</w:t>
        </w:r>
        <w:r w:rsidR="00D70E54">
          <w:rPr>
            <w:webHidden/>
          </w:rPr>
          <w:tab/>
        </w:r>
        <w:r w:rsidR="00D70E54">
          <w:rPr>
            <w:webHidden/>
          </w:rPr>
          <w:fldChar w:fldCharType="begin"/>
        </w:r>
        <w:r w:rsidR="00D70E54">
          <w:rPr>
            <w:webHidden/>
          </w:rPr>
          <w:instrText xml:space="preserve"> PAGEREF _Toc19605206 \h </w:instrText>
        </w:r>
        <w:r w:rsidR="00D70E54">
          <w:rPr>
            <w:webHidden/>
          </w:rPr>
        </w:r>
        <w:r w:rsidR="00D70E54">
          <w:rPr>
            <w:webHidden/>
          </w:rPr>
          <w:fldChar w:fldCharType="separate"/>
        </w:r>
        <w:r w:rsidR="00B1174A">
          <w:rPr>
            <w:webHidden/>
          </w:rPr>
          <w:t>1</w:t>
        </w:r>
        <w:r w:rsidR="00D70E54">
          <w:rPr>
            <w:webHidden/>
          </w:rPr>
          <w:fldChar w:fldCharType="end"/>
        </w:r>
      </w:hyperlink>
    </w:p>
    <w:p w:rsidR="00D70E54" w:rsidRDefault="0029487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9605207" w:history="1">
        <w:r w:rsidR="00D70E54" w:rsidRPr="00880054">
          <w:rPr>
            <w:rStyle w:val="Hyperlnk"/>
          </w:rPr>
          <w:t>Utskottets synpunkter</w:t>
        </w:r>
        <w:r w:rsidR="00D70E54">
          <w:rPr>
            <w:webHidden/>
          </w:rPr>
          <w:tab/>
        </w:r>
        <w:r w:rsidR="00D70E54">
          <w:rPr>
            <w:webHidden/>
          </w:rPr>
          <w:fldChar w:fldCharType="begin"/>
        </w:r>
        <w:r w:rsidR="00D70E54">
          <w:rPr>
            <w:webHidden/>
          </w:rPr>
          <w:instrText xml:space="preserve"> PAGEREF _Toc19605207 \h </w:instrText>
        </w:r>
        <w:r w:rsidR="00D70E54">
          <w:rPr>
            <w:webHidden/>
          </w:rPr>
        </w:r>
        <w:r w:rsidR="00D70E54">
          <w:rPr>
            <w:webHidden/>
          </w:rPr>
          <w:fldChar w:fldCharType="separate"/>
        </w:r>
        <w:r w:rsidR="00B1174A">
          <w:rPr>
            <w:webHidden/>
          </w:rPr>
          <w:t>2</w:t>
        </w:r>
        <w:r w:rsidR="00D70E54">
          <w:rPr>
            <w:webHidden/>
          </w:rPr>
          <w:fldChar w:fldCharType="end"/>
        </w:r>
      </w:hyperlink>
    </w:p>
    <w:p w:rsidR="00D70E54" w:rsidRDefault="0029487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9605208" w:history="1">
        <w:r w:rsidR="00D70E54" w:rsidRPr="00880054">
          <w:rPr>
            <w:rStyle w:val="Hyperlnk"/>
          </w:rPr>
          <w:t>Ärendets behandling</w:t>
        </w:r>
        <w:r w:rsidR="00D70E54">
          <w:rPr>
            <w:webHidden/>
          </w:rPr>
          <w:tab/>
        </w:r>
        <w:r w:rsidR="00D70E54">
          <w:rPr>
            <w:webHidden/>
          </w:rPr>
          <w:fldChar w:fldCharType="begin"/>
        </w:r>
        <w:r w:rsidR="00D70E54">
          <w:rPr>
            <w:webHidden/>
          </w:rPr>
          <w:instrText xml:space="preserve"> PAGEREF _Toc19605208 \h </w:instrText>
        </w:r>
        <w:r w:rsidR="00D70E54">
          <w:rPr>
            <w:webHidden/>
          </w:rPr>
        </w:r>
        <w:r w:rsidR="00D70E54">
          <w:rPr>
            <w:webHidden/>
          </w:rPr>
          <w:fldChar w:fldCharType="separate"/>
        </w:r>
        <w:r w:rsidR="00B1174A">
          <w:rPr>
            <w:webHidden/>
          </w:rPr>
          <w:t>2</w:t>
        </w:r>
        <w:r w:rsidR="00D70E54">
          <w:rPr>
            <w:webHidden/>
          </w:rPr>
          <w:fldChar w:fldCharType="end"/>
        </w:r>
      </w:hyperlink>
    </w:p>
    <w:p w:rsidR="00D70E54" w:rsidRDefault="0029487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9605209" w:history="1">
        <w:r w:rsidR="00D70E54" w:rsidRPr="00880054">
          <w:rPr>
            <w:rStyle w:val="Hyperlnk"/>
          </w:rPr>
          <w:t>Utskottets förslag</w:t>
        </w:r>
        <w:r w:rsidR="00D70E54">
          <w:rPr>
            <w:webHidden/>
          </w:rPr>
          <w:tab/>
        </w:r>
        <w:r w:rsidR="00D70E54">
          <w:rPr>
            <w:webHidden/>
          </w:rPr>
          <w:fldChar w:fldCharType="begin"/>
        </w:r>
        <w:r w:rsidR="00D70E54">
          <w:rPr>
            <w:webHidden/>
          </w:rPr>
          <w:instrText xml:space="preserve"> PAGEREF _Toc19605209 \h </w:instrText>
        </w:r>
        <w:r w:rsidR="00D70E54">
          <w:rPr>
            <w:webHidden/>
          </w:rPr>
        </w:r>
        <w:r w:rsidR="00D70E54">
          <w:rPr>
            <w:webHidden/>
          </w:rPr>
          <w:fldChar w:fldCharType="separate"/>
        </w:r>
        <w:r w:rsidR="00B1174A">
          <w:rPr>
            <w:webHidden/>
          </w:rPr>
          <w:t>2</w:t>
        </w:r>
        <w:r w:rsidR="00D70E54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982380" w:rsidRDefault="00982380" w:rsidP="00982380">
      <w:pPr>
        <w:pStyle w:val="RubrikA"/>
      </w:pPr>
      <w:bookmarkStart w:id="1" w:name="_Toc531597707"/>
      <w:bookmarkStart w:id="2" w:name="_Toc536022285"/>
      <w:bookmarkStart w:id="3" w:name="_Toc19605205"/>
      <w:r>
        <w:t>Republikens presidents förslag</w:t>
      </w:r>
      <w:bookmarkEnd w:id="1"/>
      <w:bookmarkEnd w:id="2"/>
      <w:bookmarkEnd w:id="3"/>
    </w:p>
    <w:p w:rsidR="002401D0" w:rsidRDefault="002401D0">
      <w:pPr>
        <w:pStyle w:val="Rubrikmellanrum"/>
      </w:pPr>
    </w:p>
    <w:p w:rsidR="00982380" w:rsidRDefault="00982380" w:rsidP="00982380">
      <w:pPr>
        <w:pStyle w:val="ANormal"/>
      </w:pPr>
      <w:r>
        <w:t xml:space="preserve">Republikens president föreslår att </w:t>
      </w:r>
      <w:r w:rsidRPr="0076141A">
        <w:t>lagting</w:t>
      </w:r>
      <w:r>
        <w:t xml:space="preserve">et </w:t>
      </w:r>
      <w:r w:rsidRPr="0076141A">
        <w:t xml:space="preserve">ger sitt bifall till att </w:t>
      </w:r>
      <w:r w:rsidR="00A70CCF">
        <w:t>förordnin</w:t>
      </w:r>
      <w:r w:rsidR="00A70CCF">
        <w:t>g</w:t>
      </w:r>
      <w:r w:rsidR="00A70CCF">
        <w:t>en</w:t>
      </w:r>
      <w:r>
        <w:t xml:space="preserve"> träder i kraft på Åland till de delar </w:t>
      </w:r>
      <w:r w:rsidR="006F4436">
        <w:t>avtalet</w:t>
      </w:r>
      <w:r>
        <w:t xml:space="preserve"> faller inom landskapets beh</w:t>
      </w:r>
      <w:r>
        <w:t>ö</w:t>
      </w:r>
      <w:r>
        <w:t>righet.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A70CCF" w:rsidRDefault="00A70CCF" w:rsidP="00A70CCF">
      <w:pPr>
        <w:pStyle w:val="RubrikA"/>
      </w:pPr>
      <w:bookmarkStart w:id="4" w:name="_Toc524345509"/>
      <w:bookmarkStart w:id="5" w:name="_Toc528748836"/>
      <w:bookmarkStart w:id="6" w:name="_Toc531597708"/>
      <w:bookmarkStart w:id="7" w:name="_Toc536022286"/>
      <w:bookmarkStart w:id="8" w:name="_Toc19605206"/>
      <w:r>
        <w:t>Landskapsregeringens yttrande</w:t>
      </w:r>
      <w:bookmarkEnd w:id="4"/>
      <w:bookmarkEnd w:id="5"/>
      <w:bookmarkEnd w:id="6"/>
      <w:bookmarkEnd w:id="7"/>
      <w:bookmarkEnd w:id="8"/>
    </w:p>
    <w:p w:rsidR="002401D0" w:rsidRDefault="002401D0">
      <w:pPr>
        <w:pStyle w:val="Rubrikmellanrum"/>
      </w:pPr>
    </w:p>
    <w:p w:rsidR="006F4436" w:rsidRDefault="00BE592D" w:rsidP="006F4436">
      <w:pPr>
        <w:pStyle w:val="ANormal"/>
      </w:pPr>
      <w:r>
        <w:t xml:space="preserve">Landskapsregeringen hänvisar inledningsvis i sitt yttrande </w:t>
      </w:r>
      <w:r w:rsidR="00D70E54">
        <w:t>till att</w:t>
      </w:r>
      <w:r>
        <w:t xml:space="preserve"> </w:t>
      </w:r>
      <w:r w:rsidR="006F4436" w:rsidRPr="003E5E54">
        <w:t>Artikel 4, 1 mom. i Konvention angående Ålandsöarnas icke-befästande och neutral</w:t>
      </w:r>
      <w:r w:rsidR="006F4436" w:rsidRPr="003E5E54">
        <w:t>i</w:t>
      </w:r>
      <w:r w:rsidR="006F4436" w:rsidRPr="003E5E54">
        <w:t xml:space="preserve">sering från 1921 föreskriver att ”Med förbehåll för bestämmelserna i artikel 7 </w:t>
      </w:r>
      <w:proofErr w:type="gramStart"/>
      <w:r w:rsidR="006F4436" w:rsidRPr="003E5E54">
        <w:t>må</w:t>
      </w:r>
      <w:proofErr w:type="gramEnd"/>
      <w:r w:rsidR="006F4436" w:rsidRPr="003E5E54">
        <w:t xml:space="preserve"> icke någon militär land-, sjö- eller luftstyrka tillhörande någon som helst makt intränga i eller uppehålla sig inom den i artikel 2 angivna zonen. Tillverkning, införsel, transitering och återutförsel av vapen och krigsmat</w:t>
      </w:r>
      <w:r w:rsidR="006F4436" w:rsidRPr="003E5E54">
        <w:t>e</w:t>
      </w:r>
      <w:r w:rsidR="006F4436" w:rsidRPr="003E5E54">
        <w:t>riel inom densamma är uttryckligen förbjudna.” Transport av militärt material är alltså otillåtet inom den demilitariserade zonen på Åland. Zonen utsträckning definieras i samma konvention.</w:t>
      </w:r>
      <w:r w:rsidR="006F4436">
        <w:t xml:space="preserve">  </w:t>
      </w:r>
    </w:p>
    <w:p w:rsidR="006F4436" w:rsidRDefault="00BE592D" w:rsidP="006F4436">
      <w:pPr>
        <w:pStyle w:val="ANormal"/>
      </w:pPr>
      <w:r>
        <w:tab/>
      </w:r>
      <w:r w:rsidR="006F4436">
        <w:t>Den europeiska överenskommelsen om internationell transport av farligt gods på väg från år 1957 trädde i kraft i Finland år 1979 (</w:t>
      </w:r>
      <w:proofErr w:type="spellStart"/>
      <w:r w:rsidR="006F4436" w:rsidRPr="00C51BAB">
        <w:t>FördrS</w:t>
      </w:r>
      <w:proofErr w:type="spellEnd"/>
      <w:r w:rsidR="006F4436">
        <w:t xml:space="preserve"> 23/1979, ADR). I enlighet med artikel 4.3 i ADR har de fördragsslutande parterna rätt att genom bilaterala eller multilaterala fördrag överenskomma om att farligt gods på vissa villkor kan godkännas för A</w:t>
      </w:r>
      <w:r w:rsidR="00117F58">
        <w:t>R</w:t>
      </w:r>
      <w:r w:rsidR="006F4436">
        <w:t>D-transport, fastän transporten inte tillåts enligt ADR-bestämmelserna. De fördragsslutande parterna har även rätt att genom bilaterala eller multilaterala överensko</w:t>
      </w:r>
      <w:r w:rsidR="006F4436">
        <w:t>m</w:t>
      </w:r>
      <w:r w:rsidR="006F4436">
        <w:t xml:space="preserve">melser bestämma om mindre stränga villkor vid transport av vissa farliga ämnen på vissa villkor. </w:t>
      </w:r>
    </w:p>
    <w:p w:rsidR="00BE592D" w:rsidRDefault="006F4436" w:rsidP="006F4436">
      <w:pPr>
        <w:pStyle w:val="ANormal"/>
      </w:pPr>
      <w:r>
        <w:tab/>
        <w:t>Överenskommelse</w:t>
      </w:r>
      <w:r w:rsidR="00BE592D">
        <w:t>n</w:t>
      </w:r>
      <w:r>
        <w:t xml:space="preserve"> tillämpas i internationella ADR-transporter mellan de ADR-territorier som undertecknat överenskommelsen. Även transitlä</w:t>
      </w:r>
      <w:r>
        <w:t>n</w:t>
      </w:r>
      <w:r>
        <w:t>der behöver ha undertecknat överenskommelsen för att transporten ska ha rätt att följa överenskommelsen. En ADR-överenskommelse får även ti</w:t>
      </w:r>
      <w:r>
        <w:t>l</w:t>
      </w:r>
      <w:r>
        <w:t xml:space="preserve">lämpas på nationella transporter av farliga ämnen. </w:t>
      </w:r>
    </w:p>
    <w:p w:rsidR="006F4436" w:rsidRPr="00ED585C" w:rsidRDefault="00BE592D" w:rsidP="00BE592D">
      <w:pPr>
        <w:pStyle w:val="ANormal"/>
      </w:pPr>
      <w:r>
        <w:lastRenderedPageBreak/>
        <w:tab/>
      </w:r>
      <w:r w:rsidR="006F4436">
        <w:t xml:space="preserve">Riket föreslår </w:t>
      </w:r>
      <w:r>
        <w:t xml:space="preserve">nu </w:t>
      </w:r>
      <w:r w:rsidR="006F4436">
        <w:t>i förordning att det multilaterala avtalet M313 framt</w:t>
      </w:r>
      <w:r w:rsidR="006F4436">
        <w:t>a</w:t>
      </w:r>
      <w:r w:rsidR="006F4436">
        <w:t>get enligt avsnitt 1.5.1 i bilaga A till den europeiska överenskommelsen om internationell transport av farligt gods på väg (ADR) sätts i kraft.</w:t>
      </w:r>
      <w:r>
        <w:t xml:space="preserve"> </w:t>
      </w:r>
      <w:r w:rsidR="006F4436">
        <w:t>Överen</w:t>
      </w:r>
      <w:r w:rsidR="006F4436">
        <w:t>s</w:t>
      </w:r>
      <w:r w:rsidR="006F4436">
        <w:t>kommelsen reglerar transport av explosiva ämnen och varor av klass 1 som tillhör militären, och som packats innan den 1 januari 1990 i enlighet med då gällande ADR-krav. Dessa ämnen och varor behöver inte märkas om e</w:t>
      </w:r>
      <w:r w:rsidR="006F4436">
        <w:t>n</w:t>
      </w:r>
      <w:r w:rsidR="006F4436">
        <w:t>ligt nu gällande regler i avsnitten 5.2.1.1 och 5.2.2.1, vilka bl.a. ställer krav på att varje del är skilt uppmärkt. Märkningen ska dock uppfylla kraven e</w:t>
      </w:r>
      <w:r w:rsidR="006F4436">
        <w:t>n</w:t>
      </w:r>
      <w:r w:rsidR="006F4436">
        <w:t xml:space="preserve">ligt avsnitt 5.1.2.1 i ADR, där material kan märkas upp med relevanta UN-nummer på ytterhöljet istället. </w:t>
      </w:r>
    </w:p>
    <w:p w:rsidR="006F4436" w:rsidRDefault="00BE592D" w:rsidP="006F4436">
      <w:pPr>
        <w:pStyle w:val="ANormal"/>
      </w:pPr>
      <w:r>
        <w:tab/>
      </w:r>
      <w:r w:rsidR="006F4436">
        <w:t xml:space="preserve">Den multilaterala överenskommelsen avser märkning av militärt gods vid transport på väg. </w:t>
      </w:r>
      <w:r>
        <w:t>L</w:t>
      </w:r>
      <w:r w:rsidR="006F4436">
        <w:t xml:space="preserve">andskapsregering konstaterar att militärt material inte får transporteras inom den demilitariserade zonen enligt artikel 4, 1 mom. i </w:t>
      </w:r>
      <w:r>
        <w:t>k</w:t>
      </w:r>
      <w:r w:rsidR="006F4436">
        <w:t>onvention</w:t>
      </w:r>
      <w:r>
        <w:t>en</w:t>
      </w:r>
      <w:r w:rsidR="006F4436">
        <w:t xml:space="preserve"> om icke-befästande och neutralisering av Ålandsöa</w:t>
      </w:r>
      <w:r w:rsidR="006F4436">
        <w:t>r</w:t>
      </w:r>
      <w:r w:rsidR="006F4436">
        <w:t xml:space="preserve">na från 1921. Landskapsregeringen ser därför hinder </w:t>
      </w:r>
      <w:r w:rsidR="00D70E54">
        <w:t>mot</w:t>
      </w:r>
      <w:r w:rsidR="006F4436">
        <w:t xml:space="preserve"> att lagtinget ger sitt bifall till överenskommelsens ikraftträdandeförordning.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5"/>
      <w:bookmarkStart w:id="10" w:name="_Toc19605207"/>
      <w:r>
        <w:t>Utskottets synpunkter</w:t>
      </w:r>
      <w:bookmarkEnd w:id="9"/>
      <w:bookmarkEnd w:id="10"/>
    </w:p>
    <w:p w:rsidR="002401D0" w:rsidRDefault="002401D0">
      <w:pPr>
        <w:pStyle w:val="Rubrikmellanrum"/>
      </w:pPr>
    </w:p>
    <w:p w:rsidR="009538EC" w:rsidRPr="00D64451" w:rsidRDefault="009538EC" w:rsidP="00020C0C">
      <w:pPr>
        <w:pStyle w:val="ANormal"/>
      </w:pPr>
      <w:r w:rsidRPr="00D64451">
        <w:t xml:space="preserve">Transport- och kommunikationsverket har </w:t>
      </w:r>
      <w:r>
        <w:t xml:space="preserve">i maj 2019 </w:t>
      </w:r>
      <w:r w:rsidRPr="00D64451">
        <w:t xml:space="preserve">ingått </w:t>
      </w:r>
      <w:r>
        <w:t xml:space="preserve">ett </w:t>
      </w:r>
      <w:r w:rsidRPr="00D64451">
        <w:t>multilate</w:t>
      </w:r>
      <w:r>
        <w:t>ralt</w:t>
      </w:r>
      <w:r w:rsidRPr="00D64451">
        <w:t xml:space="preserve"> avtal M313</w:t>
      </w:r>
      <w:r>
        <w:t>,</w:t>
      </w:r>
      <w:r w:rsidRPr="00D64451">
        <w:t xml:space="preserve"> enligt </w:t>
      </w:r>
      <w:r>
        <w:t>en</w:t>
      </w:r>
      <w:r w:rsidRPr="00D64451">
        <w:t xml:space="preserve"> bilaga till den europeiska överenskommelsen om i</w:t>
      </w:r>
      <w:r w:rsidRPr="00D64451">
        <w:t>n</w:t>
      </w:r>
      <w:r w:rsidRPr="00D64451">
        <w:t>ternationell transport av farligt gods på väg</w:t>
      </w:r>
      <w:r>
        <w:t xml:space="preserve">. </w:t>
      </w:r>
      <w:r w:rsidRPr="00D64451">
        <w:t xml:space="preserve">Bestämmelserna i avtalet </w:t>
      </w:r>
      <w:r>
        <w:t>sätts</w:t>
      </w:r>
      <w:r w:rsidRPr="00D64451">
        <w:t xml:space="preserve"> i kraft </w:t>
      </w:r>
      <w:r>
        <w:t>genom en</w:t>
      </w:r>
      <w:r w:rsidRPr="00D64451">
        <w:t xml:space="preserve"> förordning</w:t>
      </w:r>
      <w:r>
        <w:t xml:space="preserve"> till vilken </w:t>
      </w:r>
      <w:proofErr w:type="gramStart"/>
      <w:r>
        <w:t>lagtingets</w:t>
      </w:r>
      <w:proofErr w:type="gramEnd"/>
      <w:r>
        <w:t xml:space="preserve"> samtycke </w:t>
      </w:r>
      <w:proofErr w:type="spellStart"/>
      <w:r>
        <w:t>inbegärs</w:t>
      </w:r>
      <w:proofErr w:type="spellEnd"/>
      <w:r>
        <w:t>.</w:t>
      </w:r>
    </w:p>
    <w:p w:rsidR="00020C0C" w:rsidRDefault="009538EC">
      <w:pPr>
        <w:pStyle w:val="ANormal"/>
      </w:pPr>
      <w:r>
        <w:tab/>
      </w:r>
      <w:r w:rsidR="00BE592D">
        <w:t xml:space="preserve">Enligt vad utskottet har fått </w:t>
      </w:r>
      <w:proofErr w:type="gramStart"/>
      <w:r w:rsidR="00BE592D">
        <w:t>erfara</w:t>
      </w:r>
      <w:proofErr w:type="gramEnd"/>
      <w:r w:rsidR="00BE592D">
        <w:t xml:space="preserve"> </w:t>
      </w:r>
      <w:r w:rsidRPr="009538EC">
        <w:t xml:space="preserve">har </w:t>
      </w:r>
      <w:r>
        <w:t xml:space="preserve">den </w:t>
      </w:r>
      <w:r w:rsidRPr="00D64451">
        <w:t>europeiska överenskomme</w:t>
      </w:r>
      <w:r w:rsidRPr="00D64451">
        <w:t>l</w:t>
      </w:r>
      <w:r w:rsidRPr="00D64451">
        <w:t>se</w:t>
      </w:r>
      <w:r>
        <w:t>n</w:t>
      </w:r>
      <w:r w:rsidRPr="00D64451">
        <w:t xml:space="preserve"> om internationell transport av farligt gods på väg</w:t>
      </w:r>
      <w:r w:rsidRPr="009538EC">
        <w:t xml:space="preserve"> </w:t>
      </w:r>
      <w:r>
        <w:t xml:space="preserve">från 1979 </w:t>
      </w:r>
      <w:r w:rsidRPr="009538EC">
        <w:t>inte sänts till lagtinget för bifall</w:t>
      </w:r>
      <w:r>
        <w:t xml:space="preserve"> eftersom den sattes i kraft </w:t>
      </w:r>
      <w:r w:rsidRPr="009538EC">
        <w:t>genom en förordning</w:t>
      </w:r>
      <w:r>
        <w:t>.</w:t>
      </w:r>
      <w:r w:rsidR="00020C0C">
        <w:t xml:space="preserve"> </w:t>
      </w:r>
      <w:r w:rsidR="00020C0C" w:rsidRPr="00456ED1">
        <w:t>Lag- och kulturutskottet har i ett motsvarande ärende gällande godkännande av det fakultativa protokollet till konventionen mot tortyr och annan grym, omänsklig eller förnedrande behandling eller bestraffning, inhämtat ett utl</w:t>
      </w:r>
      <w:r w:rsidR="00020C0C" w:rsidRPr="00456ED1">
        <w:t>å</w:t>
      </w:r>
      <w:r w:rsidR="00020C0C" w:rsidRPr="00456ED1">
        <w:t>tande från självstyrelsepolitiska nämnden. I utlåtandet av den 8 april 2014 konstaterade nämnden att eftersom det inte på något sätt entydigt kan slås fast att FN-konventionen gäller även i landskapet till de delar den innehå</w:t>
      </w:r>
      <w:r w:rsidR="00020C0C" w:rsidRPr="00456ED1">
        <w:t>l</w:t>
      </w:r>
      <w:r w:rsidR="00020C0C" w:rsidRPr="00456ED1">
        <w:t>ler bestämmelser som faller inom landskapets behörighetsområde anser nämnden att lagtinget inte bör ge sitt bifall till ikraftträdandet av det faku</w:t>
      </w:r>
      <w:r w:rsidR="00020C0C" w:rsidRPr="00456ED1">
        <w:t>l</w:t>
      </w:r>
      <w:r w:rsidR="00020C0C" w:rsidRPr="00456ED1">
        <w:t>tativa protokollet utan bör invänta en kompletterande framställning från r</w:t>
      </w:r>
      <w:r w:rsidR="00020C0C" w:rsidRPr="00456ED1">
        <w:t>e</w:t>
      </w:r>
      <w:r w:rsidR="00020C0C" w:rsidRPr="00456ED1">
        <w:t>publikens president så att lagtinget först ges möjlighet att ta ställning till konventionen.</w:t>
      </w:r>
    </w:p>
    <w:p w:rsidR="00456ED1" w:rsidRDefault="00456ED1">
      <w:pPr>
        <w:pStyle w:val="ANormal"/>
      </w:pPr>
      <w:r>
        <w:tab/>
        <w:t>Utskottet anser att det faktum att lagtinget</w:t>
      </w:r>
      <w:r w:rsidR="002640CE">
        <w:t>s</w:t>
      </w:r>
      <w:r>
        <w:t xml:space="preserve"> bifall till </w:t>
      </w:r>
      <w:r w:rsidRPr="00D64451">
        <w:t>den europeiska överenskommelsen om internationell transport av farligt gods på väg</w:t>
      </w:r>
      <w:r w:rsidR="002640CE">
        <w:t xml:space="preserve"> inte </w:t>
      </w:r>
      <w:proofErr w:type="spellStart"/>
      <w:r w:rsidR="002640CE">
        <w:t>inbegärdes</w:t>
      </w:r>
      <w:proofErr w:type="spellEnd"/>
      <w:r>
        <w:t xml:space="preserve">, i kombination med </w:t>
      </w:r>
      <w:r w:rsidR="002640CE">
        <w:t>att militärt material inte får transporteras inom den demilitariserade zonen enligt artikel 4 i konventionen om icke-befästande och neutralisering av Ålandsöarna från 1921, föranleder la</w:t>
      </w:r>
      <w:r w:rsidR="002640CE">
        <w:t>g</w:t>
      </w:r>
      <w:r w:rsidR="002640CE">
        <w:t>tinget att inte ge det begärda bifallet.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6"/>
      <w:bookmarkStart w:id="12" w:name="_Toc19605208"/>
      <w:r>
        <w:t>Ärendets behandling</w:t>
      </w:r>
      <w:bookmarkEnd w:id="11"/>
      <w:bookmarkEnd w:id="12"/>
    </w:p>
    <w:p w:rsidR="002401D0" w:rsidRDefault="002401D0">
      <w:pPr>
        <w:pStyle w:val="Rubrikmellanrum"/>
      </w:pPr>
    </w:p>
    <w:p w:rsidR="00A70CCF" w:rsidRDefault="00A70CCF" w:rsidP="00A70CCF">
      <w:pPr>
        <w:pStyle w:val="ANormal"/>
      </w:pPr>
      <w:r>
        <w:t xml:space="preserve">Lagtinget har den 4 september 2019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294878" w:rsidRDefault="00294878" w:rsidP="00A70CCF">
      <w:pPr>
        <w:pStyle w:val="ANormal"/>
      </w:pPr>
      <w:r>
        <w:tab/>
      </w:r>
      <w:bookmarkStart w:id="13" w:name="_GoBack"/>
      <w:r>
        <w:t xml:space="preserve">Utskottet har i ärendet hört ministern </w:t>
      </w:r>
      <w:r>
        <w:t>Mika Nordberg avdelningschefen Yvonne Österlund</w:t>
      </w:r>
      <w:r>
        <w:t>.</w:t>
      </w:r>
    </w:p>
    <w:bookmarkEnd w:id="13"/>
    <w:p w:rsidR="00A70CCF" w:rsidRDefault="00A70CCF" w:rsidP="00A70CCF">
      <w:pPr>
        <w:pStyle w:val="ANormal"/>
      </w:pPr>
      <w:r>
        <w:t xml:space="preserve">     I ärendets avgörande behandling deltog ordföranden Harry Jansson, viceordföranden Roger Eriksson, ledamöterna Johan Ehn, Brage Eklund, Bert Häggblom,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4" w:name="_Toc529800937"/>
      <w:bookmarkStart w:id="15" w:name="_Toc19605209"/>
      <w:r>
        <w:t>Utskottets förslag</w:t>
      </w:r>
      <w:bookmarkEnd w:id="14"/>
      <w:bookmarkEnd w:id="15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A70CCF" w:rsidRPr="002640CE" w:rsidRDefault="002401D0" w:rsidP="002640CE">
      <w:pPr>
        <w:pStyle w:val="Klam"/>
      </w:pPr>
      <w:r w:rsidRPr="002640CE">
        <w:t>att lagtinget</w:t>
      </w:r>
      <w:r w:rsidR="00A70CCF" w:rsidRPr="002640CE">
        <w:t xml:space="preserve"> </w:t>
      </w:r>
      <w:r w:rsidR="002640CE" w:rsidRPr="002640CE">
        <w:t xml:space="preserve">inte ger det begärda bifallet till </w:t>
      </w:r>
      <w:r w:rsidR="00A70CCF" w:rsidRPr="002640CE">
        <w:t>att förordningen tr</w:t>
      </w:r>
      <w:r w:rsidR="00A70CCF" w:rsidRPr="002640CE">
        <w:t>ä</w:t>
      </w:r>
      <w:r w:rsidR="00A70CCF" w:rsidRPr="002640CE">
        <w:t xml:space="preserve">der i kraft på Åland till de </w:t>
      </w:r>
      <w:r w:rsidR="006F4436" w:rsidRPr="002640CE">
        <w:t>delar avtalet</w:t>
      </w:r>
      <w:r w:rsidR="00A70CCF" w:rsidRPr="002640CE">
        <w:t xml:space="preserve"> faller inom landskapets behörighet.</w:t>
      </w:r>
    </w:p>
    <w:p w:rsidR="002401D0" w:rsidRPr="002640CE" w:rsidRDefault="002401D0" w:rsidP="002640CE">
      <w:pPr>
        <w:pStyle w:val="Klam"/>
      </w:pPr>
    </w:p>
    <w:p w:rsidR="002401D0" w:rsidRDefault="00294878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117F58">
            <w:pPr>
              <w:pStyle w:val="ANormal"/>
              <w:keepNext/>
            </w:pPr>
            <w:r>
              <w:t xml:space="preserve">Mariehamn den </w:t>
            </w:r>
            <w:r w:rsidR="00117F58">
              <w:t>10</w:t>
            </w:r>
            <w:r w:rsidR="00A70CCF">
              <w:t xml:space="preserve"> september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70CCF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70CCF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80" w:rsidRDefault="00982380">
      <w:r>
        <w:separator/>
      </w:r>
    </w:p>
  </w:endnote>
  <w:endnote w:type="continuationSeparator" w:id="0">
    <w:p w:rsidR="00982380" w:rsidRDefault="0098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FA2B85">
    <w:pPr>
      <w:pStyle w:val="Sidfot"/>
    </w:pPr>
    <w:fldSimple w:instr=" FILENAME  \* MERGEFORMAT ">
      <w:r w:rsidR="00B1174A">
        <w:rPr>
          <w:noProof/>
        </w:rPr>
        <w:t>LKU2220182019.docx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80" w:rsidRDefault="00982380">
      <w:r>
        <w:separator/>
      </w:r>
    </w:p>
  </w:footnote>
  <w:footnote w:type="continuationSeparator" w:id="0">
    <w:p w:rsidR="00982380" w:rsidRDefault="0098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94878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9487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0"/>
    <w:rsid w:val="00015E9C"/>
    <w:rsid w:val="00020C0C"/>
    <w:rsid w:val="00051556"/>
    <w:rsid w:val="000B2DC9"/>
    <w:rsid w:val="000D6353"/>
    <w:rsid w:val="000F7417"/>
    <w:rsid w:val="00117F58"/>
    <w:rsid w:val="0015337C"/>
    <w:rsid w:val="002401D0"/>
    <w:rsid w:val="002640CE"/>
    <w:rsid w:val="00294878"/>
    <w:rsid w:val="0036359C"/>
    <w:rsid w:val="00456ED1"/>
    <w:rsid w:val="006B2E9E"/>
    <w:rsid w:val="006F2A0E"/>
    <w:rsid w:val="006F4436"/>
    <w:rsid w:val="00723B93"/>
    <w:rsid w:val="00811D50"/>
    <w:rsid w:val="00817B04"/>
    <w:rsid w:val="00913A42"/>
    <w:rsid w:val="009538EC"/>
    <w:rsid w:val="00957C36"/>
    <w:rsid w:val="00982380"/>
    <w:rsid w:val="009913D2"/>
    <w:rsid w:val="009D73B2"/>
    <w:rsid w:val="009F7CE2"/>
    <w:rsid w:val="00A70CCF"/>
    <w:rsid w:val="00B1174A"/>
    <w:rsid w:val="00B138AC"/>
    <w:rsid w:val="00B32E91"/>
    <w:rsid w:val="00B36A8F"/>
    <w:rsid w:val="00B90DEC"/>
    <w:rsid w:val="00BE592D"/>
    <w:rsid w:val="00CB087E"/>
    <w:rsid w:val="00CF700E"/>
    <w:rsid w:val="00D70E54"/>
    <w:rsid w:val="00DC45B2"/>
    <w:rsid w:val="00EA2581"/>
    <w:rsid w:val="00EB67B1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CC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i-FI" w:eastAsia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i-FI" w:eastAsia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i-FI"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fi-FI" w:eastAsia="en-US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fi-FI" w:eastAsia="en-US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fi-FI" w:eastAsia="en-US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fi-FI" w:eastAsia="en-US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fi-FI" w:eastAsia="en-US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fi-FI" w:eastAsia="en-US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fi-FI" w:eastAsia="en-US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fi-FI" w:eastAsia="en-US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fi-FI" w:eastAsia="en-US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fi-FI" w:eastAsia="en-US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82380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98238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3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A42"/>
    <w:rPr>
      <w:rFonts w:ascii="Tahoma" w:hAnsi="Tahoma" w:cs="Tahoma"/>
      <w:sz w:val="16"/>
      <w:szCs w:val="16"/>
      <w:lang w:val="sv-SE" w:eastAsia="sv-SE"/>
    </w:rPr>
  </w:style>
  <w:style w:type="paragraph" w:customStyle="1" w:styleId="LLNormaali">
    <w:name w:val="LLNormaali"/>
    <w:rsid w:val="009538EC"/>
    <w:pPr>
      <w:spacing w:line="220" w:lineRule="exact"/>
    </w:pPr>
    <w:rPr>
      <w:sz w:val="22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9538EC"/>
    <w:pPr>
      <w:spacing w:line="220" w:lineRule="exact"/>
      <w:ind w:firstLine="170"/>
      <w:jc w:val="both"/>
    </w:pPr>
    <w:rPr>
      <w:sz w:val="22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9538EC"/>
    <w:rPr>
      <w:sz w:val="22"/>
      <w:szCs w:val="24"/>
      <w:lang w:eastAsia="fi-FI"/>
    </w:rPr>
  </w:style>
  <w:style w:type="paragraph" w:customStyle="1" w:styleId="LLPykala">
    <w:name w:val="LLPykala"/>
    <w:next w:val="LLNormaali"/>
    <w:rsid w:val="009538EC"/>
    <w:pPr>
      <w:spacing w:line="220" w:lineRule="exact"/>
      <w:jc w:val="center"/>
    </w:pPr>
    <w:rPr>
      <w:sz w:val="22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CC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i-FI" w:eastAsia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i-FI" w:eastAsia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i-FI"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fi-FI" w:eastAsia="en-US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fi-FI" w:eastAsia="en-US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fi-FI" w:eastAsia="en-US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fi-FI" w:eastAsia="en-US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fi-FI" w:eastAsia="en-US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fi-FI" w:eastAsia="en-US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fi-FI" w:eastAsia="en-US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fi-FI" w:eastAsia="en-US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fi-FI" w:eastAsia="en-US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fi-FI" w:eastAsia="en-US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82380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98238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3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A42"/>
    <w:rPr>
      <w:rFonts w:ascii="Tahoma" w:hAnsi="Tahoma" w:cs="Tahoma"/>
      <w:sz w:val="16"/>
      <w:szCs w:val="16"/>
      <w:lang w:val="sv-SE" w:eastAsia="sv-SE"/>
    </w:rPr>
  </w:style>
  <w:style w:type="paragraph" w:customStyle="1" w:styleId="LLNormaali">
    <w:name w:val="LLNormaali"/>
    <w:rsid w:val="009538EC"/>
    <w:pPr>
      <w:spacing w:line="220" w:lineRule="exact"/>
    </w:pPr>
    <w:rPr>
      <w:sz w:val="22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9538EC"/>
    <w:pPr>
      <w:spacing w:line="220" w:lineRule="exact"/>
      <w:ind w:firstLine="170"/>
      <w:jc w:val="both"/>
    </w:pPr>
    <w:rPr>
      <w:sz w:val="22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9538EC"/>
    <w:rPr>
      <w:sz w:val="22"/>
      <w:szCs w:val="24"/>
      <w:lang w:eastAsia="fi-FI"/>
    </w:rPr>
  </w:style>
  <w:style w:type="paragraph" w:customStyle="1" w:styleId="LLPykala">
    <w:name w:val="LLPykala"/>
    <w:next w:val="LLNormaali"/>
    <w:rsid w:val="009538EC"/>
    <w:pPr>
      <w:spacing w:line="220" w:lineRule="exact"/>
      <w:jc w:val="center"/>
    </w:pPr>
    <w:rPr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9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5</TotalTime>
  <Pages>3</Pages>
  <Words>806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22/2018-2019</vt:lpstr>
    </vt:vector>
  </TitlesOfParts>
  <Company>Ålands lagting</Company>
  <LinksUpToDate>false</LinksUpToDate>
  <CharactersWithSpaces>6475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22/2018-2019</dc:title>
  <dc:creator>Jessica Laaksonen</dc:creator>
  <cp:lastModifiedBy>Jessica Laaksonen</cp:lastModifiedBy>
  <cp:revision>4</cp:revision>
  <cp:lastPrinted>2019-09-17T07:14:00Z</cp:lastPrinted>
  <dcterms:created xsi:type="dcterms:W3CDTF">2019-09-17T07:19:00Z</dcterms:created>
  <dcterms:modified xsi:type="dcterms:W3CDTF">2019-09-17T07:45:00Z</dcterms:modified>
</cp:coreProperties>
</file>