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F" w:rsidRDefault="00092C9F" w:rsidP="00092C9F">
      <w:pPr>
        <w:ind w:left="2949" w:firstLine="1304"/>
        <w:rPr>
          <w:lang w:val="de-DE"/>
        </w:rPr>
      </w:pPr>
      <w:r>
        <w:rPr>
          <w:lang w:val="de-DE"/>
        </w:rPr>
        <w:t xml:space="preserve">2018-2019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 xml:space="preserve"> 7</w:t>
      </w:r>
      <w:bookmarkStart w:id="0" w:name="_GoBack"/>
      <w:bookmarkEnd w:id="0"/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B856CE" w:rsidRDefault="00A11EF2" w:rsidP="000D630B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2922C3">
        <w:rPr>
          <w:lang w:val="sv-SE"/>
        </w:rPr>
        <w:t>framstä</w:t>
      </w:r>
      <w:r w:rsidR="002922C3" w:rsidRPr="002922C3">
        <w:rPr>
          <w:lang w:val="sv-SE"/>
        </w:rPr>
        <w:t>llning till Ålands lagting med anledning av r</w:t>
      </w:r>
      <w:r w:rsidR="002922C3" w:rsidRPr="002922C3">
        <w:rPr>
          <w:lang w:val="sv-SE"/>
        </w:rPr>
        <w:t>e</w:t>
      </w:r>
      <w:r w:rsidR="002922C3" w:rsidRPr="002922C3">
        <w:rPr>
          <w:lang w:val="sv-SE"/>
        </w:rPr>
        <w:t>geringens proposition till riksdagen med försla</w:t>
      </w:r>
      <w:r w:rsidR="00AD4BB2">
        <w:rPr>
          <w:lang w:val="sv-SE"/>
        </w:rPr>
        <w:t xml:space="preserve">g till lag om ändring av </w:t>
      </w:r>
      <w:r w:rsidR="002922C3" w:rsidRPr="002922C3">
        <w:rPr>
          <w:lang w:val="sv-SE"/>
        </w:rPr>
        <w:t xml:space="preserve">självstyrelselagen för Åland </w:t>
      </w:r>
    </w:p>
    <w:p w:rsidR="00B856CE" w:rsidRPr="000F423F" w:rsidRDefault="00B856CE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DE1A68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987ECA">
        <w:rPr>
          <w:spacing w:val="-3"/>
          <w:lang w:val="sv-SE"/>
        </w:rPr>
        <w:t>Till riksdagen har den 6</w:t>
      </w:r>
      <w:r w:rsidR="00792646">
        <w:rPr>
          <w:spacing w:val="-3"/>
          <w:lang w:val="sv-SE"/>
        </w:rPr>
        <w:t xml:space="preserve"> februari</w:t>
      </w:r>
      <w:r w:rsidR="002922C3">
        <w:rPr>
          <w:spacing w:val="-3"/>
          <w:lang w:val="sv-SE"/>
        </w:rPr>
        <w:t xml:space="preserve"> </w:t>
      </w:r>
      <w:r w:rsidR="00792646">
        <w:rPr>
          <w:spacing w:val="-3"/>
          <w:lang w:val="sv-SE"/>
        </w:rPr>
        <w:t>2019</w:t>
      </w:r>
      <w:r w:rsidR="00623D44">
        <w:rPr>
          <w:spacing w:val="-3"/>
          <w:lang w:val="sv-SE"/>
        </w:rPr>
        <w:t xml:space="preserve"> </w:t>
      </w:r>
      <w:r w:rsidR="002922C3">
        <w:rPr>
          <w:spacing w:val="-3"/>
          <w:lang w:val="sv-SE"/>
        </w:rPr>
        <w:t xml:space="preserve">överlämnats regeringens proposition med förslag </w:t>
      </w:r>
      <w:r w:rsidR="00BB6F6A">
        <w:rPr>
          <w:spacing w:val="-3"/>
          <w:lang w:val="sv-SE"/>
        </w:rPr>
        <w:t xml:space="preserve">till lag om ändring av </w:t>
      </w:r>
      <w:r w:rsidR="001D5BE7">
        <w:rPr>
          <w:spacing w:val="-3"/>
          <w:lang w:val="sv-SE"/>
        </w:rPr>
        <w:t xml:space="preserve">självstyrelselagen för Åland. </w:t>
      </w:r>
    </w:p>
    <w:p w:rsidR="00BB6F6A" w:rsidRDefault="002922C3" w:rsidP="00BB6F6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  <w:t>Enligt 69 § i självstyrelselagen kan lagen inte ändras annat än genom överensstämmande beslut av riksdagen och lagtinget. Besluten ska i riksdagen fattas i grundlagsordning och i la</w:t>
      </w:r>
      <w:r>
        <w:rPr>
          <w:spacing w:val="-3"/>
          <w:lang w:val="sv-SE"/>
        </w:rPr>
        <w:t>g</w:t>
      </w:r>
      <w:r>
        <w:rPr>
          <w:spacing w:val="-3"/>
          <w:lang w:val="sv-SE"/>
        </w:rPr>
        <w:t>tinget med en majoritet om minst två tredjedelar av de ang</w:t>
      </w:r>
      <w:r w:rsidR="00BB6F6A">
        <w:rPr>
          <w:spacing w:val="-3"/>
          <w:lang w:val="sv-SE"/>
        </w:rPr>
        <w:t xml:space="preserve">ivna rösterna. </w:t>
      </w:r>
    </w:p>
    <w:p w:rsidR="00BB6F6A" w:rsidRPr="00BB6F6A" w:rsidRDefault="00BB6F6A" w:rsidP="00BB6F6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BB6F6A">
        <w:rPr>
          <w:spacing w:val="-3"/>
          <w:lang w:val="sv-SE"/>
        </w:rPr>
        <w:t>I propositionen föreslås det att självstyrelselagen för Åland ändras så, att lagens bestä</w:t>
      </w:r>
      <w:r w:rsidRPr="00BB6F6A">
        <w:rPr>
          <w:spacing w:val="-3"/>
          <w:lang w:val="sv-SE"/>
        </w:rPr>
        <w:t>m</w:t>
      </w:r>
      <w:r w:rsidRPr="00BB6F6A">
        <w:rPr>
          <w:spacing w:val="-3"/>
          <w:lang w:val="sv-SE"/>
        </w:rPr>
        <w:t>melser om landskapet Ål</w:t>
      </w:r>
      <w:r>
        <w:rPr>
          <w:spacing w:val="-3"/>
          <w:lang w:val="sv-SE"/>
        </w:rPr>
        <w:t>ands ekonomi i huvudsak förnyas</w:t>
      </w:r>
      <w:r w:rsidRPr="00BB6F6A">
        <w:rPr>
          <w:spacing w:val="-3"/>
          <w:lang w:val="sv-SE"/>
        </w:rPr>
        <w:t>. Förslaget bygger på den överen</w:t>
      </w:r>
      <w:r w:rsidRPr="00BB6F6A">
        <w:rPr>
          <w:spacing w:val="-3"/>
          <w:lang w:val="sv-SE"/>
        </w:rPr>
        <w:t>s</w:t>
      </w:r>
      <w:r w:rsidRPr="00BB6F6A">
        <w:rPr>
          <w:spacing w:val="-3"/>
          <w:lang w:val="sv-SE"/>
        </w:rPr>
        <w:t>kommelse för den föreslagna regleringen om landskapet Ålands ekonomi som nåddes vid bere</w:t>
      </w:r>
      <w:r w:rsidRPr="00BB6F6A">
        <w:rPr>
          <w:spacing w:val="-3"/>
          <w:lang w:val="sv-SE"/>
        </w:rPr>
        <w:t>d</w:t>
      </w:r>
      <w:r w:rsidRPr="00BB6F6A">
        <w:rPr>
          <w:spacing w:val="-3"/>
          <w:lang w:val="sv-SE"/>
        </w:rPr>
        <w:t>ningen av totalrevisonen av en ny Ålands självstyrelselag. Enligt den samsyn som råder mellan regeringen och Ålands landskapsregering är totalrevisionen avsedd att slutföras under de valp</w:t>
      </w:r>
      <w:r w:rsidRPr="00BB6F6A">
        <w:rPr>
          <w:spacing w:val="-3"/>
          <w:lang w:val="sv-SE"/>
        </w:rPr>
        <w:t>e</w:t>
      </w:r>
      <w:r w:rsidRPr="00BB6F6A">
        <w:rPr>
          <w:spacing w:val="-3"/>
          <w:lang w:val="sv-SE"/>
        </w:rPr>
        <w:t>rioder som närmast följer på denna valperiod.</w:t>
      </w:r>
    </w:p>
    <w:p w:rsidR="00BB6F6A" w:rsidRPr="00BB6F6A" w:rsidRDefault="00BB6F6A" w:rsidP="00BB6F6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BB6F6A">
        <w:rPr>
          <w:spacing w:val="-3"/>
          <w:lang w:val="sv-SE"/>
        </w:rPr>
        <w:t>Det ekonomiska systemet för finansiering av självstyrelsens utgifter bygger på det nuv</w:t>
      </w:r>
      <w:r w:rsidRPr="00BB6F6A">
        <w:rPr>
          <w:spacing w:val="-3"/>
          <w:lang w:val="sv-SE"/>
        </w:rPr>
        <w:t>a</w:t>
      </w:r>
      <w:r w:rsidRPr="00BB6F6A">
        <w:rPr>
          <w:spacing w:val="-3"/>
          <w:lang w:val="sv-SE"/>
        </w:rPr>
        <w:t>rande avräkningssystemet, men görs flexiblare. Enligt den behörighetsfördelning som föreskrivs mellan landskapet och riket i självstyrelselagen, hör statsbeskattningen på Åland till rikets la</w:t>
      </w:r>
      <w:r w:rsidRPr="00BB6F6A">
        <w:rPr>
          <w:spacing w:val="-3"/>
          <w:lang w:val="sv-SE"/>
        </w:rPr>
        <w:t>g</w:t>
      </w:r>
      <w:r w:rsidRPr="00BB6F6A">
        <w:rPr>
          <w:spacing w:val="-3"/>
          <w:lang w:val="sv-SE"/>
        </w:rPr>
        <w:t>stiftningsbehörighet, dvs. till riksdagens befogenheter, medan bland annat kommunalbeskat</w:t>
      </w:r>
      <w:r w:rsidRPr="00BB6F6A">
        <w:rPr>
          <w:spacing w:val="-3"/>
          <w:lang w:val="sv-SE"/>
        </w:rPr>
        <w:t>t</w:t>
      </w:r>
      <w:r w:rsidRPr="00BB6F6A">
        <w:rPr>
          <w:spacing w:val="-3"/>
          <w:lang w:val="sv-SE"/>
        </w:rPr>
        <w:t>ningen utgör ett behörighetsområde som hör till landskapets behörighet, dvs. till Ålands lagting.  De statsskatter som uppbärs på Åland tas in i statsbokslutet. Det föreslås i propositionen att till landskapet Åland för finansiering av utgifter som hänför sig till självstyrelsen återförs statsmedel genom ett avräkningssystem som påminner om det nuvarande, men som ska kunna ändras sm</w:t>
      </w:r>
      <w:r w:rsidRPr="00BB6F6A">
        <w:rPr>
          <w:spacing w:val="-3"/>
          <w:lang w:val="sv-SE"/>
        </w:rPr>
        <w:t>i</w:t>
      </w:r>
      <w:r w:rsidRPr="00BB6F6A">
        <w:rPr>
          <w:spacing w:val="-3"/>
          <w:lang w:val="sv-SE"/>
        </w:rPr>
        <w:t>digare. Vid dimensioneringen av det nya avräkningssystemet har i jämförelse med nuläget bea</w:t>
      </w:r>
      <w:r w:rsidRPr="00BB6F6A">
        <w:rPr>
          <w:spacing w:val="-3"/>
          <w:lang w:val="sv-SE"/>
        </w:rPr>
        <w:t>k</w:t>
      </w:r>
      <w:r w:rsidRPr="00BB6F6A">
        <w:rPr>
          <w:spacing w:val="-3"/>
          <w:lang w:val="sv-SE"/>
        </w:rPr>
        <w:t xml:space="preserve">tats ett tillägg för att höja nivån på grundfinansieringen för landskapet Åland för att trygga att landskapet kan genomföra sina uppgifter. </w:t>
      </w:r>
    </w:p>
    <w:p w:rsidR="00BB6F6A" w:rsidRPr="00BB6F6A" w:rsidRDefault="00BB6F6A" w:rsidP="00BB6F6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BB6F6A">
        <w:rPr>
          <w:spacing w:val="-3"/>
          <w:lang w:val="sv-SE"/>
        </w:rPr>
        <w:t>Det nuvarande systemet för skattegottgörelsen föreslås ersatt med ett system med skatt</w:t>
      </w:r>
      <w:r w:rsidRPr="00BB6F6A">
        <w:rPr>
          <w:spacing w:val="-3"/>
          <w:lang w:val="sv-SE"/>
        </w:rPr>
        <w:t>e</w:t>
      </w:r>
      <w:r w:rsidRPr="00BB6F6A">
        <w:rPr>
          <w:spacing w:val="-3"/>
          <w:lang w:val="sv-SE"/>
        </w:rPr>
        <w:t>avräkning. Den föreslagna systemändringen har två syften. Dels är avsikten med skatteavrä</w:t>
      </w:r>
      <w:r w:rsidRPr="00BB6F6A">
        <w:rPr>
          <w:spacing w:val="-3"/>
          <w:lang w:val="sv-SE"/>
        </w:rPr>
        <w:t>k</w:t>
      </w:r>
      <w:r w:rsidRPr="00BB6F6A">
        <w:rPr>
          <w:spacing w:val="-3"/>
          <w:lang w:val="sv-SE"/>
        </w:rPr>
        <w:t>ningen att den ska fungera som ett effektivare incitament för att utveckla skattekraften på Åland än den nuvarande skattegottgörelsen. Dels ska skatteavräkningen fungera neutralt i förhållande till planerade och kommande statliga förvaltningsreformer. I den skatteavräkning som föreslås har beaktats de effekter som ikraftträdandet av landskaps- och vårdreformen har på tillämpnin</w:t>
      </w:r>
      <w:r w:rsidRPr="00BB6F6A">
        <w:rPr>
          <w:spacing w:val="-3"/>
          <w:lang w:val="sv-SE"/>
        </w:rPr>
        <w:t>g</w:t>
      </w:r>
      <w:r w:rsidRPr="00BB6F6A">
        <w:rPr>
          <w:spacing w:val="-3"/>
          <w:lang w:val="sv-SE"/>
        </w:rPr>
        <w:t>en av skattegottgörelsen sådan denna föreskrivs i självstyrelselagen (</w:t>
      </w:r>
      <w:proofErr w:type="spellStart"/>
      <w:r w:rsidRPr="00BB6F6A">
        <w:rPr>
          <w:spacing w:val="-3"/>
          <w:lang w:val="sv-SE"/>
        </w:rPr>
        <w:t>GrUU</w:t>
      </w:r>
      <w:proofErr w:type="spellEnd"/>
      <w:r w:rsidRPr="00BB6F6A">
        <w:rPr>
          <w:spacing w:val="-3"/>
          <w:lang w:val="sv-SE"/>
        </w:rPr>
        <w:t xml:space="preserve"> 26/2017 </w:t>
      </w:r>
      <w:proofErr w:type="spellStart"/>
      <w:r w:rsidRPr="00BB6F6A">
        <w:rPr>
          <w:spacing w:val="-3"/>
          <w:lang w:val="sv-SE"/>
        </w:rPr>
        <w:t>rd</w:t>
      </w:r>
      <w:proofErr w:type="spellEnd"/>
      <w:r w:rsidRPr="00BB6F6A">
        <w:rPr>
          <w:spacing w:val="-3"/>
          <w:lang w:val="sv-SE"/>
        </w:rPr>
        <w:t>).</w:t>
      </w:r>
    </w:p>
    <w:p w:rsidR="009F29D0" w:rsidRDefault="00BB6F6A" w:rsidP="00222040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lastRenderedPageBreak/>
        <w:tab/>
      </w:r>
      <w:r w:rsidRPr="00BB6F6A">
        <w:rPr>
          <w:spacing w:val="-3"/>
          <w:lang w:val="sv-SE"/>
        </w:rPr>
        <w:t>Genom reformen finansieras utgifterna för självstyrelsen i huvudsak genom det årliga a</w:t>
      </w:r>
      <w:r w:rsidRPr="00BB6F6A">
        <w:rPr>
          <w:spacing w:val="-3"/>
          <w:lang w:val="sv-SE"/>
        </w:rPr>
        <w:t>v</w:t>
      </w:r>
      <w:r w:rsidRPr="00BB6F6A">
        <w:rPr>
          <w:spacing w:val="-3"/>
          <w:lang w:val="sv-SE"/>
        </w:rPr>
        <w:t>räkningsbeloppet som grundar sig på statsbokslutet samt på den föreslagna skatteavräkningen. Dessutom föreslås det att möjligheten till extra anslag enligt prövning och tillskott för exceptio</w:t>
      </w:r>
      <w:r w:rsidRPr="00BB6F6A">
        <w:rPr>
          <w:spacing w:val="-3"/>
          <w:lang w:val="sv-SE"/>
        </w:rPr>
        <w:t>n</w:t>
      </w:r>
      <w:r w:rsidRPr="00BB6F6A">
        <w:rPr>
          <w:spacing w:val="-3"/>
          <w:lang w:val="sv-SE"/>
        </w:rPr>
        <w:t xml:space="preserve">ella förhållanden </w:t>
      </w:r>
      <w:proofErr w:type="gramStart"/>
      <w:r w:rsidRPr="00BB6F6A">
        <w:rPr>
          <w:spacing w:val="-3"/>
          <w:lang w:val="sv-SE"/>
        </w:rPr>
        <w:t>bibehålls</w:t>
      </w:r>
      <w:proofErr w:type="gramEnd"/>
      <w:r w:rsidRPr="00BB6F6A">
        <w:rPr>
          <w:spacing w:val="-3"/>
          <w:lang w:val="sv-SE"/>
        </w:rPr>
        <w:t>.</w:t>
      </w:r>
      <w:r>
        <w:rPr>
          <w:spacing w:val="-3"/>
          <w:lang w:val="sv-SE"/>
        </w:rPr>
        <w:t xml:space="preserve"> </w:t>
      </w:r>
      <w:r w:rsidRPr="00BB6F6A">
        <w:rPr>
          <w:spacing w:val="-3"/>
          <w:lang w:val="sv-SE"/>
        </w:rPr>
        <w:t>Den föreslagna lagen avses träda i kraft den 1 januari 2021.</w:t>
      </w:r>
      <w:r w:rsidR="002922C3">
        <w:rPr>
          <w:spacing w:val="-3"/>
          <w:lang w:val="sv-SE"/>
        </w:rPr>
        <w:t xml:space="preserve"> </w:t>
      </w:r>
    </w:p>
    <w:p w:rsidR="00222040" w:rsidRDefault="00B56DE2" w:rsidP="00222040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7A475B" w:rsidRPr="007A475B">
        <w:rPr>
          <w:spacing w:val="-3"/>
          <w:lang w:val="sv-SE"/>
        </w:rPr>
        <w:t>Grundlagsutskottet har den 11 februari 2019 gett sitt betänkande över lagförslaget (</w:t>
      </w:r>
      <w:proofErr w:type="spellStart"/>
      <w:r w:rsidR="007A475B" w:rsidRPr="007A475B">
        <w:rPr>
          <w:spacing w:val="-3"/>
          <w:lang w:val="sv-SE"/>
        </w:rPr>
        <w:t>GrUB</w:t>
      </w:r>
      <w:proofErr w:type="spellEnd"/>
      <w:r w:rsidR="007A475B" w:rsidRPr="007A475B">
        <w:rPr>
          <w:spacing w:val="-3"/>
          <w:lang w:val="sv-SE"/>
        </w:rPr>
        <w:t xml:space="preserve"> 12/2018 </w:t>
      </w:r>
      <w:proofErr w:type="spellStart"/>
      <w:r w:rsidR="007A475B" w:rsidRPr="007A475B">
        <w:rPr>
          <w:spacing w:val="-3"/>
          <w:lang w:val="sv-SE"/>
        </w:rPr>
        <w:t>rd</w:t>
      </w:r>
      <w:proofErr w:type="spellEnd"/>
      <w:r w:rsidR="007A475B" w:rsidRPr="007A475B">
        <w:rPr>
          <w:spacing w:val="-3"/>
          <w:lang w:val="sv-SE"/>
        </w:rPr>
        <w:t>). Grundlagsutskottet har funnit den föreslagna lagstiftningsordningen motiverad. U</w:t>
      </w:r>
      <w:r w:rsidR="007A475B" w:rsidRPr="007A475B">
        <w:rPr>
          <w:spacing w:val="-3"/>
          <w:lang w:val="sv-SE"/>
        </w:rPr>
        <w:t>t</w:t>
      </w:r>
      <w:r w:rsidR="007A475B" w:rsidRPr="007A475B">
        <w:rPr>
          <w:spacing w:val="-3"/>
          <w:lang w:val="sv-SE"/>
        </w:rPr>
        <w:t xml:space="preserve">skottet har föreslagit att riksdagen oförändrat godkänner lagförslaget som ingår i regeringens proposition RP 320/2018 </w:t>
      </w:r>
      <w:proofErr w:type="spellStart"/>
      <w:r w:rsidR="007A475B" w:rsidRPr="007A475B">
        <w:rPr>
          <w:spacing w:val="-3"/>
          <w:lang w:val="sv-SE"/>
        </w:rPr>
        <w:t>rd</w:t>
      </w:r>
      <w:proofErr w:type="spellEnd"/>
      <w:r w:rsidR="007A475B" w:rsidRPr="007A475B">
        <w:rPr>
          <w:spacing w:val="-3"/>
          <w:lang w:val="sv-SE"/>
        </w:rPr>
        <w:t>. Grundlagsutskottet har ansett det viktigt att totalrevisionen av själ</w:t>
      </w:r>
      <w:r w:rsidR="007A475B" w:rsidRPr="007A475B">
        <w:rPr>
          <w:spacing w:val="-3"/>
          <w:lang w:val="sv-SE"/>
        </w:rPr>
        <w:t>v</w:t>
      </w:r>
      <w:r w:rsidR="007A475B" w:rsidRPr="007A475B">
        <w:rPr>
          <w:spacing w:val="-3"/>
          <w:lang w:val="sv-SE"/>
        </w:rPr>
        <w:t>styrelselagen förverkligas. Utskottet har därför för riksdagen föreslagit ett uttalande, enligt vilket riksdagen förutsätter att regeringen vidtar brådskande åtgärder att förverkliga totalrevisionen av Ålands självstyrelselag.</w:t>
      </w:r>
    </w:p>
    <w:p w:rsidR="00222040" w:rsidRDefault="00222040" w:rsidP="00222040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222040">
        <w:rPr>
          <w:spacing w:val="-3"/>
          <w:lang w:val="sv-SE"/>
        </w:rPr>
        <w:t xml:space="preserve">Riksdagen godkände den 20 februari 2019 det lagförslag som till sitt innehåll beslutats i den första behandlingen och som ingår i RP 320/2018 </w:t>
      </w:r>
      <w:proofErr w:type="spellStart"/>
      <w:r w:rsidRPr="00222040">
        <w:rPr>
          <w:spacing w:val="-3"/>
          <w:lang w:val="sv-SE"/>
        </w:rPr>
        <w:t>rd</w:t>
      </w:r>
      <w:proofErr w:type="spellEnd"/>
      <w:r w:rsidRPr="00222040">
        <w:rPr>
          <w:spacing w:val="-3"/>
          <w:lang w:val="sv-SE"/>
        </w:rPr>
        <w:t xml:space="preserve"> att vila till det första riksmötet som hålls efter följande riksdagsval. Riksdagen godkände även det förslag till uttalande som ingår i grundlagsutskottets ovan nämnda betänkande.</w:t>
      </w:r>
    </w:p>
    <w:p w:rsidR="000F423F" w:rsidRPr="00222040" w:rsidRDefault="00222040" w:rsidP="00222040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222040">
        <w:rPr>
          <w:lang w:val="sv-SE"/>
        </w:rPr>
        <w:t>Regeringens proposition överlämnas härmed till lagtinget för att behandlas i den or</w:t>
      </w:r>
      <w:r w:rsidRPr="00222040">
        <w:rPr>
          <w:lang w:val="sv-SE"/>
        </w:rPr>
        <w:t>d</w:t>
      </w:r>
      <w:r w:rsidRPr="00222040">
        <w:rPr>
          <w:lang w:val="sv-SE"/>
        </w:rPr>
        <w:t>ning som anges i 69 § i självstyrelselagen för Åland.</w:t>
      </w:r>
    </w:p>
    <w:p w:rsidR="00BB6F6A" w:rsidRPr="00222040" w:rsidRDefault="00BB6F6A" w:rsidP="000D630B">
      <w:pPr>
        <w:pStyle w:val="Brdtextmedindrag"/>
        <w:ind w:left="0"/>
      </w:pPr>
    </w:p>
    <w:p w:rsidR="00BB6F6A" w:rsidRPr="00A17B6E" w:rsidRDefault="00BB6F6A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987ECA">
        <w:rPr>
          <w:spacing w:val="-3"/>
          <w:lang w:val="sv-SE"/>
        </w:rPr>
        <w:t>22 februari</w:t>
      </w:r>
      <w:r w:rsidR="00BB6F6A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381031">
        <w:rPr>
          <w:spacing w:val="-3"/>
          <w:lang w:val="sv-SE"/>
        </w:rPr>
        <w:t>19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623D44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623D44">
        <w:rPr>
          <w:spacing w:val="-3"/>
          <w:lang w:val="sv-SE"/>
        </w:rPr>
        <w:t>SAULI NIINISTÖ</w:t>
      </w:r>
    </w:p>
    <w:p w:rsidR="00EF104B" w:rsidRPr="00623D44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24320" w:rsidRPr="00623D44" w:rsidRDefault="00624320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BB6F6A" w:rsidRDefault="00BB6F6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BB6F6A" w:rsidRDefault="00BB6F6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BB6F6A" w:rsidRPr="00222040" w:rsidRDefault="00A11EF2" w:rsidP="00AD533D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623D44">
        <w:rPr>
          <w:spacing w:val="-3"/>
          <w:lang w:val="sv-SE"/>
        </w:rPr>
        <w:tab/>
      </w:r>
      <w:r w:rsidRPr="00623D44">
        <w:rPr>
          <w:spacing w:val="-3"/>
          <w:lang w:val="sv-SE"/>
        </w:rPr>
        <w:tab/>
      </w:r>
      <w:r w:rsidRPr="00623D44">
        <w:rPr>
          <w:spacing w:val="-3"/>
          <w:lang w:val="sv-SE"/>
        </w:rPr>
        <w:tab/>
      </w:r>
      <w:r w:rsidRPr="00623D44">
        <w:rPr>
          <w:spacing w:val="-3"/>
          <w:lang w:val="sv-SE"/>
        </w:rPr>
        <w:tab/>
      </w:r>
      <w:r w:rsidR="002922C3" w:rsidRPr="00623D44">
        <w:rPr>
          <w:spacing w:val="-3"/>
          <w:lang w:val="sv-SE"/>
        </w:rPr>
        <w:t>Kommunikationsminister</w:t>
      </w:r>
      <w:r w:rsidR="00EF104B" w:rsidRPr="00623D44">
        <w:rPr>
          <w:spacing w:val="-3"/>
          <w:lang w:val="sv-SE"/>
        </w:rPr>
        <w:t xml:space="preserve"> </w:t>
      </w:r>
      <w:r w:rsidR="002922C3" w:rsidRPr="00623D44">
        <w:rPr>
          <w:spacing w:val="-3"/>
          <w:lang w:val="sv-SE"/>
        </w:rPr>
        <w:t>Anne Berner</w:t>
      </w:r>
    </w:p>
    <w:p w:rsidR="00C70D0A" w:rsidRPr="00623D44" w:rsidRDefault="00BB6F6A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>
        <w:rPr>
          <w:spacing w:val="-3"/>
          <w:sz w:val="16"/>
          <w:szCs w:val="16"/>
          <w:lang w:val="sv-SE"/>
        </w:rPr>
        <w:t>VN/</w:t>
      </w:r>
      <w:r w:rsidR="007D0A3C">
        <w:rPr>
          <w:spacing w:val="-3"/>
          <w:sz w:val="16"/>
          <w:szCs w:val="16"/>
          <w:lang w:val="sv-SE"/>
        </w:rPr>
        <w:t>5770</w:t>
      </w:r>
      <w:r w:rsidR="00E11D20">
        <w:rPr>
          <w:spacing w:val="-3"/>
          <w:sz w:val="16"/>
          <w:szCs w:val="16"/>
          <w:lang w:val="sv-SE"/>
        </w:rPr>
        <w:t>/</w:t>
      </w:r>
      <w:r w:rsidR="00987ECA">
        <w:rPr>
          <w:spacing w:val="-3"/>
          <w:sz w:val="16"/>
          <w:szCs w:val="16"/>
          <w:lang w:val="sv-SE"/>
        </w:rPr>
        <w:t xml:space="preserve">2018 </w:t>
      </w:r>
    </w:p>
    <w:sectPr w:rsidR="00C70D0A" w:rsidRPr="00623D44" w:rsidSect="00092C9F">
      <w:headerReference w:type="default" r:id="rId9"/>
      <w:pgSz w:w="11906" w:h="16838"/>
      <w:pgMar w:top="1418" w:right="1134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95" w:rsidRDefault="00702095">
      <w:r>
        <w:separator/>
      </w:r>
    </w:p>
  </w:endnote>
  <w:endnote w:type="continuationSeparator" w:id="0">
    <w:p w:rsidR="00702095" w:rsidRDefault="0070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95" w:rsidRDefault="00702095">
      <w:r>
        <w:separator/>
      </w:r>
    </w:p>
  </w:footnote>
  <w:footnote w:type="continuationSeparator" w:id="0">
    <w:p w:rsidR="00702095" w:rsidRDefault="0070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459B"/>
    <w:rsid w:val="00014B85"/>
    <w:rsid w:val="00022CB0"/>
    <w:rsid w:val="00036F54"/>
    <w:rsid w:val="000422AD"/>
    <w:rsid w:val="000425E8"/>
    <w:rsid w:val="000426F4"/>
    <w:rsid w:val="00051E74"/>
    <w:rsid w:val="00052AD1"/>
    <w:rsid w:val="000601D6"/>
    <w:rsid w:val="00092C9F"/>
    <w:rsid w:val="000A1750"/>
    <w:rsid w:val="000A18F8"/>
    <w:rsid w:val="000A7921"/>
    <w:rsid w:val="000B4B66"/>
    <w:rsid w:val="000C0B63"/>
    <w:rsid w:val="000C7BCD"/>
    <w:rsid w:val="000D4AB9"/>
    <w:rsid w:val="000D4E60"/>
    <w:rsid w:val="000D630B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84561"/>
    <w:rsid w:val="00193E3B"/>
    <w:rsid w:val="001A3747"/>
    <w:rsid w:val="001C0C5E"/>
    <w:rsid w:val="001D5BE7"/>
    <w:rsid w:val="001E58CF"/>
    <w:rsid w:val="001E6661"/>
    <w:rsid w:val="001F16AC"/>
    <w:rsid w:val="001F6910"/>
    <w:rsid w:val="00200F7C"/>
    <w:rsid w:val="00207582"/>
    <w:rsid w:val="0021587D"/>
    <w:rsid w:val="00216122"/>
    <w:rsid w:val="00221393"/>
    <w:rsid w:val="00222040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22C3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23411"/>
    <w:rsid w:val="00332BF9"/>
    <w:rsid w:val="00335DA6"/>
    <w:rsid w:val="00355981"/>
    <w:rsid w:val="003645F5"/>
    <w:rsid w:val="00364F72"/>
    <w:rsid w:val="00376DB2"/>
    <w:rsid w:val="0037759B"/>
    <w:rsid w:val="00377747"/>
    <w:rsid w:val="00377ABF"/>
    <w:rsid w:val="00377F17"/>
    <w:rsid w:val="00381021"/>
    <w:rsid w:val="00381031"/>
    <w:rsid w:val="00381856"/>
    <w:rsid w:val="00383562"/>
    <w:rsid w:val="00392320"/>
    <w:rsid w:val="00397616"/>
    <w:rsid w:val="003A0698"/>
    <w:rsid w:val="003A6560"/>
    <w:rsid w:val="003A6EB5"/>
    <w:rsid w:val="003A72F7"/>
    <w:rsid w:val="003B5633"/>
    <w:rsid w:val="003C15DC"/>
    <w:rsid w:val="003C2F81"/>
    <w:rsid w:val="003C60A4"/>
    <w:rsid w:val="003D40A0"/>
    <w:rsid w:val="003D6888"/>
    <w:rsid w:val="003E1F46"/>
    <w:rsid w:val="003E6A86"/>
    <w:rsid w:val="003F3177"/>
    <w:rsid w:val="003F6E9A"/>
    <w:rsid w:val="00415E7B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4E657F"/>
    <w:rsid w:val="004E7E6E"/>
    <w:rsid w:val="005059B8"/>
    <w:rsid w:val="00507A09"/>
    <w:rsid w:val="00514EA8"/>
    <w:rsid w:val="005161D2"/>
    <w:rsid w:val="005161E4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3D44"/>
    <w:rsid w:val="00624320"/>
    <w:rsid w:val="00637022"/>
    <w:rsid w:val="00637A55"/>
    <w:rsid w:val="006416A0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84428"/>
    <w:rsid w:val="00691F5E"/>
    <w:rsid w:val="0069383A"/>
    <w:rsid w:val="00697911"/>
    <w:rsid w:val="006A0B33"/>
    <w:rsid w:val="006A4686"/>
    <w:rsid w:val="006A60F5"/>
    <w:rsid w:val="006A7F65"/>
    <w:rsid w:val="006B24EE"/>
    <w:rsid w:val="006B6070"/>
    <w:rsid w:val="006B6796"/>
    <w:rsid w:val="006C3692"/>
    <w:rsid w:val="006D1F80"/>
    <w:rsid w:val="006D49D2"/>
    <w:rsid w:val="006E0AC3"/>
    <w:rsid w:val="006E2F1E"/>
    <w:rsid w:val="006E64AC"/>
    <w:rsid w:val="006F2995"/>
    <w:rsid w:val="006F3929"/>
    <w:rsid w:val="00702095"/>
    <w:rsid w:val="00716139"/>
    <w:rsid w:val="0072520C"/>
    <w:rsid w:val="00751D53"/>
    <w:rsid w:val="0075206B"/>
    <w:rsid w:val="00756A81"/>
    <w:rsid w:val="0076141A"/>
    <w:rsid w:val="00761EFD"/>
    <w:rsid w:val="0077393B"/>
    <w:rsid w:val="00776EEE"/>
    <w:rsid w:val="007834BE"/>
    <w:rsid w:val="00783A84"/>
    <w:rsid w:val="00792646"/>
    <w:rsid w:val="00792836"/>
    <w:rsid w:val="00795BA8"/>
    <w:rsid w:val="00796614"/>
    <w:rsid w:val="007A475B"/>
    <w:rsid w:val="007A6874"/>
    <w:rsid w:val="007A78AF"/>
    <w:rsid w:val="007B0820"/>
    <w:rsid w:val="007B3814"/>
    <w:rsid w:val="007C42E2"/>
    <w:rsid w:val="007C5E75"/>
    <w:rsid w:val="007D0A3C"/>
    <w:rsid w:val="007E567A"/>
    <w:rsid w:val="007E6B0B"/>
    <w:rsid w:val="007F2A3B"/>
    <w:rsid w:val="007F320D"/>
    <w:rsid w:val="007F381D"/>
    <w:rsid w:val="007F3B68"/>
    <w:rsid w:val="007F486A"/>
    <w:rsid w:val="007F5958"/>
    <w:rsid w:val="008215EC"/>
    <w:rsid w:val="0082355C"/>
    <w:rsid w:val="008334EF"/>
    <w:rsid w:val="00837EE4"/>
    <w:rsid w:val="00841846"/>
    <w:rsid w:val="0084292C"/>
    <w:rsid w:val="0085192A"/>
    <w:rsid w:val="00856867"/>
    <w:rsid w:val="00861405"/>
    <w:rsid w:val="00862FA7"/>
    <w:rsid w:val="00873706"/>
    <w:rsid w:val="00874F7C"/>
    <w:rsid w:val="00882B81"/>
    <w:rsid w:val="008A5599"/>
    <w:rsid w:val="008B0B1E"/>
    <w:rsid w:val="008B72A2"/>
    <w:rsid w:val="008E0202"/>
    <w:rsid w:val="008F4AB0"/>
    <w:rsid w:val="00902321"/>
    <w:rsid w:val="0091123B"/>
    <w:rsid w:val="00917D94"/>
    <w:rsid w:val="009205BD"/>
    <w:rsid w:val="0093141A"/>
    <w:rsid w:val="0094506D"/>
    <w:rsid w:val="00945714"/>
    <w:rsid w:val="009625FB"/>
    <w:rsid w:val="00962FEA"/>
    <w:rsid w:val="009709DF"/>
    <w:rsid w:val="00971C1F"/>
    <w:rsid w:val="00973D48"/>
    <w:rsid w:val="00974F1B"/>
    <w:rsid w:val="0098102A"/>
    <w:rsid w:val="00987ECA"/>
    <w:rsid w:val="009911A9"/>
    <w:rsid w:val="00997391"/>
    <w:rsid w:val="009A0699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15DC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4BB2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2647"/>
    <w:rsid w:val="00B42190"/>
    <w:rsid w:val="00B4448B"/>
    <w:rsid w:val="00B50C4E"/>
    <w:rsid w:val="00B532D0"/>
    <w:rsid w:val="00B56732"/>
    <w:rsid w:val="00B56A43"/>
    <w:rsid w:val="00B56DE2"/>
    <w:rsid w:val="00B6239E"/>
    <w:rsid w:val="00B63788"/>
    <w:rsid w:val="00B64B9A"/>
    <w:rsid w:val="00B743EA"/>
    <w:rsid w:val="00B813C6"/>
    <w:rsid w:val="00B83B57"/>
    <w:rsid w:val="00B856CE"/>
    <w:rsid w:val="00B87C26"/>
    <w:rsid w:val="00B87ECA"/>
    <w:rsid w:val="00B91D51"/>
    <w:rsid w:val="00BA0035"/>
    <w:rsid w:val="00BA00E6"/>
    <w:rsid w:val="00BA2531"/>
    <w:rsid w:val="00BB268A"/>
    <w:rsid w:val="00BB3C36"/>
    <w:rsid w:val="00BB6F6A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E1261"/>
    <w:rsid w:val="00BE1302"/>
    <w:rsid w:val="00BE62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759E"/>
    <w:rsid w:val="00CF6C4D"/>
    <w:rsid w:val="00D029B0"/>
    <w:rsid w:val="00D05F54"/>
    <w:rsid w:val="00D222B3"/>
    <w:rsid w:val="00D3118F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4BD8"/>
    <w:rsid w:val="00D77537"/>
    <w:rsid w:val="00D818A4"/>
    <w:rsid w:val="00D90488"/>
    <w:rsid w:val="00D951E3"/>
    <w:rsid w:val="00D97ACD"/>
    <w:rsid w:val="00DB42B8"/>
    <w:rsid w:val="00DC438B"/>
    <w:rsid w:val="00DC7566"/>
    <w:rsid w:val="00DE1A68"/>
    <w:rsid w:val="00DE47E6"/>
    <w:rsid w:val="00DE51BC"/>
    <w:rsid w:val="00DE5707"/>
    <w:rsid w:val="00DE7F2E"/>
    <w:rsid w:val="00DF1F65"/>
    <w:rsid w:val="00E1101C"/>
    <w:rsid w:val="00E11D20"/>
    <w:rsid w:val="00E13FBE"/>
    <w:rsid w:val="00E222FC"/>
    <w:rsid w:val="00E34079"/>
    <w:rsid w:val="00E464F9"/>
    <w:rsid w:val="00E56964"/>
    <w:rsid w:val="00E5772F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F4"/>
    <w:rsid w:val="00EC2A1C"/>
    <w:rsid w:val="00EC642F"/>
    <w:rsid w:val="00EC69D7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7CC9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594A"/>
    <w:rsid w:val="00FB0734"/>
    <w:rsid w:val="00FB67B9"/>
    <w:rsid w:val="00FC7152"/>
    <w:rsid w:val="00FE1787"/>
    <w:rsid w:val="00FE1EC6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68A5-4CF8-4E0E-81E1-B5DBEEEB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249C70CF.dotm</Template>
  <TotalTime>1</TotalTime>
  <Pages>2</Pages>
  <Words>695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2</cp:revision>
  <cp:lastPrinted>2019-03-04T13:03:00Z</cp:lastPrinted>
  <dcterms:created xsi:type="dcterms:W3CDTF">2019-03-04T13:04:00Z</dcterms:created>
  <dcterms:modified xsi:type="dcterms:W3CDTF">2019-03-04T13:04:00Z</dcterms:modified>
</cp:coreProperties>
</file>