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1"/>
        <w:gridCol w:w="4449"/>
        <w:gridCol w:w="1722"/>
        <w:gridCol w:w="2559"/>
      </w:tblGrid>
      <w:tr w:rsidR="008B496A" w:rsidTr="00ED2CBB">
        <w:trPr>
          <w:cantSplit/>
          <w:trHeight w:val="20"/>
        </w:trPr>
        <w:tc>
          <w:tcPr>
            <w:tcW w:w="851" w:type="dxa"/>
            <w:vMerge w:val="restart"/>
          </w:tcPr>
          <w:p w:rsidR="008B496A" w:rsidRDefault="000041FD">
            <w:pPr>
              <w:pStyle w:val="xLedtext"/>
              <w:rPr>
                <w:noProof/>
              </w:rPr>
            </w:pPr>
            <w:bookmarkStart w:id="0" w:name="_top"/>
            <w:bookmarkEnd w:id="0"/>
            <w:r>
              <w:rPr>
                <w:noProof/>
                <w:lang w:val="sv-FI" w:eastAsia="sv-FI"/>
              </w:rPr>
              <w:drawing>
                <wp:inline distT="0" distB="0" distL="0" distR="0">
                  <wp:extent cx="478790" cy="68199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790" cy="681990"/>
                          </a:xfrm>
                          <a:prstGeom prst="rect">
                            <a:avLst/>
                          </a:prstGeom>
                          <a:noFill/>
                          <a:ln>
                            <a:noFill/>
                          </a:ln>
                        </pic:spPr>
                      </pic:pic>
                    </a:graphicData>
                  </a:graphic>
                </wp:inline>
              </w:drawing>
            </w:r>
          </w:p>
        </w:tc>
        <w:tc>
          <w:tcPr>
            <w:tcW w:w="8730" w:type="dxa"/>
            <w:gridSpan w:val="3"/>
            <w:vAlign w:val="bottom"/>
          </w:tcPr>
          <w:p w:rsidR="008B496A" w:rsidRDefault="000041FD">
            <w:pPr>
              <w:pStyle w:val="xMellanrum"/>
            </w:pPr>
            <w:r>
              <w:rPr>
                <w:noProof/>
                <w:lang w:val="sv-FI" w:eastAsia="sv-FI"/>
              </w:rPr>
              <w:drawing>
                <wp:inline distT="0" distB="0" distL="0" distR="0">
                  <wp:extent cx="50800" cy="50800"/>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B496A" w:rsidTr="00ED2CBB">
        <w:trPr>
          <w:cantSplit/>
          <w:trHeight w:val="299"/>
        </w:trPr>
        <w:tc>
          <w:tcPr>
            <w:tcW w:w="851" w:type="dxa"/>
            <w:vMerge/>
          </w:tcPr>
          <w:p w:rsidR="008B496A" w:rsidRDefault="008B496A">
            <w:pPr>
              <w:pStyle w:val="xLedtext"/>
            </w:pPr>
          </w:p>
        </w:tc>
        <w:tc>
          <w:tcPr>
            <w:tcW w:w="4449" w:type="dxa"/>
            <w:vAlign w:val="bottom"/>
          </w:tcPr>
          <w:p w:rsidR="008B496A" w:rsidRDefault="008B496A">
            <w:pPr>
              <w:pStyle w:val="xAvsandare1"/>
            </w:pPr>
            <w:r>
              <w:t>Ålands landskapsregering</w:t>
            </w:r>
          </w:p>
        </w:tc>
        <w:tc>
          <w:tcPr>
            <w:tcW w:w="4281" w:type="dxa"/>
            <w:gridSpan w:val="2"/>
            <w:vAlign w:val="bottom"/>
          </w:tcPr>
          <w:p w:rsidR="008B496A" w:rsidRDefault="00AE67F9" w:rsidP="00E33B3C">
            <w:pPr>
              <w:pStyle w:val="xDokTypNr"/>
            </w:pPr>
            <w:r>
              <w:t>YTTRANDE</w:t>
            </w:r>
          </w:p>
        </w:tc>
      </w:tr>
      <w:tr w:rsidR="008B496A" w:rsidTr="00ED2CBB">
        <w:trPr>
          <w:cantSplit/>
          <w:trHeight w:val="238"/>
        </w:trPr>
        <w:tc>
          <w:tcPr>
            <w:tcW w:w="851" w:type="dxa"/>
            <w:vMerge/>
          </w:tcPr>
          <w:p w:rsidR="008B496A" w:rsidRDefault="008B496A">
            <w:pPr>
              <w:pStyle w:val="xLedtext"/>
            </w:pPr>
          </w:p>
        </w:tc>
        <w:tc>
          <w:tcPr>
            <w:tcW w:w="4449" w:type="dxa"/>
            <w:vAlign w:val="bottom"/>
          </w:tcPr>
          <w:p w:rsidR="008B496A" w:rsidRDefault="008B496A">
            <w:pPr>
              <w:pStyle w:val="xLedtext"/>
            </w:pPr>
          </w:p>
        </w:tc>
        <w:tc>
          <w:tcPr>
            <w:tcW w:w="1722" w:type="dxa"/>
            <w:vAlign w:val="bottom"/>
          </w:tcPr>
          <w:p w:rsidR="008B496A" w:rsidRDefault="008B496A">
            <w:pPr>
              <w:pStyle w:val="xLedtext"/>
            </w:pPr>
            <w:r>
              <w:t>Datum</w:t>
            </w:r>
          </w:p>
        </w:tc>
        <w:tc>
          <w:tcPr>
            <w:tcW w:w="2559" w:type="dxa"/>
            <w:vAlign w:val="bottom"/>
          </w:tcPr>
          <w:p w:rsidR="008B496A" w:rsidRDefault="008B496A">
            <w:pPr>
              <w:pStyle w:val="xLedtext"/>
            </w:pPr>
          </w:p>
        </w:tc>
      </w:tr>
      <w:tr w:rsidR="008B496A" w:rsidTr="00ED2CBB">
        <w:trPr>
          <w:cantSplit/>
          <w:trHeight w:val="238"/>
        </w:trPr>
        <w:tc>
          <w:tcPr>
            <w:tcW w:w="851" w:type="dxa"/>
            <w:vMerge/>
          </w:tcPr>
          <w:p w:rsidR="008B496A" w:rsidRDefault="008B496A">
            <w:pPr>
              <w:pStyle w:val="xAvsandare2"/>
            </w:pPr>
          </w:p>
        </w:tc>
        <w:tc>
          <w:tcPr>
            <w:tcW w:w="4449" w:type="dxa"/>
            <w:vAlign w:val="center"/>
          </w:tcPr>
          <w:p w:rsidR="008B496A" w:rsidRDefault="008B496A">
            <w:pPr>
              <w:pStyle w:val="xAvsandare2"/>
            </w:pPr>
          </w:p>
        </w:tc>
        <w:tc>
          <w:tcPr>
            <w:tcW w:w="1722" w:type="dxa"/>
            <w:vAlign w:val="center"/>
          </w:tcPr>
          <w:p w:rsidR="008B496A" w:rsidRDefault="00827952" w:rsidP="002542CD">
            <w:pPr>
              <w:pStyle w:val="xDatum1"/>
            </w:pPr>
            <w:r>
              <w:t>6</w:t>
            </w:r>
            <w:r w:rsidR="005B6AE7">
              <w:t>.</w:t>
            </w:r>
            <w:r w:rsidR="000B6058">
              <w:t>3</w:t>
            </w:r>
            <w:r w:rsidR="00807F6D">
              <w:t>.201</w:t>
            </w:r>
            <w:r w:rsidR="005B6AE7">
              <w:t>9</w:t>
            </w:r>
          </w:p>
        </w:tc>
        <w:tc>
          <w:tcPr>
            <w:tcW w:w="2559" w:type="dxa"/>
            <w:vAlign w:val="center"/>
          </w:tcPr>
          <w:p w:rsidR="008B496A" w:rsidRDefault="008B496A">
            <w:pPr>
              <w:pStyle w:val="xBeteckning1"/>
            </w:pPr>
          </w:p>
        </w:tc>
      </w:tr>
      <w:tr w:rsidR="008B496A" w:rsidTr="00ED2CBB">
        <w:trPr>
          <w:cantSplit/>
          <w:trHeight w:val="238"/>
        </w:trPr>
        <w:tc>
          <w:tcPr>
            <w:tcW w:w="851" w:type="dxa"/>
            <w:vMerge/>
          </w:tcPr>
          <w:p w:rsidR="008B496A" w:rsidRDefault="008B496A">
            <w:pPr>
              <w:pStyle w:val="xLedtext"/>
            </w:pPr>
          </w:p>
        </w:tc>
        <w:tc>
          <w:tcPr>
            <w:tcW w:w="4449" w:type="dxa"/>
            <w:vAlign w:val="bottom"/>
          </w:tcPr>
          <w:p w:rsidR="008B496A" w:rsidRDefault="008B496A">
            <w:pPr>
              <w:pStyle w:val="xLedtext"/>
            </w:pPr>
          </w:p>
        </w:tc>
        <w:tc>
          <w:tcPr>
            <w:tcW w:w="1722" w:type="dxa"/>
            <w:vAlign w:val="bottom"/>
          </w:tcPr>
          <w:p w:rsidR="008B496A" w:rsidRDefault="008B496A">
            <w:pPr>
              <w:pStyle w:val="xLedtext"/>
            </w:pPr>
          </w:p>
        </w:tc>
        <w:tc>
          <w:tcPr>
            <w:tcW w:w="2559" w:type="dxa"/>
            <w:vAlign w:val="bottom"/>
          </w:tcPr>
          <w:p w:rsidR="008B496A" w:rsidRDefault="008B496A">
            <w:pPr>
              <w:pStyle w:val="xLedtext"/>
            </w:pPr>
          </w:p>
        </w:tc>
      </w:tr>
      <w:tr w:rsidR="008B496A" w:rsidTr="00ED2CBB">
        <w:trPr>
          <w:cantSplit/>
          <w:trHeight w:val="238"/>
        </w:trPr>
        <w:tc>
          <w:tcPr>
            <w:tcW w:w="851" w:type="dxa"/>
            <w:vMerge/>
            <w:tcBorders>
              <w:bottom w:val="single" w:sz="4" w:space="0" w:color="auto"/>
            </w:tcBorders>
          </w:tcPr>
          <w:p w:rsidR="008B496A" w:rsidRDefault="008B496A">
            <w:pPr>
              <w:pStyle w:val="xAvsandare3"/>
            </w:pPr>
          </w:p>
        </w:tc>
        <w:tc>
          <w:tcPr>
            <w:tcW w:w="4449" w:type="dxa"/>
            <w:tcBorders>
              <w:bottom w:val="single" w:sz="4" w:space="0" w:color="auto"/>
            </w:tcBorders>
            <w:vAlign w:val="center"/>
          </w:tcPr>
          <w:p w:rsidR="008B496A" w:rsidRDefault="008B496A">
            <w:pPr>
              <w:pStyle w:val="xAvsandare3"/>
            </w:pPr>
          </w:p>
        </w:tc>
        <w:tc>
          <w:tcPr>
            <w:tcW w:w="1722" w:type="dxa"/>
            <w:tcBorders>
              <w:bottom w:val="single" w:sz="4" w:space="0" w:color="auto"/>
            </w:tcBorders>
            <w:vAlign w:val="center"/>
          </w:tcPr>
          <w:p w:rsidR="008B496A" w:rsidRDefault="008B496A">
            <w:pPr>
              <w:pStyle w:val="xDatum2"/>
            </w:pPr>
          </w:p>
        </w:tc>
        <w:tc>
          <w:tcPr>
            <w:tcW w:w="2559" w:type="dxa"/>
            <w:tcBorders>
              <w:bottom w:val="single" w:sz="4" w:space="0" w:color="auto"/>
            </w:tcBorders>
            <w:vAlign w:val="center"/>
          </w:tcPr>
          <w:p w:rsidR="008B496A" w:rsidRDefault="008B496A">
            <w:pPr>
              <w:pStyle w:val="xBeteckning2"/>
            </w:pPr>
          </w:p>
        </w:tc>
      </w:tr>
      <w:tr w:rsidR="008B496A" w:rsidTr="00ED2CBB">
        <w:trPr>
          <w:cantSplit/>
          <w:trHeight w:val="238"/>
        </w:trPr>
        <w:tc>
          <w:tcPr>
            <w:tcW w:w="851" w:type="dxa"/>
            <w:tcBorders>
              <w:top w:val="single" w:sz="4" w:space="0" w:color="auto"/>
            </w:tcBorders>
            <w:vAlign w:val="bottom"/>
          </w:tcPr>
          <w:p w:rsidR="008B496A" w:rsidRDefault="008B496A">
            <w:pPr>
              <w:pStyle w:val="xLedtext"/>
            </w:pPr>
          </w:p>
        </w:tc>
        <w:tc>
          <w:tcPr>
            <w:tcW w:w="4449" w:type="dxa"/>
            <w:tcBorders>
              <w:top w:val="single" w:sz="4" w:space="0" w:color="auto"/>
            </w:tcBorders>
            <w:vAlign w:val="bottom"/>
          </w:tcPr>
          <w:p w:rsidR="008B496A" w:rsidRDefault="008B496A">
            <w:pPr>
              <w:pStyle w:val="xLedtext"/>
            </w:pPr>
          </w:p>
        </w:tc>
        <w:tc>
          <w:tcPr>
            <w:tcW w:w="4281" w:type="dxa"/>
            <w:gridSpan w:val="2"/>
            <w:tcBorders>
              <w:top w:val="single" w:sz="4" w:space="0" w:color="auto"/>
            </w:tcBorders>
            <w:vAlign w:val="bottom"/>
          </w:tcPr>
          <w:p w:rsidR="008B496A" w:rsidRDefault="008B496A">
            <w:pPr>
              <w:pStyle w:val="xLedtext"/>
            </w:pPr>
          </w:p>
        </w:tc>
      </w:tr>
      <w:tr w:rsidR="008B496A" w:rsidTr="00ED2CBB">
        <w:trPr>
          <w:cantSplit/>
          <w:trHeight w:val="238"/>
        </w:trPr>
        <w:tc>
          <w:tcPr>
            <w:tcW w:w="851" w:type="dxa"/>
          </w:tcPr>
          <w:p w:rsidR="008B496A" w:rsidRDefault="008B496A">
            <w:pPr>
              <w:pStyle w:val="xCelltext"/>
            </w:pPr>
          </w:p>
        </w:tc>
        <w:tc>
          <w:tcPr>
            <w:tcW w:w="4449" w:type="dxa"/>
            <w:vMerge w:val="restart"/>
          </w:tcPr>
          <w:p w:rsidR="008B496A" w:rsidRDefault="008B496A">
            <w:pPr>
              <w:pStyle w:val="xMottagare1"/>
            </w:pPr>
            <w:r>
              <w:t>Till Ålands lagting</w:t>
            </w:r>
          </w:p>
        </w:tc>
        <w:tc>
          <w:tcPr>
            <w:tcW w:w="4281" w:type="dxa"/>
            <w:gridSpan w:val="2"/>
            <w:vMerge w:val="restart"/>
          </w:tcPr>
          <w:p w:rsidR="008B496A" w:rsidRDefault="008B496A">
            <w:pPr>
              <w:pStyle w:val="xMottagare1"/>
              <w:tabs>
                <w:tab w:val="left" w:pos="2349"/>
              </w:tabs>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r w:rsidR="008B496A" w:rsidTr="00ED2CBB">
        <w:trPr>
          <w:cantSplit/>
          <w:trHeight w:val="238"/>
        </w:trPr>
        <w:tc>
          <w:tcPr>
            <w:tcW w:w="851" w:type="dxa"/>
          </w:tcPr>
          <w:p w:rsidR="008B496A" w:rsidRDefault="008B496A">
            <w:pPr>
              <w:pStyle w:val="xCelltext"/>
            </w:pPr>
          </w:p>
        </w:tc>
        <w:tc>
          <w:tcPr>
            <w:tcW w:w="4449" w:type="dxa"/>
            <w:vMerge/>
            <w:vAlign w:val="center"/>
          </w:tcPr>
          <w:p w:rsidR="008B496A" w:rsidRDefault="008B496A">
            <w:pPr>
              <w:pStyle w:val="xCelltext"/>
            </w:pPr>
          </w:p>
        </w:tc>
        <w:tc>
          <w:tcPr>
            <w:tcW w:w="4281" w:type="dxa"/>
            <w:gridSpan w:val="2"/>
            <w:vMerge/>
            <w:vAlign w:val="center"/>
          </w:tcPr>
          <w:p w:rsidR="008B496A" w:rsidRDefault="008B496A">
            <w:pPr>
              <w:pStyle w:val="xCelltext"/>
            </w:pPr>
          </w:p>
        </w:tc>
      </w:tr>
    </w:tbl>
    <w:p w:rsidR="008B496A" w:rsidRDefault="008B496A">
      <w:pPr>
        <w:rPr>
          <w:b/>
          <w:bCs/>
        </w:rPr>
        <w:sectPr w:rsidR="008B496A">
          <w:footerReference w:type="even" r:id="rId10"/>
          <w:pgSz w:w="11906" w:h="16838" w:code="9"/>
          <w:pgMar w:top="567" w:right="1134" w:bottom="1134" w:left="1191" w:header="624" w:footer="851" w:gutter="0"/>
          <w:cols w:space="708"/>
          <w:docGrid w:linePitch="360"/>
        </w:sectPr>
      </w:pPr>
    </w:p>
    <w:p w:rsidR="008B496A" w:rsidRDefault="00AE67F9">
      <w:pPr>
        <w:pStyle w:val="ArendeOverRubrik"/>
      </w:pPr>
      <w:r>
        <w:lastRenderedPageBreak/>
        <w:t>Landskapsregeringens yttrande</w:t>
      </w:r>
    </w:p>
    <w:p w:rsidR="008B496A" w:rsidRDefault="00347B66" w:rsidP="00066D2D">
      <w:pPr>
        <w:pStyle w:val="ArendeRubrik"/>
      </w:pPr>
      <w:r>
        <w:t>Ang</w:t>
      </w:r>
      <w:r w:rsidR="0070149C">
        <w:t>å</w:t>
      </w:r>
      <w:r>
        <w:t>e</w:t>
      </w:r>
      <w:r w:rsidR="0070149C">
        <w:t>nde</w:t>
      </w:r>
      <w:r w:rsidR="00F05CDF">
        <w:t xml:space="preserve"> regeringens proposition till riksdagen om godkännande </w:t>
      </w:r>
      <w:r w:rsidR="00A43D44">
        <w:t xml:space="preserve">och sättande i kraft av </w:t>
      </w:r>
      <w:r w:rsidR="005B6AE7">
        <w:t>den multilaterala konventionen för att genomföra</w:t>
      </w:r>
      <w:r w:rsidR="000B6058">
        <w:t xml:space="preserve"> </w:t>
      </w:r>
      <w:r w:rsidR="005B6AE7">
        <w:t>skatteavtalsrelaterade åtgärder för att motverka skattebaserosion och flyttning av vinster</w:t>
      </w:r>
    </w:p>
    <w:p w:rsidR="00C669F9" w:rsidRPr="00265ADF" w:rsidRDefault="00265ADF" w:rsidP="00066D2D">
      <w:pPr>
        <w:pStyle w:val="ArendeUnderRubrik"/>
        <w:rPr>
          <w:rStyle w:val="Hyperlnk"/>
        </w:rPr>
      </w:pPr>
      <w:r>
        <w:fldChar w:fldCharType="begin"/>
      </w:r>
      <w:r>
        <w:instrText xml:space="preserve"> HYPERLINK "rp0620182019" </w:instrText>
      </w:r>
      <w:r>
        <w:fldChar w:fldCharType="separate"/>
      </w:r>
      <w:r w:rsidR="00AE67F9" w:rsidRPr="00265ADF">
        <w:rPr>
          <w:rStyle w:val="Hyperlnk"/>
        </w:rPr>
        <w:t xml:space="preserve">Republikens presidents framställning </w:t>
      </w:r>
      <w:r w:rsidR="008B496A" w:rsidRPr="00265ADF">
        <w:rPr>
          <w:rStyle w:val="Hyperlnk"/>
        </w:rPr>
        <w:t xml:space="preserve">nr </w:t>
      </w:r>
      <w:r w:rsidR="005B6AE7" w:rsidRPr="00265ADF">
        <w:rPr>
          <w:rStyle w:val="Hyperlnk"/>
        </w:rPr>
        <w:t>6</w:t>
      </w:r>
      <w:r w:rsidR="008B496A" w:rsidRPr="00265ADF">
        <w:rPr>
          <w:rStyle w:val="Hyperlnk"/>
        </w:rPr>
        <w:t>/201</w:t>
      </w:r>
      <w:r w:rsidR="005B6AE7" w:rsidRPr="00265ADF">
        <w:rPr>
          <w:rStyle w:val="Hyperlnk"/>
        </w:rPr>
        <w:t>8</w:t>
      </w:r>
      <w:r w:rsidR="008B496A" w:rsidRPr="00265ADF">
        <w:rPr>
          <w:rStyle w:val="Hyperlnk"/>
        </w:rPr>
        <w:t>-201</w:t>
      </w:r>
      <w:r w:rsidR="005B6AE7" w:rsidRPr="00265ADF">
        <w:rPr>
          <w:rStyle w:val="Hyperlnk"/>
        </w:rPr>
        <w:t>9</w:t>
      </w:r>
    </w:p>
    <w:p w:rsidR="008B496A" w:rsidRDefault="00265ADF" w:rsidP="00066D2D">
      <w:pPr>
        <w:pStyle w:val="ANormal"/>
      </w:pPr>
      <w:r>
        <w:rPr>
          <w:rFonts w:ascii="Verdana" w:hAnsi="Verdana" w:cs="Arial"/>
          <w:sz w:val="16"/>
        </w:rPr>
        <w:fldChar w:fldCharType="end"/>
      </w:r>
      <w:bookmarkStart w:id="1" w:name="_GoBack"/>
      <w:bookmarkEnd w:id="1"/>
    </w:p>
    <w:p w:rsidR="00134462" w:rsidRDefault="00807F6D" w:rsidP="00066D2D">
      <w:pPr>
        <w:pStyle w:val="Brdtext"/>
        <w:rPr>
          <w:sz w:val="22"/>
          <w:szCs w:val="22"/>
        </w:rPr>
      </w:pPr>
      <w:r w:rsidRPr="00807F6D">
        <w:rPr>
          <w:sz w:val="22"/>
          <w:szCs w:val="22"/>
        </w:rPr>
        <w:t xml:space="preserve">Ålands lagting har den </w:t>
      </w:r>
      <w:r w:rsidR="005B6AE7">
        <w:rPr>
          <w:sz w:val="22"/>
          <w:szCs w:val="22"/>
        </w:rPr>
        <w:t>29 januari</w:t>
      </w:r>
      <w:r w:rsidRPr="00807F6D">
        <w:rPr>
          <w:sz w:val="22"/>
          <w:szCs w:val="22"/>
        </w:rPr>
        <w:t xml:space="preserve"> 201</w:t>
      </w:r>
      <w:r w:rsidR="005B6AE7">
        <w:rPr>
          <w:sz w:val="22"/>
          <w:szCs w:val="22"/>
        </w:rPr>
        <w:t>9</w:t>
      </w:r>
      <w:r w:rsidRPr="00807F6D">
        <w:rPr>
          <w:sz w:val="22"/>
          <w:szCs w:val="22"/>
        </w:rPr>
        <w:t xml:space="preserve"> begärt ett yttrande från landskap</w:t>
      </w:r>
      <w:r w:rsidRPr="00807F6D">
        <w:rPr>
          <w:sz w:val="22"/>
          <w:szCs w:val="22"/>
        </w:rPr>
        <w:t>s</w:t>
      </w:r>
      <w:r w:rsidRPr="00807F6D">
        <w:rPr>
          <w:sz w:val="22"/>
          <w:szCs w:val="22"/>
        </w:rPr>
        <w:t>rege</w:t>
      </w:r>
      <w:r>
        <w:rPr>
          <w:sz w:val="22"/>
          <w:szCs w:val="22"/>
        </w:rPr>
        <w:t>ringen om en proposition till riksdagen om godkännande av</w:t>
      </w:r>
      <w:r w:rsidR="00DD789C">
        <w:rPr>
          <w:sz w:val="22"/>
          <w:szCs w:val="22"/>
        </w:rPr>
        <w:t xml:space="preserve"> och sä</w:t>
      </w:r>
      <w:r w:rsidR="00DD789C">
        <w:rPr>
          <w:sz w:val="22"/>
          <w:szCs w:val="22"/>
        </w:rPr>
        <w:t>t</w:t>
      </w:r>
      <w:r w:rsidR="00DD789C">
        <w:rPr>
          <w:sz w:val="22"/>
          <w:szCs w:val="22"/>
        </w:rPr>
        <w:t>tande i kraft av</w:t>
      </w:r>
      <w:r w:rsidR="005B6AE7">
        <w:rPr>
          <w:sz w:val="22"/>
          <w:szCs w:val="22"/>
        </w:rPr>
        <w:t xml:space="preserve"> den multilaterala konventionen för att genomföra skattea</w:t>
      </w:r>
      <w:r w:rsidR="005B6AE7">
        <w:rPr>
          <w:sz w:val="22"/>
          <w:szCs w:val="22"/>
        </w:rPr>
        <w:t>v</w:t>
      </w:r>
      <w:r w:rsidR="005B6AE7">
        <w:rPr>
          <w:sz w:val="22"/>
          <w:szCs w:val="22"/>
        </w:rPr>
        <w:t>talsrelaterade åtgärder för att motverka skattebaserosion och flyttning av vinster</w:t>
      </w:r>
      <w:r>
        <w:rPr>
          <w:sz w:val="22"/>
          <w:szCs w:val="22"/>
        </w:rPr>
        <w:t xml:space="preserve">. </w:t>
      </w:r>
      <w:r w:rsidR="00134462">
        <w:rPr>
          <w:sz w:val="22"/>
          <w:szCs w:val="22"/>
        </w:rPr>
        <w:t>Begäran är gjord i enlighet med lagstingsordningen 31 § 2 mom.</w:t>
      </w:r>
    </w:p>
    <w:p w:rsidR="00134462" w:rsidRDefault="00134462" w:rsidP="00C669F9">
      <w:pPr>
        <w:pStyle w:val="Brdtext"/>
        <w:rPr>
          <w:sz w:val="22"/>
          <w:szCs w:val="22"/>
        </w:rPr>
      </w:pPr>
    </w:p>
    <w:p w:rsidR="00AE67F9" w:rsidRDefault="00134462" w:rsidP="00C669F9">
      <w:pPr>
        <w:pStyle w:val="Brdtext"/>
        <w:rPr>
          <w:b/>
          <w:sz w:val="22"/>
          <w:szCs w:val="22"/>
        </w:rPr>
      </w:pPr>
      <w:r w:rsidRPr="00134462">
        <w:rPr>
          <w:b/>
          <w:sz w:val="22"/>
          <w:szCs w:val="22"/>
        </w:rPr>
        <w:t>Propositionens huvudsakliga innehåll</w:t>
      </w:r>
    </w:p>
    <w:p w:rsidR="00DA3B20" w:rsidRDefault="00DA3B20" w:rsidP="00066D2D">
      <w:pPr>
        <w:pStyle w:val="Brdtext"/>
        <w:rPr>
          <w:b/>
          <w:sz w:val="22"/>
          <w:szCs w:val="22"/>
        </w:rPr>
      </w:pPr>
    </w:p>
    <w:p w:rsidR="00ED54BE" w:rsidRDefault="004100B4" w:rsidP="00066D2D">
      <w:pPr>
        <w:pStyle w:val="Brdtext"/>
        <w:rPr>
          <w:sz w:val="22"/>
          <w:szCs w:val="22"/>
        </w:rPr>
      </w:pPr>
      <w:r>
        <w:rPr>
          <w:sz w:val="22"/>
          <w:szCs w:val="22"/>
        </w:rPr>
        <w:t>Regeringen föreslår att riksdagen godkänner de</w:t>
      </w:r>
      <w:r w:rsidR="005B6AE7">
        <w:rPr>
          <w:sz w:val="22"/>
          <w:szCs w:val="22"/>
        </w:rPr>
        <w:t>n multilaterala konvention</w:t>
      </w:r>
      <w:r w:rsidR="008C6687">
        <w:rPr>
          <w:sz w:val="22"/>
          <w:szCs w:val="22"/>
        </w:rPr>
        <w:t xml:space="preserve"> som ingicks 2016 och</w:t>
      </w:r>
      <w:r w:rsidR="005B6AE7">
        <w:rPr>
          <w:sz w:val="22"/>
          <w:szCs w:val="22"/>
        </w:rPr>
        <w:t xml:space="preserve"> genom vilken genomförs skatteavtalsrelaterade å</w:t>
      </w:r>
      <w:r w:rsidR="005B6AE7">
        <w:rPr>
          <w:sz w:val="22"/>
          <w:szCs w:val="22"/>
        </w:rPr>
        <w:t>t</w:t>
      </w:r>
      <w:r w:rsidR="005B6AE7">
        <w:rPr>
          <w:sz w:val="22"/>
          <w:szCs w:val="22"/>
        </w:rPr>
        <w:t>gärder för att motverka skattebaserosion och flyttning av vinster</w:t>
      </w:r>
      <w:r w:rsidR="008C6687">
        <w:rPr>
          <w:sz w:val="22"/>
          <w:szCs w:val="22"/>
        </w:rPr>
        <w:t>. Vidare f</w:t>
      </w:r>
      <w:r w:rsidR="008C6687">
        <w:rPr>
          <w:sz w:val="22"/>
          <w:szCs w:val="22"/>
        </w:rPr>
        <w:t>ö</w:t>
      </w:r>
      <w:r w:rsidR="008C6687">
        <w:rPr>
          <w:sz w:val="22"/>
          <w:szCs w:val="22"/>
        </w:rPr>
        <w:t>reslår regeringen att riksdagen</w:t>
      </w:r>
      <w:r w:rsidR="005B6AE7">
        <w:rPr>
          <w:sz w:val="22"/>
          <w:szCs w:val="22"/>
        </w:rPr>
        <w:t xml:space="preserve"> ger sitt samtycke till att vissa reservationer</w:t>
      </w:r>
      <w:r w:rsidR="00A62114">
        <w:rPr>
          <w:sz w:val="22"/>
          <w:szCs w:val="22"/>
        </w:rPr>
        <w:t xml:space="preserve"> görs och notifikationer lämnas på basis av konventionen. </w:t>
      </w:r>
      <w:r w:rsidR="0086159D">
        <w:rPr>
          <w:sz w:val="22"/>
          <w:szCs w:val="22"/>
        </w:rPr>
        <w:t>Konventionen har tagits fram som</w:t>
      </w:r>
      <w:r w:rsidR="0097543A">
        <w:rPr>
          <w:sz w:val="22"/>
          <w:szCs w:val="22"/>
        </w:rPr>
        <w:t xml:space="preserve"> en del av det projekt som OECD och G20-länderna startat för att motverka skattebaserosion och f</w:t>
      </w:r>
      <w:r w:rsidR="00360415">
        <w:rPr>
          <w:sz w:val="22"/>
          <w:szCs w:val="22"/>
        </w:rPr>
        <w:t>örf</w:t>
      </w:r>
      <w:r w:rsidR="0097543A">
        <w:rPr>
          <w:sz w:val="22"/>
          <w:szCs w:val="22"/>
        </w:rPr>
        <w:t xml:space="preserve">lyttning av vinster. </w:t>
      </w:r>
      <w:r w:rsidR="00360415">
        <w:rPr>
          <w:sz w:val="22"/>
          <w:szCs w:val="22"/>
        </w:rPr>
        <w:t xml:space="preserve">Projektet som kallas BEPS-projektet (Project </w:t>
      </w:r>
      <w:proofErr w:type="spellStart"/>
      <w:r w:rsidR="00360415">
        <w:rPr>
          <w:sz w:val="22"/>
          <w:szCs w:val="22"/>
        </w:rPr>
        <w:t>to</w:t>
      </w:r>
      <w:proofErr w:type="spellEnd"/>
      <w:r w:rsidR="00360415">
        <w:rPr>
          <w:sz w:val="22"/>
          <w:szCs w:val="22"/>
        </w:rPr>
        <w:t xml:space="preserve"> </w:t>
      </w:r>
      <w:proofErr w:type="spellStart"/>
      <w:r w:rsidR="00360415">
        <w:rPr>
          <w:sz w:val="22"/>
          <w:szCs w:val="22"/>
        </w:rPr>
        <w:t>Tackle</w:t>
      </w:r>
      <w:proofErr w:type="spellEnd"/>
      <w:r w:rsidR="00360415">
        <w:rPr>
          <w:sz w:val="22"/>
          <w:szCs w:val="22"/>
        </w:rPr>
        <w:t xml:space="preserve"> </w:t>
      </w:r>
      <w:proofErr w:type="spellStart"/>
      <w:r w:rsidR="00360415">
        <w:rPr>
          <w:sz w:val="22"/>
          <w:szCs w:val="22"/>
        </w:rPr>
        <w:t>Base</w:t>
      </w:r>
      <w:proofErr w:type="spellEnd"/>
      <w:r w:rsidR="00360415">
        <w:rPr>
          <w:sz w:val="22"/>
          <w:szCs w:val="22"/>
        </w:rPr>
        <w:t xml:space="preserve"> Erosion and Profit </w:t>
      </w:r>
      <w:proofErr w:type="spellStart"/>
      <w:r w:rsidR="00360415">
        <w:rPr>
          <w:sz w:val="22"/>
          <w:szCs w:val="22"/>
        </w:rPr>
        <w:t>Shifting</w:t>
      </w:r>
      <w:proofErr w:type="spellEnd"/>
      <w:r w:rsidR="00360415">
        <w:rPr>
          <w:sz w:val="22"/>
          <w:szCs w:val="22"/>
        </w:rPr>
        <w:t>) inleddes 2013 och har resulterat i ett åtgärdspaket av 15 rapporter om de å</w:t>
      </w:r>
      <w:r w:rsidR="00360415">
        <w:rPr>
          <w:sz w:val="22"/>
          <w:szCs w:val="22"/>
        </w:rPr>
        <w:t>t</w:t>
      </w:r>
      <w:r w:rsidR="00360415">
        <w:rPr>
          <w:sz w:val="22"/>
          <w:szCs w:val="22"/>
        </w:rPr>
        <w:t>gärder genom vilka man strävar till att motverka skattebaserosion och flyt</w:t>
      </w:r>
      <w:r w:rsidR="00360415">
        <w:rPr>
          <w:sz w:val="22"/>
          <w:szCs w:val="22"/>
        </w:rPr>
        <w:t>t</w:t>
      </w:r>
      <w:r w:rsidR="00360415">
        <w:rPr>
          <w:sz w:val="22"/>
          <w:szCs w:val="22"/>
        </w:rPr>
        <w:t xml:space="preserve">ning av vinster. Utöver fyra minimikrav, varav två är skatteavtalsrelaterade, ingår rekommendationer och bästa praxis i rapporterna. </w:t>
      </w:r>
      <w:r w:rsidR="00870F3D">
        <w:rPr>
          <w:sz w:val="22"/>
          <w:szCs w:val="22"/>
        </w:rPr>
        <w:t xml:space="preserve">Minimikraven är inte rättsligt bindande, men det förutsätts att de stater som deltagit i arbetet följer dem. </w:t>
      </w:r>
      <w:r w:rsidR="00360415">
        <w:rPr>
          <w:sz w:val="22"/>
          <w:szCs w:val="22"/>
        </w:rPr>
        <w:t>Eftersom det globalt finns mer än 3000 mellanstatliga skattea</w:t>
      </w:r>
      <w:r w:rsidR="00360415">
        <w:rPr>
          <w:sz w:val="22"/>
          <w:szCs w:val="22"/>
        </w:rPr>
        <w:t>v</w:t>
      </w:r>
      <w:r w:rsidR="00360415">
        <w:rPr>
          <w:sz w:val="22"/>
          <w:szCs w:val="22"/>
        </w:rPr>
        <w:t>tal, förhandlades en multilateral konvention fram för att på ett praktiskt sä</w:t>
      </w:r>
      <w:r w:rsidR="00403084">
        <w:rPr>
          <w:sz w:val="22"/>
          <w:szCs w:val="22"/>
        </w:rPr>
        <w:t>tt göra de skatteavtalsrelaterade delarna tillämpliga.</w:t>
      </w:r>
      <w:r w:rsidR="00360415">
        <w:rPr>
          <w:sz w:val="22"/>
          <w:szCs w:val="22"/>
        </w:rPr>
        <w:t xml:space="preserve"> </w:t>
      </w:r>
      <w:r w:rsidR="00870F3D">
        <w:rPr>
          <w:sz w:val="22"/>
          <w:szCs w:val="22"/>
        </w:rPr>
        <w:t xml:space="preserve">Lite mer än 100 stater deltog i arbetet, varav Finland var en stat. </w:t>
      </w:r>
      <w:r w:rsidR="0097543A">
        <w:rPr>
          <w:sz w:val="22"/>
          <w:szCs w:val="22"/>
        </w:rPr>
        <w:t xml:space="preserve">Konventionen gör det möjligt att anpassa bilaterala skatteavtal utan att separat ändra varje enskilt bilateralt avtal. Konventionen ändrar inte de bilaterala </w:t>
      </w:r>
      <w:r w:rsidR="008C6687">
        <w:rPr>
          <w:sz w:val="22"/>
          <w:szCs w:val="22"/>
        </w:rPr>
        <w:t xml:space="preserve">avtalet </w:t>
      </w:r>
      <w:r w:rsidR="0097543A">
        <w:rPr>
          <w:sz w:val="22"/>
          <w:szCs w:val="22"/>
        </w:rPr>
        <w:t>direkt som ett än</w:t>
      </w:r>
      <w:r w:rsidR="0097543A">
        <w:rPr>
          <w:sz w:val="22"/>
          <w:szCs w:val="22"/>
        </w:rPr>
        <w:t>d</w:t>
      </w:r>
      <w:r w:rsidR="0097543A">
        <w:rPr>
          <w:sz w:val="22"/>
          <w:szCs w:val="22"/>
        </w:rPr>
        <w:t>ringsprotokoll utan ska tillämpas parallellt med de egentliga skatteavtalen.</w:t>
      </w:r>
      <w:r w:rsidR="00ED54BE">
        <w:rPr>
          <w:sz w:val="22"/>
          <w:szCs w:val="22"/>
        </w:rPr>
        <w:t xml:space="preserve"> För att avgöra hur den parallella tillämpningen ska göras för varje enskilt bilateralt skatteavtal finns samordnings- och notifikationsklausuler till hjälp som specificerar vilka bestämmelser som ska tillämpas</w:t>
      </w:r>
      <w:r w:rsidR="008C6687">
        <w:rPr>
          <w:sz w:val="22"/>
          <w:szCs w:val="22"/>
        </w:rPr>
        <w:t xml:space="preserve"> per part</w:t>
      </w:r>
      <w:r w:rsidR="00ED54BE">
        <w:rPr>
          <w:sz w:val="22"/>
          <w:szCs w:val="22"/>
        </w:rPr>
        <w:t>. Konven</w:t>
      </w:r>
      <w:r w:rsidR="00ED54BE">
        <w:rPr>
          <w:sz w:val="22"/>
          <w:szCs w:val="22"/>
        </w:rPr>
        <w:t>t</w:t>
      </w:r>
      <w:r w:rsidR="00ED54BE">
        <w:rPr>
          <w:sz w:val="22"/>
          <w:szCs w:val="22"/>
        </w:rPr>
        <w:t>ionen</w:t>
      </w:r>
      <w:r w:rsidR="0097543A">
        <w:rPr>
          <w:sz w:val="22"/>
          <w:szCs w:val="22"/>
        </w:rPr>
        <w:t xml:space="preserve"> kan betraktas som en meny av bestämmelser eftersom den ger parte</w:t>
      </w:r>
      <w:r w:rsidR="0097543A">
        <w:rPr>
          <w:sz w:val="22"/>
          <w:szCs w:val="22"/>
        </w:rPr>
        <w:t>r</w:t>
      </w:r>
      <w:r w:rsidR="00ED54BE">
        <w:rPr>
          <w:sz w:val="22"/>
          <w:szCs w:val="22"/>
        </w:rPr>
        <w:t xml:space="preserve">na </w:t>
      </w:r>
      <w:r w:rsidR="008C6687">
        <w:rPr>
          <w:sz w:val="22"/>
          <w:szCs w:val="22"/>
        </w:rPr>
        <w:t>flera alternativ</w:t>
      </w:r>
      <w:r w:rsidR="00ED54BE">
        <w:rPr>
          <w:sz w:val="22"/>
          <w:szCs w:val="22"/>
        </w:rPr>
        <w:t xml:space="preserve"> ifråga om vilka bestämmelser parten väljer att tillämpa.</w:t>
      </w:r>
      <w:r w:rsidR="00BD1C55">
        <w:rPr>
          <w:sz w:val="22"/>
          <w:szCs w:val="22"/>
        </w:rPr>
        <w:t xml:space="preserve"> </w:t>
      </w:r>
      <w:r w:rsidR="00BD1C55">
        <w:rPr>
          <w:sz w:val="22"/>
          <w:szCs w:val="22"/>
        </w:rPr>
        <w:lastRenderedPageBreak/>
        <w:t>Vissa delar av konventionen ska tillämpas och vissa delar är valbara. Till den del parten har en valfrihet</w:t>
      </w:r>
      <w:r w:rsidR="00ED54BE">
        <w:rPr>
          <w:sz w:val="22"/>
          <w:szCs w:val="22"/>
        </w:rPr>
        <w:t xml:space="preserve"> ingår bestämmelser som en part kan välja att inte tillämpa genom att göra en reservation. Vidare ingår en del som gäller skiljeförfarande som parten måste särskilt välja för att bli tillämplig.</w:t>
      </w:r>
    </w:p>
    <w:p w:rsidR="00ED54BE" w:rsidRDefault="00ED54BE" w:rsidP="00066D2D">
      <w:pPr>
        <w:pStyle w:val="Brdtext"/>
        <w:rPr>
          <w:sz w:val="22"/>
          <w:szCs w:val="22"/>
        </w:rPr>
      </w:pPr>
    </w:p>
    <w:p w:rsidR="00ED54BE" w:rsidRDefault="00ED54BE" w:rsidP="00066D2D">
      <w:pPr>
        <w:pStyle w:val="Brdtext"/>
        <w:rPr>
          <w:sz w:val="22"/>
          <w:szCs w:val="22"/>
        </w:rPr>
      </w:pPr>
      <w:r>
        <w:rPr>
          <w:sz w:val="22"/>
          <w:szCs w:val="22"/>
        </w:rPr>
        <w:t>I propositionen föreslås att för det finska skatteavtalsnätverket inkluderas ett stycke i ingressen som berör syftet med ett skatteavtal, en allmän b</w:t>
      </w:r>
      <w:r>
        <w:rPr>
          <w:sz w:val="22"/>
          <w:szCs w:val="22"/>
        </w:rPr>
        <w:t>e</w:t>
      </w:r>
      <w:r>
        <w:rPr>
          <w:sz w:val="22"/>
          <w:szCs w:val="22"/>
        </w:rPr>
        <w:t xml:space="preserve">stämmelse om förhindrande av avtalsmissbruk, förnyade bestämmelser om förfarandet vid ömsesidig </w:t>
      </w:r>
      <w:r w:rsidR="008C6687">
        <w:rPr>
          <w:sz w:val="22"/>
          <w:szCs w:val="22"/>
        </w:rPr>
        <w:t>överenskommelse och en bestämmelse om mo</w:t>
      </w:r>
      <w:r w:rsidR="008C6687">
        <w:rPr>
          <w:sz w:val="22"/>
          <w:szCs w:val="22"/>
        </w:rPr>
        <w:t>t</w:t>
      </w:r>
      <w:r w:rsidR="008C6687">
        <w:rPr>
          <w:sz w:val="22"/>
          <w:szCs w:val="22"/>
        </w:rPr>
        <w:t>svarande justering ifråga om internprissättning. Det föreslås även att Fi</w:t>
      </w:r>
      <w:r w:rsidR="008C6687">
        <w:rPr>
          <w:sz w:val="22"/>
          <w:szCs w:val="22"/>
        </w:rPr>
        <w:t>n</w:t>
      </w:r>
      <w:r w:rsidR="008C6687">
        <w:rPr>
          <w:sz w:val="22"/>
          <w:szCs w:val="22"/>
        </w:rPr>
        <w:t>land ska tillämpa den del i konventionen som berör skiljeförfarande</w:t>
      </w:r>
      <w:r w:rsidR="00870F3D">
        <w:rPr>
          <w:sz w:val="22"/>
          <w:szCs w:val="22"/>
        </w:rPr>
        <w:t>.</w:t>
      </w:r>
      <w:r w:rsidR="008C6687">
        <w:rPr>
          <w:sz w:val="22"/>
          <w:szCs w:val="22"/>
        </w:rPr>
        <w:t xml:space="preserve"> För övriga bestämmelser föreslås att Finland lämnar reservationer om att inte tillämpa konventionens bestämmelser.</w:t>
      </w:r>
    </w:p>
    <w:p w:rsidR="00ED54BE" w:rsidRDefault="00ED54BE" w:rsidP="00066D2D">
      <w:pPr>
        <w:pStyle w:val="Brdtext"/>
        <w:rPr>
          <w:sz w:val="22"/>
          <w:szCs w:val="22"/>
        </w:rPr>
      </w:pPr>
    </w:p>
    <w:p w:rsidR="00DA3B20" w:rsidRDefault="00ED54BE" w:rsidP="00066D2D">
      <w:pPr>
        <w:pStyle w:val="Brdtext"/>
        <w:rPr>
          <w:sz w:val="22"/>
          <w:szCs w:val="22"/>
        </w:rPr>
      </w:pPr>
      <w:r>
        <w:rPr>
          <w:sz w:val="22"/>
          <w:szCs w:val="22"/>
        </w:rPr>
        <w:t>Konventionen trädde i kraft internationellt den 1 juli 2018, och för Finlands del träder den i kraft den första dagen i den månad som följer efter u</w:t>
      </w:r>
      <w:r>
        <w:rPr>
          <w:sz w:val="22"/>
          <w:szCs w:val="22"/>
        </w:rPr>
        <w:t>t</w:t>
      </w:r>
      <w:r>
        <w:rPr>
          <w:sz w:val="22"/>
          <w:szCs w:val="22"/>
        </w:rPr>
        <w:t>gången av den period om tre kalendermånader som börjar den dag då Fi</w:t>
      </w:r>
      <w:r>
        <w:rPr>
          <w:sz w:val="22"/>
          <w:szCs w:val="22"/>
        </w:rPr>
        <w:t>n</w:t>
      </w:r>
      <w:r>
        <w:rPr>
          <w:sz w:val="22"/>
          <w:szCs w:val="22"/>
        </w:rPr>
        <w:t>land deponerar sitt godkännandeinstrument.</w:t>
      </w:r>
      <w:r w:rsidR="0077263C">
        <w:rPr>
          <w:sz w:val="22"/>
          <w:szCs w:val="22"/>
        </w:rPr>
        <w:t xml:space="preserve">                                                                                                                                                                                                                                                                                                                                                                                                                                                                                                                                                                                                                                                                                                                                                                                                                                                                                                                                                                                                                                                                                                                                                                                                                                                                                                                                                                                                                                                                                                                                                                                                                                                                                                                                                                                                                                                                                                                                                                                                                                                                                                                                                                                                                                                                                                                                                                                                                                                                                                                                                                                                                                                                                                                                                                                                                                                                                                                                                                                                                                                                                                                                                                                                                                                                                                                                                                                                                                                                                                                                                                                                                                                                                                                                                                                                                                                                                                                                                                                                                                                                                                                                                                                                                                                                                                                                                                                                                                                                                                                                                                                                                                </w:t>
      </w:r>
      <w:r w:rsidR="00176B89">
        <w:rPr>
          <w:sz w:val="22"/>
          <w:szCs w:val="22"/>
        </w:rPr>
        <w:t xml:space="preserve"> </w:t>
      </w:r>
    </w:p>
    <w:p w:rsidR="00806099" w:rsidRDefault="00806099" w:rsidP="00066D2D">
      <w:pPr>
        <w:pStyle w:val="Brdtext"/>
        <w:rPr>
          <w:sz w:val="22"/>
          <w:szCs w:val="22"/>
        </w:rPr>
      </w:pPr>
    </w:p>
    <w:p w:rsidR="002542CD" w:rsidRDefault="004100B4" w:rsidP="00C669F9">
      <w:pPr>
        <w:pStyle w:val="Brdtext"/>
        <w:rPr>
          <w:b/>
          <w:sz w:val="22"/>
          <w:szCs w:val="22"/>
        </w:rPr>
      </w:pPr>
      <w:r>
        <w:rPr>
          <w:b/>
          <w:sz w:val="22"/>
          <w:szCs w:val="22"/>
        </w:rPr>
        <w:t>Avtalets och protokollets</w:t>
      </w:r>
      <w:r w:rsidR="002542CD">
        <w:rPr>
          <w:b/>
          <w:sz w:val="22"/>
          <w:szCs w:val="22"/>
        </w:rPr>
        <w:t xml:space="preserve"> </w:t>
      </w:r>
      <w:r>
        <w:rPr>
          <w:b/>
          <w:sz w:val="22"/>
          <w:szCs w:val="22"/>
        </w:rPr>
        <w:t>konsekvenser för</w:t>
      </w:r>
      <w:r w:rsidR="002542CD">
        <w:rPr>
          <w:b/>
          <w:sz w:val="22"/>
          <w:szCs w:val="22"/>
        </w:rPr>
        <w:t xml:space="preserve"> Finland och Åland</w:t>
      </w:r>
    </w:p>
    <w:p w:rsidR="002542CD" w:rsidRDefault="002542CD" w:rsidP="00C669F9">
      <w:pPr>
        <w:pStyle w:val="Brdtext"/>
        <w:rPr>
          <w:b/>
          <w:sz w:val="22"/>
          <w:szCs w:val="22"/>
        </w:rPr>
      </w:pPr>
    </w:p>
    <w:p w:rsidR="00785097" w:rsidRPr="008329DE" w:rsidRDefault="00785097" w:rsidP="00785097">
      <w:pPr>
        <w:pStyle w:val="Hger"/>
        <w:spacing w:line="288" w:lineRule="auto"/>
        <w:ind w:left="0"/>
        <w:jc w:val="both"/>
        <w:rPr>
          <w:sz w:val="22"/>
          <w:szCs w:val="22"/>
        </w:rPr>
      </w:pPr>
      <w:r>
        <w:rPr>
          <w:sz w:val="22"/>
          <w:szCs w:val="22"/>
        </w:rPr>
        <w:t>Det multilaterala s</w:t>
      </w:r>
      <w:r w:rsidRPr="008329DE">
        <w:rPr>
          <w:sz w:val="22"/>
          <w:szCs w:val="22"/>
        </w:rPr>
        <w:t xml:space="preserve">katteavtalet innehåller bestämmelser som </w:t>
      </w:r>
      <w:r w:rsidR="00582433">
        <w:rPr>
          <w:sz w:val="22"/>
          <w:szCs w:val="22"/>
        </w:rPr>
        <w:t xml:space="preserve">kan </w:t>
      </w:r>
      <w:r w:rsidRPr="008329DE">
        <w:rPr>
          <w:sz w:val="22"/>
          <w:szCs w:val="22"/>
        </w:rPr>
        <w:t>påverka beskattningsrätt</w:t>
      </w:r>
      <w:r w:rsidR="00827952">
        <w:rPr>
          <w:sz w:val="22"/>
          <w:szCs w:val="22"/>
        </w:rPr>
        <w:t>en</w:t>
      </w:r>
      <w:r w:rsidRPr="008329DE">
        <w:rPr>
          <w:sz w:val="22"/>
          <w:szCs w:val="22"/>
        </w:rPr>
        <w:t xml:space="preserve"> inom kommunalbeskattningen, och avtalet innehåller därför bestämmelser som faller inom landskapets behörighet</w:t>
      </w:r>
      <w:r>
        <w:rPr>
          <w:sz w:val="22"/>
          <w:szCs w:val="22"/>
        </w:rPr>
        <w:t xml:space="preserve"> genom 18 § 5 punkten i självstyrelselagen</w:t>
      </w:r>
      <w:r w:rsidRPr="008329DE">
        <w:rPr>
          <w:sz w:val="22"/>
          <w:szCs w:val="22"/>
        </w:rPr>
        <w:t xml:space="preserve">. </w:t>
      </w:r>
      <w:r w:rsidR="00582433">
        <w:rPr>
          <w:sz w:val="22"/>
          <w:szCs w:val="22"/>
        </w:rPr>
        <w:t>Skatteavtal som lagtinget tidigare har lämnat sitt bifall till för att de skulle sättas i kraft i landskapet</w:t>
      </w:r>
      <w:r w:rsidR="00827952">
        <w:rPr>
          <w:sz w:val="22"/>
          <w:szCs w:val="22"/>
        </w:rPr>
        <w:t>,</w:t>
      </w:r>
      <w:r w:rsidR="00582433">
        <w:rPr>
          <w:sz w:val="22"/>
          <w:szCs w:val="22"/>
        </w:rPr>
        <w:t xml:space="preserve"> anpassas genom a</w:t>
      </w:r>
      <w:r w:rsidR="00582433">
        <w:rPr>
          <w:sz w:val="22"/>
          <w:szCs w:val="22"/>
        </w:rPr>
        <w:t>v</w:t>
      </w:r>
      <w:r w:rsidR="00582433">
        <w:rPr>
          <w:sz w:val="22"/>
          <w:szCs w:val="22"/>
        </w:rPr>
        <w:t>talet.</w:t>
      </w:r>
    </w:p>
    <w:p w:rsidR="00785097" w:rsidRDefault="00785097" w:rsidP="00785097">
      <w:pPr>
        <w:pStyle w:val="Brdtext"/>
        <w:rPr>
          <w:sz w:val="22"/>
          <w:szCs w:val="22"/>
        </w:rPr>
      </w:pPr>
    </w:p>
    <w:p w:rsidR="00582433" w:rsidRDefault="00785097" w:rsidP="00785097">
      <w:pPr>
        <w:pStyle w:val="Hger"/>
        <w:spacing w:line="288" w:lineRule="auto"/>
        <w:ind w:left="0"/>
        <w:jc w:val="both"/>
        <w:rPr>
          <w:sz w:val="22"/>
          <w:szCs w:val="22"/>
        </w:rPr>
      </w:pPr>
      <w:r>
        <w:rPr>
          <w:sz w:val="22"/>
          <w:szCs w:val="22"/>
        </w:rPr>
        <w:t>Det nordiska skatteavtalet lämnas utanför den multilaterala konventionens tillämpningsområde, eftersom även det är ett multilateralt avtal. Det no</w:t>
      </w:r>
      <w:r>
        <w:rPr>
          <w:sz w:val="22"/>
          <w:szCs w:val="22"/>
        </w:rPr>
        <w:t>r</w:t>
      </w:r>
      <w:r>
        <w:rPr>
          <w:sz w:val="22"/>
          <w:szCs w:val="22"/>
        </w:rPr>
        <w:t xml:space="preserve">diska avtalet har nyligen ändrats genom ett </w:t>
      </w:r>
      <w:r w:rsidR="00CF0887">
        <w:rPr>
          <w:sz w:val="22"/>
          <w:szCs w:val="22"/>
        </w:rPr>
        <w:t>ändrings</w:t>
      </w:r>
      <w:r>
        <w:rPr>
          <w:sz w:val="22"/>
          <w:szCs w:val="22"/>
        </w:rPr>
        <w:t>protokoll för att up</w:t>
      </w:r>
      <w:r>
        <w:rPr>
          <w:sz w:val="22"/>
          <w:szCs w:val="22"/>
        </w:rPr>
        <w:t>p</w:t>
      </w:r>
      <w:r>
        <w:rPr>
          <w:sz w:val="22"/>
          <w:szCs w:val="22"/>
        </w:rPr>
        <w:t>fylla minimikraven</w:t>
      </w:r>
      <w:r w:rsidR="00CF0887">
        <w:rPr>
          <w:sz w:val="22"/>
          <w:szCs w:val="22"/>
        </w:rPr>
        <w:t xml:space="preserve"> i den nu behandlade multilaterala konventionen</w:t>
      </w:r>
      <w:r>
        <w:rPr>
          <w:sz w:val="22"/>
          <w:szCs w:val="22"/>
        </w:rPr>
        <w:t xml:space="preserve">. </w:t>
      </w:r>
    </w:p>
    <w:p w:rsidR="00582433" w:rsidRDefault="00582433" w:rsidP="00785097">
      <w:pPr>
        <w:pStyle w:val="Hger"/>
        <w:spacing w:line="288" w:lineRule="auto"/>
        <w:ind w:left="0"/>
        <w:jc w:val="both"/>
        <w:rPr>
          <w:sz w:val="22"/>
          <w:szCs w:val="22"/>
        </w:rPr>
      </w:pPr>
    </w:p>
    <w:p w:rsidR="00785097" w:rsidRDefault="00785097" w:rsidP="00785097">
      <w:pPr>
        <w:pStyle w:val="Hger"/>
        <w:spacing w:line="288" w:lineRule="auto"/>
        <w:ind w:left="0"/>
        <w:jc w:val="both"/>
        <w:rPr>
          <w:sz w:val="22"/>
          <w:szCs w:val="22"/>
        </w:rPr>
      </w:pPr>
      <w:r>
        <w:rPr>
          <w:sz w:val="22"/>
          <w:szCs w:val="22"/>
        </w:rPr>
        <w:t xml:space="preserve">Förslaget </w:t>
      </w:r>
      <w:r w:rsidR="00582433">
        <w:rPr>
          <w:sz w:val="22"/>
          <w:szCs w:val="22"/>
        </w:rPr>
        <w:t xml:space="preserve">kan enligt </w:t>
      </w:r>
      <w:r>
        <w:rPr>
          <w:sz w:val="22"/>
          <w:szCs w:val="22"/>
        </w:rPr>
        <w:t>finansministeriet ge upphov till</w:t>
      </w:r>
      <w:r w:rsidR="00582433">
        <w:rPr>
          <w:sz w:val="22"/>
          <w:szCs w:val="22"/>
        </w:rPr>
        <w:t xml:space="preserve"> både ökade och min</w:t>
      </w:r>
      <w:r w:rsidR="00582433">
        <w:rPr>
          <w:sz w:val="22"/>
          <w:szCs w:val="22"/>
        </w:rPr>
        <w:t>s</w:t>
      </w:r>
      <w:r w:rsidR="00582433">
        <w:rPr>
          <w:sz w:val="22"/>
          <w:szCs w:val="22"/>
        </w:rPr>
        <w:t xml:space="preserve">kade skatteintäkter. Det är till stora delar svårt att </w:t>
      </w:r>
      <w:r>
        <w:rPr>
          <w:sz w:val="22"/>
          <w:szCs w:val="22"/>
        </w:rPr>
        <w:t>förutse</w:t>
      </w:r>
      <w:r w:rsidR="00582433">
        <w:rPr>
          <w:sz w:val="22"/>
          <w:szCs w:val="22"/>
        </w:rPr>
        <w:t xml:space="preserve"> vilka situationer som kan uppstå.</w:t>
      </w:r>
      <w:r>
        <w:rPr>
          <w:sz w:val="22"/>
          <w:szCs w:val="22"/>
        </w:rPr>
        <w:t xml:space="preserve"> </w:t>
      </w:r>
      <w:r w:rsidR="00582433">
        <w:rPr>
          <w:sz w:val="22"/>
          <w:szCs w:val="22"/>
        </w:rPr>
        <w:t>För skattskyldiga uppstår genom konventionen effektivare medel för tvistelösning</w:t>
      </w:r>
      <w:r w:rsidR="00827952">
        <w:rPr>
          <w:sz w:val="22"/>
          <w:szCs w:val="22"/>
        </w:rPr>
        <w:t xml:space="preserve"> genom de reviderade bestämmelserna för ömsesidig överenskommelse och skiljeförfarande. Detta kan i sin tur kräva ökade r</w:t>
      </w:r>
      <w:r w:rsidR="00827952">
        <w:rPr>
          <w:sz w:val="22"/>
          <w:szCs w:val="22"/>
        </w:rPr>
        <w:t>e</w:t>
      </w:r>
      <w:r w:rsidR="00827952">
        <w:rPr>
          <w:sz w:val="22"/>
          <w:szCs w:val="22"/>
        </w:rPr>
        <w:t>surser hos Skatteförvaltningen.</w:t>
      </w:r>
      <w:r w:rsidR="00582433">
        <w:rPr>
          <w:sz w:val="22"/>
          <w:szCs w:val="22"/>
        </w:rPr>
        <w:t xml:space="preserve"> </w:t>
      </w:r>
      <w:r w:rsidR="00827952">
        <w:rPr>
          <w:sz w:val="22"/>
          <w:szCs w:val="22"/>
        </w:rPr>
        <w:t>P</w:t>
      </w:r>
      <w:r>
        <w:rPr>
          <w:sz w:val="22"/>
          <w:szCs w:val="22"/>
        </w:rPr>
        <w:t>rotokollets</w:t>
      </w:r>
      <w:r w:rsidRPr="008329DE">
        <w:rPr>
          <w:sz w:val="22"/>
          <w:szCs w:val="22"/>
        </w:rPr>
        <w:t xml:space="preserve"> innehåll</w:t>
      </w:r>
      <w:r>
        <w:rPr>
          <w:sz w:val="22"/>
          <w:szCs w:val="22"/>
        </w:rPr>
        <w:t xml:space="preserve"> bedöms </w:t>
      </w:r>
      <w:r w:rsidRPr="008329DE">
        <w:rPr>
          <w:sz w:val="22"/>
          <w:szCs w:val="22"/>
        </w:rPr>
        <w:t>inte stå i strid med självstyrelselagen eller landskapslagstiftning</w:t>
      </w:r>
      <w:r w:rsidR="00582433">
        <w:rPr>
          <w:sz w:val="22"/>
          <w:szCs w:val="22"/>
        </w:rPr>
        <w:t>.</w:t>
      </w:r>
    </w:p>
    <w:p w:rsidR="004100B4" w:rsidRDefault="004100B4" w:rsidP="00C669F9">
      <w:pPr>
        <w:pStyle w:val="Brdtext"/>
        <w:rPr>
          <w:sz w:val="22"/>
          <w:szCs w:val="22"/>
        </w:rPr>
      </w:pPr>
    </w:p>
    <w:p w:rsidR="002542CD" w:rsidRDefault="002542CD" w:rsidP="00C669F9">
      <w:pPr>
        <w:pStyle w:val="Brdtext"/>
        <w:rPr>
          <w:b/>
          <w:sz w:val="22"/>
          <w:szCs w:val="22"/>
        </w:rPr>
      </w:pPr>
      <w:r>
        <w:rPr>
          <w:b/>
          <w:sz w:val="22"/>
          <w:szCs w:val="22"/>
        </w:rPr>
        <w:t xml:space="preserve">Landskapsregeringens </w:t>
      </w:r>
      <w:r w:rsidR="004100B4">
        <w:rPr>
          <w:b/>
          <w:sz w:val="22"/>
          <w:szCs w:val="22"/>
        </w:rPr>
        <w:t>bedömning</w:t>
      </w:r>
    </w:p>
    <w:p w:rsidR="00134462" w:rsidRPr="00D61064" w:rsidRDefault="004100B4" w:rsidP="00C669F9">
      <w:pPr>
        <w:pStyle w:val="Brdtext"/>
        <w:rPr>
          <w:sz w:val="22"/>
          <w:szCs w:val="22"/>
        </w:rPr>
      </w:pPr>
      <w:r>
        <w:rPr>
          <w:sz w:val="22"/>
          <w:szCs w:val="22"/>
        </w:rPr>
        <w:t xml:space="preserve">Landskapsregeringen </w:t>
      </w:r>
      <w:r w:rsidR="00D61064">
        <w:rPr>
          <w:sz w:val="22"/>
          <w:szCs w:val="22"/>
        </w:rPr>
        <w:t>förordar att lagtinget ger sitt bifall till propositionen om godkännande</w:t>
      </w:r>
      <w:r w:rsidR="00DD789C">
        <w:rPr>
          <w:sz w:val="22"/>
          <w:szCs w:val="22"/>
        </w:rPr>
        <w:t xml:space="preserve"> och sättande i kraft av</w:t>
      </w:r>
      <w:r w:rsidR="00A62114">
        <w:rPr>
          <w:sz w:val="22"/>
          <w:szCs w:val="22"/>
        </w:rPr>
        <w:t xml:space="preserve"> den multilaterala konventionen för att genomföra skatteavtalsrelaterade åtgärder för att motverka skatteba</w:t>
      </w:r>
      <w:r w:rsidR="00A62114">
        <w:rPr>
          <w:sz w:val="22"/>
          <w:szCs w:val="22"/>
        </w:rPr>
        <w:t>s</w:t>
      </w:r>
      <w:r w:rsidR="00A62114">
        <w:rPr>
          <w:sz w:val="22"/>
          <w:szCs w:val="22"/>
        </w:rPr>
        <w:t>erosion och flyttning av vinster.</w:t>
      </w:r>
    </w:p>
    <w:p w:rsidR="009D4246" w:rsidRDefault="009D4246" w:rsidP="00C669F9">
      <w:pPr>
        <w:pStyle w:val="Brdtext"/>
        <w:rPr>
          <w:b/>
          <w:sz w:val="22"/>
          <w:szCs w:val="22"/>
        </w:rPr>
      </w:pPr>
    </w:p>
    <w:p w:rsidR="00134462" w:rsidRPr="00404226" w:rsidRDefault="00134462" w:rsidP="00C669F9">
      <w:pPr>
        <w:pStyle w:val="Brdtext"/>
        <w:rPr>
          <w:sz w:val="22"/>
          <w:szCs w:val="22"/>
        </w:rPr>
      </w:pPr>
    </w:p>
    <w:p w:rsidR="008B496A" w:rsidRPr="008C148A" w:rsidRDefault="008B496A">
      <w:pPr>
        <w:pStyle w:val="ANormal"/>
        <w:rPr>
          <w:sz w:val="20"/>
        </w:rPr>
      </w:pPr>
    </w:p>
    <w:p w:rsidR="008B496A" w:rsidRPr="008C148A" w:rsidRDefault="008B496A">
      <w:pPr>
        <w:pStyle w:val="ANormal"/>
        <w:rPr>
          <w:sz w:val="20"/>
        </w:rPr>
      </w:pPr>
    </w:p>
    <w:tbl>
      <w:tblPr>
        <w:tblW w:w="7931" w:type="dxa"/>
        <w:tblInd w:w="8" w:type="dxa"/>
        <w:tblCellMar>
          <w:left w:w="0" w:type="dxa"/>
          <w:right w:w="0" w:type="dxa"/>
        </w:tblCellMar>
        <w:tblLook w:val="0000" w:firstRow="0" w:lastRow="0" w:firstColumn="0" w:lastColumn="0" w:noHBand="0" w:noVBand="0"/>
      </w:tblPr>
      <w:tblGrid>
        <w:gridCol w:w="4454"/>
        <w:gridCol w:w="3477"/>
      </w:tblGrid>
      <w:tr w:rsidR="008B496A">
        <w:trPr>
          <w:cantSplit/>
        </w:trPr>
        <w:tc>
          <w:tcPr>
            <w:tcW w:w="7931" w:type="dxa"/>
            <w:gridSpan w:val="2"/>
          </w:tcPr>
          <w:p w:rsidR="008B496A" w:rsidRDefault="008B496A" w:rsidP="002542CD">
            <w:pPr>
              <w:pStyle w:val="ANormal"/>
              <w:keepNext/>
            </w:pPr>
            <w:r>
              <w:t xml:space="preserve">Mariehamn den </w:t>
            </w:r>
            <w:r w:rsidR="00827952">
              <w:t>6</w:t>
            </w:r>
            <w:r w:rsidR="00A62114">
              <w:t xml:space="preserve"> </w:t>
            </w:r>
            <w:r w:rsidR="000B6058">
              <w:t>mars</w:t>
            </w:r>
            <w:r>
              <w:t xml:space="preserve"> 201</w:t>
            </w:r>
            <w:r w:rsidR="00A62114">
              <w:t>9</w:t>
            </w:r>
          </w:p>
        </w:tc>
      </w:tr>
      <w:tr w:rsidR="008B496A">
        <w:tc>
          <w:tcPr>
            <w:tcW w:w="4454" w:type="dxa"/>
            <w:vAlign w:val="bottom"/>
          </w:tcPr>
          <w:p w:rsidR="008B496A" w:rsidRDefault="008B496A">
            <w:pPr>
              <w:pStyle w:val="ANormal"/>
              <w:keepNext/>
            </w:pPr>
          </w:p>
          <w:p w:rsidR="008B496A" w:rsidRDefault="008B496A">
            <w:pPr>
              <w:pStyle w:val="ANormal"/>
              <w:keepNext/>
            </w:pPr>
          </w:p>
          <w:p w:rsidR="00D561FD" w:rsidRDefault="00D561FD" w:rsidP="002542CD">
            <w:pPr>
              <w:pStyle w:val="ANormal"/>
              <w:keepNext/>
            </w:pPr>
          </w:p>
          <w:p w:rsidR="00D561FD" w:rsidRDefault="00D561FD" w:rsidP="002542CD">
            <w:pPr>
              <w:pStyle w:val="ANormal"/>
              <w:keepNext/>
            </w:pPr>
          </w:p>
          <w:p w:rsidR="008B496A" w:rsidRDefault="008B496A" w:rsidP="002542CD">
            <w:pPr>
              <w:pStyle w:val="ANormal"/>
              <w:keepNext/>
            </w:pPr>
            <w:r>
              <w:t>L a n t r å d</w:t>
            </w:r>
            <w:r w:rsidR="00807F6D">
              <w:t xml:space="preserve">                                 Katrin Sjögren</w:t>
            </w:r>
          </w:p>
        </w:tc>
        <w:tc>
          <w:tcPr>
            <w:tcW w:w="3477" w:type="dxa"/>
            <w:vAlign w:val="bottom"/>
          </w:tcPr>
          <w:p w:rsidR="008B496A" w:rsidRDefault="008B496A">
            <w:pPr>
              <w:pStyle w:val="ANormal"/>
              <w:keepNext/>
            </w:pPr>
          </w:p>
          <w:p w:rsidR="008B496A" w:rsidRDefault="008B496A">
            <w:pPr>
              <w:pStyle w:val="ANormal"/>
              <w:keepNext/>
            </w:pPr>
          </w:p>
        </w:tc>
      </w:tr>
      <w:tr w:rsidR="008B496A">
        <w:tc>
          <w:tcPr>
            <w:tcW w:w="4454" w:type="dxa"/>
            <w:vAlign w:val="bottom"/>
          </w:tcPr>
          <w:p w:rsidR="008B496A" w:rsidRDefault="008B496A">
            <w:pPr>
              <w:pStyle w:val="ANormal"/>
              <w:keepNext/>
            </w:pPr>
          </w:p>
          <w:p w:rsidR="008B496A" w:rsidRDefault="008B496A">
            <w:pPr>
              <w:pStyle w:val="ANormal"/>
              <w:keepNext/>
            </w:pPr>
          </w:p>
          <w:p w:rsidR="00807F6D" w:rsidRDefault="00807F6D">
            <w:pPr>
              <w:pStyle w:val="ANormal"/>
              <w:keepNext/>
            </w:pPr>
          </w:p>
          <w:p w:rsidR="00807F6D" w:rsidRDefault="00807F6D">
            <w:pPr>
              <w:pStyle w:val="ANormal"/>
              <w:keepNext/>
            </w:pPr>
          </w:p>
          <w:p w:rsidR="008B496A" w:rsidRDefault="00AE67F9" w:rsidP="002542CD">
            <w:pPr>
              <w:pStyle w:val="ANormal"/>
              <w:keepNext/>
            </w:pPr>
            <w:r>
              <w:t>Minister</w:t>
            </w:r>
            <w:r w:rsidR="00807F6D">
              <w:t xml:space="preserve">                                      Mats Perämaa</w:t>
            </w:r>
          </w:p>
        </w:tc>
        <w:tc>
          <w:tcPr>
            <w:tcW w:w="3477" w:type="dxa"/>
            <w:vAlign w:val="bottom"/>
          </w:tcPr>
          <w:p w:rsidR="008B496A" w:rsidRDefault="008B496A">
            <w:pPr>
              <w:pStyle w:val="ANormal"/>
              <w:keepNext/>
            </w:pPr>
          </w:p>
          <w:p w:rsidR="008B496A" w:rsidRDefault="008B496A">
            <w:pPr>
              <w:pStyle w:val="ANormal"/>
              <w:keepNext/>
            </w:pPr>
          </w:p>
          <w:p w:rsidR="008B496A" w:rsidRDefault="008B496A">
            <w:pPr>
              <w:pStyle w:val="ANormal"/>
              <w:keepNext/>
            </w:pPr>
          </w:p>
        </w:tc>
      </w:tr>
    </w:tbl>
    <w:p w:rsidR="008B496A" w:rsidRDefault="008B496A">
      <w:pPr>
        <w:pStyle w:val="ANormal"/>
      </w:pPr>
    </w:p>
    <w:sectPr w:rsidR="008B496A">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38" w:rsidRDefault="00CD6D38">
      <w:r>
        <w:separator/>
      </w:r>
    </w:p>
  </w:endnote>
  <w:endnote w:type="continuationSeparator" w:id="0">
    <w:p w:rsidR="00CD6D38" w:rsidRDefault="00CD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38" w:rsidRDefault="00CD6D38">
      <w:r>
        <w:separator/>
      </w:r>
    </w:p>
  </w:footnote>
  <w:footnote w:type="continuationSeparator" w:id="0">
    <w:p w:rsidR="00CD6D38" w:rsidRDefault="00CD6D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65ADF">
      <w:rPr>
        <w:rStyle w:val="Sidnummer"/>
        <w:noProof/>
      </w:rPr>
      <w:t>2</w:t>
    </w:r>
    <w:r>
      <w:rPr>
        <w:rStyle w:val="Sidnummer"/>
      </w:rPr>
      <w:fldChar w:fldCharType="end"/>
    </w:r>
  </w:p>
  <w:p w:rsidR="00807F6D" w:rsidRDefault="00807F6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F6D" w:rsidRDefault="00807F6D">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65ADF">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64B57C"/>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4DAD22B0"/>
    <w:multiLevelType w:val="multilevel"/>
    <w:tmpl w:val="B13E31B4"/>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nsid w:val="57E542AD"/>
    <w:multiLevelType w:val="hybridMultilevel"/>
    <w:tmpl w:val="C400EEC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nsid w:val="57F80F6B"/>
    <w:multiLevelType w:val="hybridMultilevel"/>
    <w:tmpl w:val="4CACF01A"/>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nsid w:val="5E5C4CB1"/>
    <w:multiLevelType w:val="hybridMultilevel"/>
    <w:tmpl w:val="BDF8646E"/>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1E"/>
    <w:rsid w:val="000041FD"/>
    <w:rsid w:val="00066D2D"/>
    <w:rsid w:val="000B6058"/>
    <w:rsid w:val="00134462"/>
    <w:rsid w:val="00176B89"/>
    <w:rsid w:val="001847A5"/>
    <w:rsid w:val="00237F5A"/>
    <w:rsid w:val="002542CD"/>
    <w:rsid w:val="00265ADF"/>
    <w:rsid w:val="00270852"/>
    <w:rsid w:val="00286DFA"/>
    <w:rsid w:val="002A46D6"/>
    <w:rsid w:val="002A76A0"/>
    <w:rsid w:val="002E0B6B"/>
    <w:rsid w:val="00347B66"/>
    <w:rsid w:val="00360415"/>
    <w:rsid w:val="003E0A7B"/>
    <w:rsid w:val="003F501D"/>
    <w:rsid w:val="00403084"/>
    <w:rsid w:val="00404226"/>
    <w:rsid w:val="004100B4"/>
    <w:rsid w:val="00416B38"/>
    <w:rsid w:val="004677E0"/>
    <w:rsid w:val="00477A85"/>
    <w:rsid w:val="004C15E6"/>
    <w:rsid w:val="004D4DD9"/>
    <w:rsid w:val="00544445"/>
    <w:rsid w:val="00545A12"/>
    <w:rsid w:val="00580C28"/>
    <w:rsid w:val="00582433"/>
    <w:rsid w:val="005B6AE7"/>
    <w:rsid w:val="005E5F35"/>
    <w:rsid w:val="00654B04"/>
    <w:rsid w:val="00695A4F"/>
    <w:rsid w:val="006B50A4"/>
    <w:rsid w:val="0070149C"/>
    <w:rsid w:val="007344F6"/>
    <w:rsid w:val="0077263C"/>
    <w:rsid w:val="00780630"/>
    <w:rsid w:val="00785097"/>
    <w:rsid w:val="00806099"/>
    <w:rsid w:val="00807F6D"/>
    <w:rsid w:val="00826F01"/>
    <w:rsid w:val="00827952"/>
    <w:rsid w:val="008329DE"/>
    <w:rsid w:val="008405B8"/>
    <w:rsid w:val="0086159D"/>
    <w:rsid w:val="00870F3D"/>
    <w:rsid w:val="008B496A"/>
    <w:rsid w:val="008C148A"/>
    <w:rsid w:val="008C5AF1"/>
    <w:rsid w:val="008C6687"/>
    <w:rsid w:val="008F09B1"/>
    <w:rsid w:val="00921D85"/>
    <w:rsid w:val="00952768"/>
    <w:rsid w:val="0097543A"/>
    <w:rsid w:val="009D2195"/>
    <w:rsid w:val="009D4246"/>
    <w:rsid w:val="009E009E"/>
    <w:rsid w:val="00A43117"/>
    <w:rsid w:val="00A43D44"/>
    <w:rsid w:val="00A62114"/>
    <w:rsid w:val="00A757B5"/>
    <w:rsid w:val="00AC5582"/>
    <w:rsid w:val="00AE67F9"/>
    <w:rsid w:val="00B0241E"/>
    <w:rsid w:val="00B65A37"/>
    <w:rsid w:val="00BD0D5F"/>
    <w:rsid w:val="00BD1C55"/>
    <w:rsid w:val="00BF491B"/>
    <w:rsid w:val="00C47AC6"/>
    <w:rsid w:val="00C669F9"/>
    <w:rsid w:val="00C72C7A"/>
    <w:rsid w:val="00C979E6"/>
    <w:rsid w:val="00CD6D38"/>
    <w:rsid w:val="00CF0887"/>
    <w:rsid w:val="00CF5571"/>
    <w:rsid w:val="00D561FD"/>
    <w:rsid w:val="00D61064"/>
    <w:rsid w:val="00D6321E"/>
    <w:rsid w:val="00D87486"/>
    <w:rsid w:val="00D92542"/>
    <w:rsid w:val="00D93FD6"/>
    <w:rsid w:val="00DA3B20"/>
    <w:rsid w:val="00DD789C"/>
    <w:rsid w:val="00E33B3C"/>
    <w:rsid w:val="00E44BD9"/>
    <w:rsid w:val="00E47111"/>
    <w:rsid w:val="00E54408"/>
    <w:rsid w:val="00E63912"/>
    <w:rsid w:val="00E66E5D"/>
    <w:rsid w:val="00E7021F"/>
    <w:rsid w:val="00EA0517"/>
    <w:rsid w:val="00EA4E92"/>
    <w:rsid w:val="00ED2CBB"/>
    <w:rsid w:val="00ED54BE"/>
    <w:rsid w:val="00ED5A12"/>
    <w:rsid w:val="00F02EF6"/>
    <w:rsid w:val="00F05CDF"/>
    <w:rsid w:val="00F24505"/>
    <w:rsid w:val="00F24695"/>
    <w:rsid w:val="00F5580B"/>
    <w:rsid w:val="00F76D23"/>
    <w:rsid w:val="00F92C80"/>
    <w:rsid w:val="00FB4689"/>
    <w:rsid w:val="00FC57AC"/>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D93FD6"/>
    <w:pPr>
      <w:tabs>
        <w:tab w:val="left" w:pos="2552"/>
        <w:tab w:val="left" w:pos="5670"/>
      </w:tabs>
      <w:ind w:left="2552"/>
    </w:pPr>
    <w:rPr>
      <w:szCs w:val="20"/>
    </w:rPr>
  </w:style>
  <w:style w:type="character" w:customStyle="1" w:styleId="BrdtextChar">
    <w:name w:val="Brödtext Char"/>
    <w:link w:val="Brdtext"/>
    <w:rsid w:val="00785097"/>
    <w:rPr>
      <w:sz w:val="24"/>
      <w:szCs w:val="24"/>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8"/>
      </w:numPr>
      <w:spacing w:before="240" w:after="60"/>
      <w:outlineLvl w:val="3"/>
    </w:pPr>
    <w:rPr>
      <w:b/>
      <w:bCs/>
      <w:sz w:val="28"/>
      <w:szCs w:val="28"/>
    </w:rPr>
  </w:style>
  <w:style w:type="paragraph" w:styleId="Rubrik5">
    <w:name w:val="heading 5"/>
    <w:basedOn w:val="Normal"/>
    <w:next w:val="Normal"/>
    <w:qFormat/>
    <w:pPr>
      <w:numPr>
        <w:ilvl w:val="4"/>
        <w:numId w:val="9"/>
      </w:numPr>
      <w:spacing w:before="240" w:after="60"/>
      <w:outlineLvl w:val="4"/>
    </w:pPr>
    <w:rPr>
      <w:b/>
      <w:bCs/>
      <w:i/>
      <w:iCs/>
      <w:sz w:val="26"/>
      <w:szCs w:val="26"/>
    </w:rPr>
  </w:style>
  <w:style w:type="paragraph" w:styleId="Rubrik6">
    <w:name w:val="heading 6"/>
    <w:basedOn w:val="Normal"/>
    <w:next w:val="Normal"/>
    <w:qFormat/>
    <w:pPr>
      <w:numPr>
        <w:ilvl w:val="5"/>
        <w:numId w:val="10"/>
      </w:numPr>
      <w:spacing w:before="240" w:after="60"/>
      <w:outlineLvl w:val="5"/>
    </w:pPr>
    <w:rPr>
      <w:b/>
      <w:bCs/>
      <w:sz w:val="22"/>
      <w:szCs w:val="22"/>
    </w:rPr>
  </w:style>
  <w:style w:type="paragraph" w:styleId="Rubrik7">
    <w:name w:val="heading 7"/>
    <w:basedOn w:val="Normal"/>
    <w:next w:val="Normal"/>
    <w:qFormat/>
    <w:pPr>
      <w:numPr>
        <w:ilvl w:val="6"/>
        <w:numId w:val="11"/>
      </w:numPr>
      <w:spacing w:before="240" w:after="60"/>
      <w:outlineLvl w:val="6"/>
    </w:pPr>
  </w:style>
  <w:style w:type="paragraph" w:styleId="Rubrik8">
    <w:name w:val="heading 8"/>
    <w:basedOn w:val="Normal"/>
    <w:next w:val="Normal"/>
    <w:qFormat/>
    <w:pPr>
      <w:numPr>
        <w:ilvl w:val="7"/>
        <w:numId w:val="12"/>
      </w:numPr>
      <w:spacing w:before="240" w:after="60"/>
      <w:outlineLvl w:val="7"/>
    </w:pPr>
    <w:rPr>
      <w:i/>
      <w:iCs/>
    </w:rPr>
  </w:style>
  <w:style w:type="paragraph" w:styleId="Rubrik9">
    <w:name w:val="heading 9"/>
    <w:basedOn w:val="Normal"/>
    <w:next w:val="Normal"/>
    <w:qFormat/>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4"/>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pPr>
      <w:tabs>
        <w:tab w:val="left" w:pos="283"/>
        <w:tab w:val="left" w:pos="851"/>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2"/>
      </w:numPr>
      <w:tabs>
        <w:tab w:val="clear" w:pos="360"/>
      </w:tabs>
      <w:ind w:left="284" w:hanging="284"/>
    </w:pPr>
  </w:style>
  <w:style w:type="paragraph" w:styleId="Brdtext">
    <w:name w:val="Body Text"/>
    <w:basedOn w:val="Normal"/>
    <w:link w:val="BrdtextChar"/>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indraget">
    <w:name w:val="ANormal_indraget"/>
    <w:basedOn w:val="ANormal"/>
    <w:next w:val="ANormal"/>
    <w:pPr>
      <w:tabs>
        <w:tab w:val="left" w:pos="1140"/>
      </w:tabs>
      <w:ind w:left="851"/>
    </w:pPr>
  </w:style>
  <w:style w:type="paragraph" w:styleId="Punktlista">
    <w:name w:val="List Bullet"/>
    <w:basedOn w:val="ANormal"/>
    <w:autoRedefine/>
    <w:pPr>
      <w:numPr>
        <w:numId w:val="3"/>
      </w:numPr>
    </w:pPr>
  </w:style>
  <w:style w:type="paragraph" w:customStyle="1" w:styleId="Tabelldecimal">
    <w:name w:val="Tabelldecimal"/>
    <w:basedOn w:val="Tabelltext"/>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Brdtextmedindrag2">
    <w:name w:val="Body Text Indent 2"/>
    <w:basedOn w:val="Normal"/>
    <w:pPr>
      <w:ind w:left="1304"/>
    </w:pPr>
  </w:style>
  <w:style w:type="paragraph" w:customStyle="1" w:styleId="anormal0">
    <w:name w:val="anormal"/>
    <w:basedOn w:val="Normal"/>
    <w:pPr>
      <w:jc w:val="both"/>
    </w:pPr>
    <w:rPr>
      <w:rFonts w:eastAsia="Arial Unicode MS"/>
      <w:sz w:val="22"/>
      <w:szCs w:val="22"/>
    </w:rPr>
  </w:style>
  <w:style w:type="paragraph" w:customStyle="1" w:styleId="anormalindraget0">
    <w:name w:val="anormalindraget"/>
    <w:basedOn w:val="Normal"/>
    <w:pPr>
      <w:ind w:left="851"/>
      <w:jc w:val="both"/>
    </w:pPr>
    <w:rPr>
      <w:rFonts w:eastAsia="Arial Unicode MS"/>
      <w:sz w:val="22"/>
      <w:szCs w:val="22"/>
    </w:rPr>
  </w:style>
  <w:style w:type="paragraph" w:styleId="Ballongtext">
    <w:name w:val="Balloon Text"/>
    <w:basedOn w:val="Normal"/>
    <w:semiHidden/>
    <w:rPr>
      <w:rFonts w:ascii="Tahoma" w:hAnsi="Tahoma" w:cs="Tahoma"/>
      <w:sz w:val="16"/>
      <w:szCs w:val="16"/>
    </w:rPr>
  </w:style>
  <w:style w:type="paragraph" w:customStyle="1" w:styleId="Hger">
    <w:name w:val="Höger"/>
    <w:basedOn w:val="Normal"/>
    <w:rsid w:val="00D93FD6"/>
    <w:pPr>
      <w:tabs>
        <w:tab w:val="left" w:pos="2552"/>
        <w:tab w:val="left" w:pos="5670"/>
      </w:tabs>
      <w:ind w:left="2552"/>
    </w:pPr>
    <w:rPr>
      <w:szCs w:val="20"/>
    </w:rPr>
  </w:style>
  <w:style w:type="character" w:customStyle="1" w:styleId="BrdtextChar">
    <w:name w:val="Brödtext Char"/>
    <w:link w:val="Brdtext"/>
    <w:rsid w:val="00785097"/>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WP51DOK\MALLAR\CENTRAL\LS-Svar%20p&#229;%20sp&#246;rsm&#229;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LS-Svar på spörsmål.dot</Template>
  <TotalTime>1</TotalTime>
  <Pages>3</Pages>
  <Words>1586</Words>
  <Characters>8408</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Svar RP 6/2018-2019</vt:lpstr>
    </vt:vector>
  </TitlesOfParts>
  <Company>Ålands landsskapsstyrelse</Company>
  <LinksUpToDate>false</LinksUpToDate>
  <CharactersWithSpaces>9975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RP 6/2018-2019</dc:title>
  <dc:creator>Ålands landskapsstyrelse</dc:creator>
  <cp:lastModifiedBy>Jessica Laaksonen</cp:lastModifiedBy>
  <cp:revision>4</cp:revision>
  <cp:lastPrinted>2019-03-06T09:27:00Z</cp:lastPrinted>
  <dcterms:created xsi:type="dcterms:W3CDTF">2019-03-06T09:30:00Z</dcterms:created>
  <dcterms:modified xsi:type="dcterms:W3CDTF">2019-03-06T10:39:00Z</dcterms:modified>
</cp:coreProperties>
</file>