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1"/>
        <w:gridCol w:w="4449"/>
        <w:gridCol w:w="1722"/>
        <w:gridCol w:w="2559"/>
      </w:tblGrid>
      <w:tr w:rsidR="008B496A" w:rsidTr="00ED2CBB">
        <w:trPr>
          <w:cantSplit/>
          <w:trHeight w:val="20"/>
        </w:trPr>
        <w:tc>
          <w:tcPr>
            <w:tcW w:w="851" w:type="dxa"/>
            <w:vMerge w:val="restart"/>
          </w:tcPr>
          <w:p w:rsidR="008B496A" w:rsidRDefault="00B57CE8">
            <w:pPr>
              <w:pStyle w:val="xLedtext"/>
              <w:rPr>
                <w:noProof/>
              </w:rPr>
            </w:pPr>
            <w:bookmarkStart w:id="0" w:name="_top"/>
            <w:bookmarkEnd w:id="0"/>
            <w:r>
              <w:rPr>
                <w:noProof/>
                <w:lang w:val="sv-FI" w:eastAsia="sv-FI"/>
              </w:rPr>
              <w:drawing>
                <wp:inline distT="0" distB="0" distL="0" distR="0">
                  <wp:extent cx="477520" cy="682625"/>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682625"/>
                          </a:xfrm>
                          <a:prstGeom prst="rect">
                            <a:avLst/>
                          </a:prstGeom>
                          <a:noFill/>
                          <a:ln>
                            <a:noFill/>
                          </a:ln>
                        </pic:spPr>
                      </pic:pic>
                    </a:graphicData>
                  </a:graphic>
                </wp:inline>
              </w:drawing>
            </w:r>
          </w:p>
        </w:tc>
        <w:tc>
          <w:tcPr>
            <w:tcW w:w="8730" w:type="dxa"/>
            <w:gridSpan w:val="3"/>
            <w:vAlign w:val="bottom"/>
          </w:tcPr>
          <w:p w:rsidR="008B496A" w:rsidRDefault="00B57CE8">
            <w:pPr>
              <w:pStyle w:val="xMellanrum"/>
            </w:pPr>
            <w:r>
              <w:rPr>
                <w:noProof/>
                <w:lang w:val="sv-FI" w:eastAsia="sv-FI"/>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B496A" w:rsidTr="00ED2CBB">
        <w:trPr>
          <w:cantSplit/>
          <w:trHeight w:val="299"/>
        </w:trPr>
        <w:tc>
          <w:tcPr>
            <w:tcW w:w="851" w:type="dxa"/>
            <w:vMerge/>
          </w:tcPr>
          <w:p w:rsidR="008B496A" w:rsidRDefault="008B496A">
            <w:pPr>
              <w:pStyle w:val="xLedtext"/>
            </w:pPr>
          </w:p>
        </w:tc>
        <w:tc>
          <w:tcPr>
            <w:tcW w:w="4449" w:type="dxa"/>
            <w:vAlign w:val="bottom"/>
          </w:tcPr>
          <w:p w:rsidR="008B496A" w:rsidRDefault="008B496A">
            <w:pPr>
              <w:pStyle w:val="xAvsandare1"/>
            </w:pPr>
            <w:r>
              <w:t>Ålands landskapsregering</w:t>
            </w:r>
          </w:p>
        </w:tc>
        <w:tc>
          <w:tcPr>
            <w:tcW w:w="4281" w:type="dxa"/>
            <w:gridSpan w:val="2"/>
            <w:vAlign w:val="bottom"/>
          </w:tcPr>
          <w:p w:rsidR="008B496A" w:rsidRDefault="00AE67F9" w:rsidP="00E33B3C">
            <w:pPr>
              <w:pStyle w:val="xDokTypNr"/>
            </w:pPr>
            <w:r>
              <w:t>YTTRANDE</w:t>
            </w:r>
          </w:p>
        </w:tc>
      </w:tr>
      <w:tr w:rsidR="008B496A" w:rsidTr="00ED2CBB">
        <w:trPr>
          <w:cantSplit/>
          <w:trHeight w:val="238"/>
        </w:trPr>
        <w:tc>
          <w:tcPr>
            <w:tcW w:w="851" w:type="dxa"/>
            <w:vMerge/>
          </w:tcPr>
          <w:p w:rsidR="008B496A" w:rsidRDefault="008B496A">
            <w:pPr>
              <w:pStyle w:val="xLedtext"/>
            </w:pPr>
          </w:p>
        </w:tc>
        <w:tc>
          <w:tcPr>
            <w:tcW w:w="4449" w:type="dxa"/>
            <w:vAlign w:val="bottom"/>
          </w:tcPr>
          <w:p w:rsidR="008B496A" w:rsidRDefault="008B496A">
            <w:pPr>
              <w:pStyle w:val="xLedtext"/>
            </w:pPr>
          </w:p>
        </w:tc>
        <w:tc>
          <w:tcPr>
            <w:tcW w:w="1722" w:type="dxa"/>
            <w:vAlign w:val="bottom"/>
          </w:tcPr>
          <w:p w:rsidR="008B496A" w:rsidRDefault="008B496A">
            <w:pPr>
              <w:pStyle w:val="xLedtext"/>
            </w:pPr>
            <w:r>
              <w:t>Datum</w:t>
            </w:r>
          </w:p>
        </w:tc>
        <w:tc>
          <w:tcPr>
            <w:tcW w:w="2559" w:type="dxa"/>
            <w:vAlign w:val="bottom"/>
          </w:tcPr>
          <w:p w:rsidR="008B496A" w:rsidRDefault="008B496A">
            <w:pPr>
              <w:pStyle w:val="xLedtext"/>
            </w:pPr>
          </w:p>
        </w:tc>
      </w:tr>
      <w:tr w:rsidR="008B496A" w:rsidTr="00ED2CBB">
        <w:trPr>
          <w:cantSplit/>
          <w:trHeight w:val="238"/>
        </w:trPr>
        <w:tc>
          <w:tcPr>
            <w:tcW w:w="851" w:type="dxa"/>
            <w:vMerge/>
          </w:tcPr>
          <w:p w:rsidR="008B496A" w:rsidRDefault="008B496A">
            <w:pPr>
              <w:pStyle w:val="xAvsandare2"/>
            </w:pPr>
          </w:p>
        </w:tc>
        <w:tc>
          <w:tcPr>
            <w:tcW w:w="4449" w:type="dxa"/>
            <w:vAlign w:val="center"/>
          </w:tcPr>
          <w:p w:rsidR="008B496A" w:rsidRDefault="008B496A">
            <w:pPr>
              <w:pStyle w:val="xAvsandare2"/>
            </w:pPr>
          </w:p>
        </w:tc>
        <w:tc>
          <w:tcPr>
            <w:tcW w:w="1722" w:type="dxa"/>
            <w:vAlign w:val="center"/>
          </w:tcPr>
          <w:p w:rsidR="008B496A" w:rsidRDefault="006A0F3C" w:rsidP="002542CD">
            <w:pPr>
              <w:pStyle w:val="xDatum1"/>
            </w:pPr>
            <w:r>
              <w:t>8</w:t>
            </w:r>
            <w:r w:rsidR="008B496A">
              <w:t>.</w:t>
            </w:r>
            <w:r w:rsidR="00EA0517">
              <w:t>11</w:t>
            </w:r>
            <w:r w:rsidR="00807F6D">
              <w:t>.201</w:t>
            </w:r>
            <w:r w:rsidR="00C979E6">
              <w:t>8</w:t>
            </w:r>
          </w:p>
        </w:tc>
        <w:tc>
          <w:tcPr>
            <w:tcW w:w="2559" w:type="dxa"/>
            <w:vAlign w:val="center"/>
          </w:tcPr>
          <w:p w:rsidR="008B496A" w:rsidRDefault="008B496A">
            <w:pPr>
              <w:pStyle w:val="xBeteckning1"/>
            </w:pPr>
          </w:p>
        </w:tc>
      </w:tr>
      <w:tr w:rsidR="008B496A" w:rsidTr="00ED2CBB">
        <w:trPr>
          <w:cantSplit/>
          <w:trHeight w:val="238"/>
        </w:trPr>
        <w:tc>
          <w:tcPr>
            <w:tcW w:w="851" w:type="dxa"/>
            <w:vMerge/>
          </w:tcPr>
          <w:p w:rsidR="008B496A" w:rsidRDefault="008B496A">
            <w:pPr>
              <w:pStyle w:val="xLedtext"/>
            </w:pPr>
          </w:p>
        </w:tc>
        <w:tc>
          <w:tcPr>
            <w:tcW w:w="4449" w:type="dxa"/>
            <w:vAlign w:val="bottom"/>
          </w:tcPr>
          <w:p w:rsidR="008B496A" w:rsidRDefault="008B496A">
            <w:pPr>
              <w:pStyle w:val="xLedtext"/>
            </w:pPr>
          </w:p>
        </w:tc>
        <w:tc>
          <w:tcPr>
            <w:tcW w:w="1722" w:type="dxa"/>
            <w:vAlign w:val="bottom"/>
          </w:tcPr>
          <w:p w:rsidR="008B496A" w:rsidRDefault="008B496A">
            <w:pPr>
              <w:pStyle w:val="xLedtext"/>
            </w:pPr>
          </w:p>
        </w:tc>
        <w:tc>
          <w:tcPr>
            <w:tcW w:w="2559" w:type="dxa"/>
            <w:vAlign w:val="bottom"/>
          </w:tcPr>
          <w:p w:rsidR="008B496A" w:rsidRDefault="008B496A">
            <w:pPr>
              <w:pStyle w:val="xLedtext"/>
            </w:pPr>
          </w:p>
        </w:tc>
      </w:tr>
      <w:tr w:rsidR="008B496A" w:rsidTr="00ED2CBB">
        <w:trPr>
          <w:cantSplit/>
          <w:trHeight w:val="238"/>
        </w:trPr>
        <w:tc>
          <w:tcPr>
            <w:tcW w:w="851" w:type="dxa"/>
            <w:vMerge/>
            <w:tcBorders>
              <w:bottom w:val="single" w:sz="4" w:space="0" w:color="auto"/>
            </w:tcBorders>
          </w:tcPr>
          <w:p w:rsidR="008B496A" w:rsidRDefault="008B496A">
            <w:pPr>
              <w:pStyle w:val="xAvsandare3"/>
            </w:pPr>
          </w:p>
        </w:tc>
        <w:tc>
          <w:tcPr>
            <w:tcW w:w="4449" w:type="dxa"/>
            <w:tcBorders>
              <w:bottom w:val="single" w:sz="4" w:space="0" w:color="auto"/>
            </w:tcBorders>
            <w:vAlign w:val="center"/>
          </w:tcPr>
          <w:p w:rsidR="008B496A" w:rsidRDefault="008B496A">
            <w:pPr>
              <w:pStyle w:val="xAvsandare3"/>
            </w:pPr>
          </w:p>
        </w:tc>
        <w:tc>
          <w:tcPr>
            <w:tcW w:w="1722" w:type="dxa"/>
            <w:tcBorders>
              <w:bottom w:val="single" w:sz="4" w:space="0" w:color="auto"/>
            </w:tcBorders>
            <w:vAlign w:val="center"/>
          </w:tcPr>
          <w:p w:rsidR="008B496A" w:rsidRDefault="008B496A">
            <w:pPr>
              <w:pStyle w:val="xDatum2"/>
            </w:pPr>
          </w:p>
        </w:tc>
        <w:tc>
          <w:tcPr>
            <w:tcW w:w="2559" w:type="dxa"/>
            <w:tcBorders>
              <w:bottom w:val="single" w:sz="4" w:space="0" w:color="auto"/>
            </w:tcBorders>
            <w:vAlign w:val="center"/>
          </w:tcPr>
          <w:p w:rsidR="008B496A" w:rsidRDefault="008B496A">
            <w:pPr>
              <w:pStyle w:val="xBeteckning2"/>
            </w:pPr>
          </w:p>
        </w:tc>
      </w:tr>
      <w:tr w:rsidR="008B496A" w:rsidTr="00ED2CBB">
        <w:trPr>
          <w:cantSplit/>
          <w:trHeight w:val="238"/>
        </w:trPr>
        <w:tc>
          <w:tcPr>
            <w:tcW w:w="851" w:type="dxa"/>
            <w:tcBorders>
              <w:top w:val="single" w:sz="4" w:space="0" w:color="auto"/>
            </w:tcBorders>
            <w:vAlign w:val="bottom"/>
          </w:tcPr>
          <w:p w:rsidR="008B496A" w:rsidRDefault="008B496A">
            <w:pPr>
              <w:pStyle w:val="xLedtext"/>
            </w:pPr>
          </w:p>
        </w:tc>
        <w:tc>
          <w:tcPr>
            <w:tcW w:w="4449" w:type="dxa"/>
            <w:tcBorders>
              <w:top w:val="single" w:sz="4" w:space="0" w:color="auto"/>
            </w:tcBorders>
            <w:vAlign w:val="bottom"/>
          </w:tcPr>
          <w:p w:rsidR="008B496A" w:rsidRDefault="008B496A">
            <w:pPr>
              <w:pStyle w:val="xLedtext"/>
            </w:pPr>
          </w:p>
        </w:tc>
        <w:tc>
          <w:tcPr>
            <w:tcW w:w="4281" w:type="dxa"/>
            <w:gridSpan w:val="2"/>
            <w:tcBorders>
              <w:top w:val="single" w:sz="4" w:space="0" w:color="auto"/>
            </w:tcBorders>
            <w:vAlign w:val="bottom"/>
          </w:tcPr>
          <w:p w:rsidR="008B496A" w:rsidRDefault="008B496A">
            <w:pPr>
              <w:pStyle w:val="xLedtext"/>
            </w:pPr>
          </w:p>
        </w:tc>
      </w:tr>
      <w:tr w:rsidR="008B496A" w:rsidTr="00ED2CBB">
        <w:trPr>
          <w:cantSplit/>
          <w:trHeight w:val="238"/>
        </w:trPr>
        <w:tc>
          <w:tcPr>
            <w:tcW w:w="851" w:type="dxa"/>
          </w:tcPr>
          <w:p w:rsidR="008B496A" w:rsidRDefault="008B496A">
            <w:pPr>
              <w:pStyle w:val="xCelltext"/>
            </w:pPr>
          </w:p>
        </w:tc>
        <w:tc>
          <w:tcPr>
            <w:tcW w:w="4449" w:type="dxa"/>
            <w:vMerge w:val="restart"/>
          </w:tcPr>
          <w:p w:rsidR="008B496A" w:rsidRDefault="008B496A">
            <w:pPr>
              <w:pStyle w:val="xMottagare1"/>
            </w:pPr>
            <w:r>
              <w:t>Till Ålands lagting</w:t>
            </w:r>
          </w:p>
        </w:tc>
        <w:tc>
          <w:tcPr>
            <w:tcW w:w="4281" w:type="dxa"/>
            <w:gridSpan w:val="2"/>
            <w:vMerge w:val="restart"/>
          </w:tcPr>
          <w:p w:rsidR="008B496A" w:rsidRDefault="008B496A">
            <w:pPr>
              <w:pStyle w:val="xMottagare1"/>
              <w:tabs>
                <w:tab w:val="left" w:pos="2349"/>
              </w:tabs>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bl>
    <w:p w:rsidR="008B496A" w:rsidRDefault="008B496A">
      <w:pPr>
        <w:rPr>
          <w:b/>
          <w:bCs/>
        </w:rPr>
        <w:sectPr w:rsidR="008B496A">
          <w:footerReference w:type="even" r:id="rId10"/>
          <w:footerReference w:type="default" r:id="rId11"/>
          <w:pgSz w:w="11906" w:h="16838" w:code="9"/>
          <w:pgMar w:top="567" w:right="1134" w:bottom="1134" w:left="1191" w:header="624" w:footer="851" w:gutter="0"/>
          <w:cols w:space="708"/>
          <w:docGrid w:linePitch="360"/>
        </w:sectPr>
      </w:pPr>
    </w:p>
    <w:p w:rsidR="008B496A" w:rsidRDefault="00AE67F9">
      <w:pPr>
        <w:pStyle w:val="ArendeOverRubrik"/>
      </w:pPr>
      <w:r>
        <w:lastRenderedPageBreak/>
        <w:t>Landskapsregeringens yttrande</w:t>
      </w:r>
    </w:p>
    <w:p w:rsidR="008B496A" w:rsidRDefault="00347B66" w:rsidP="00066D2D">
      <w:pPr>
        <w:pStyle w:val="ArendeRubrik"/>
      </w:pPr>
      <w:r>
        <w:t>Ang</w:t>
      </w:r>
      <w:r w:rsidR="0070149C">
        <w:t>å</w:t>
      </w:r>
      <w:r>
        <w:t>e</w:t>
      </w:r>
      <w:r w:rsidR="0070149C">
        <w:t>nde</w:t>
      </w:r>
      <w:r w:rsidR="00F05CDF">
        <w:t xml:space="preserve"> regeringens proposition till riksdagen om godkännande </w:t>
      </w:r>
      <w:r w:rsidR="00A43D44">
        <w:t>och sättande i kraft av protokollet</w:t>
      </w:r>
      <w:r w:rsidR="006A0F3C">
        <w:t xml:space="preserve"> om ändring av avtalet mellan de nordiska länderna för att undvika dubbelbeskattning beträffande skatter på inkomst och på förmögenhet</w:t>
      </w:r>
    </w:p>
    <w:p w:rsidR="00C669F9" w:rsidRDefault="005862EC" w:rsidP="00066D2D">
      <w:pPr>
        <w:pStyle w:val="ArendeUnderRubrik"/>
      </w:pPr>
      <w:hyperlink r:id="rId12" w:history="1">
        <w:r w:rsidR="00AE67F9" w:rsidRPr="005862EC">
          <w:rPr>
            <w:rStyle w:val="Hyperlnk"/>
          </w:rPr>
          <w:t xml:space="preserve">Republikens presidents framställning </w:t>
        </w:r>
        <w:r w:rsidR="008B496A" w:rsidRPr="005862EC">
          <w:rPr>
            <w:rStyle w:val="Hyperlnk"/>
          </w:rPr>
          <w:t xml:space="preserve">nr </w:t>
        </w:r>
        <w:r w:rsidR="006A0F3C" w:rsidRPr="005862EC">
          <w:rPr>
            <w:rStyle w:val="Hyperlnk"/>
          </w:rPr>
          <w:t>2</w:t>
        </w:r>
        <w:r w:rsidR="008B496A" w:rsidRPr="005862EC">
          <w:rPr>
            <w:rStyle w:val="Hyperlnk"/>
          </w:rPr>
          <w:t>/201</w:t>
        </w:r>
        <w:r w:rsidR="006A0F3C" w:rsidRPr="005862EC">
          <w:rPr>
            <w:rStyle w:val="Hyperlnk"/>
          </w:rPr>
          <w:t>8</w:t>
        </w:r>
        <w:r w:rsidR="008B496A" w:rsidRPr="005862EC">
          <w:rPr>
            <w:rStyle w:val="Hyperlnk"/>
          </w:rPr>
          <w:t>-201</w:t>
        </w:r>
        <w:r w:rsidR="006A0F3C" w:rsidRPr="005862EC">
          <w:rPr>
            <w:rStyle w:val="Hyperlnk"/>
          </w:rPr>
          <w:t>9</w:t>
        </w:r>
      </w:hyperlink>
      <w:bookmarkStart w:id="1" w:name="_GoBack"/>
      <w:bookmarkEnd w:id="1"/>
    </w:p>
    <w:p w:rsidR="008B496A" w:rsidRDefault="008B496A" w:rsidP="00066D2D">
      <w:pPr>
        <w:pStyle w:val="ANormal"/>
      </w:pPr>
    </w:p>
    <w:p w:rsidR="00134462" w:rsidRDefault="00807F6D" w:rsidP="00066D2D">
      <w:pPr>
        <w:pStyle w:val="Brdtext"/>
        <w:rPr>
          <w:sz w:val="22"/>
          <w:szCs w:val="22"/>
        </w:rPr>
      </w:pPr>
      <w:r w:rsidRPr="00807F6D">
        <w:rPr>
          <w:sz w:val="22"/>
          <w:szCs w:val="22"/>
        </w:rPr>
        <w:t xml:space="preserve">Ålands lagting har den </w:t>
      </w:r>
      <w:r w:rsidR="006A0F3C">
        <w:rPr>
          <w:sz w:val="22"/>
          <w:szCs w:val="22"/>
        </w:rPr>
        <w:t>29</w:t>
      </w:r>
      <w:r w:rsidRPr="00807F6D">
        <w:rPr>
          <w:sz w:val="22"/>
          <w:szCs w:val="22"/>
        </w:rPr>
        <w:t xml:space="preserve"> </w:t>
      </w:r>
      <w:r w:rsidR="00DD789C">
        <w:rPr>
          <w:sz w:val="22"/>
          <w:szCs w:val="22"/>
        </w:rPr>
        <w:t>oktober</w:t>
      </w:r>
      <w:r w:rsidRPr="00807F6D">
        <w:rPr>
          <w:sz w:val="22"/>
          <w:szCs w:val="22"/>
        </w:rPr>
        <w:t xml:space="preserve"> 201</w:t>
      </w:r>
      <w:r w:rsidR="00DD789C">
        <w:rPr>
          <w:sz w:val="22"/>
          <w:szCs w:val="22"/>
        </w:rPr>
        <w:t>8</w:t>
      </w:r>
      <w:r w:rsidRPr="00807F6D">
        <w:rPr>
          <w:sz w:val="22"/>
          <w:szCs w:val="22"/>
        </w:rPr>
        <w:t xml:space="preserve"> begärt ett yttrande från landskap</w:t>
      </w:r>
      <w:r w:rsidRPr="00807F6D">
        <w:rPr>
          <w:sz w:val="22"/>
          <w:szCs w:val="22"/>
        </w:rPr>
        <w:t>s</w:t>
      </w:r>
      <w:r w:rsidRPr="00807F6D">
        <w:rPr>
          <w:sz w:val="22"/>
          <w:szCs w:val="22"/>
        </w:rPr>
        <w:t>rege</w:t>
      </w:r>
      <w:r>
        <w:rPr>
          <w:sz w:val="22"/>
          <w:szCs w:val="22"/>
        </w:rPr>
        <w:t>ringen om en proposition till riksdagen om godkännande av</w:t>
      </w:r>
      <w:r w:rsidR="00DD789C">
        <w:rPr>
          <w:sz w:val="22"/>
          <w:szCs w:val="22"/>
        </w:rPr>
        <w:t xml:space="preserve"> och sä</w:t>
      </w:r>
      <w:r w:rsidR="00DD789C">
        <w:rPr>
          <w:sz w:val="22"/>
          <w:szCs w:val="22"/>
        </w:rPr>
        <w:t>t</w:t>
      </w:r>
      <w:r w:rsidR="00DD789C">
        <w:rPr>
          <w:sz w:val="22"/>
          <w:szCs w:val="22"/>
        </w:rPr>
        <w:t xml:space="preserve">tande i kraft av protokollet </w:t>
      </w:r>
      <w:r w:rsidR="006A0F3C">
        <w:rPr>
          <w:sz w:val="22"/>
          <w:szCs w:val="22"/>
        </w:rPr>
        <w:t>om ändring av avtalet mellan de nordiska lä</w:t>
      </w:r>
      <w:r w:rsidR="006A0F3C">
        <w:rPr>
          <w:sz w:val="22"/>
          <w:szCs w:val="22"/>
        </w:rPr>
        <w:t>n</w:t>
      </w:r>
      <w:r w:rsidR="006A0F3C">
        <w:rPr>
          <w:sz w:val="22"/>
          <w:szCs w:val="22"/>
        </w:rPr>
        <w:t>derna för att undvika</w:t>
      </w:r>
      <w:r w:rsidR="00DD789C">
        <w:rPr>
          <w:sz w:val="22"/>
          <w:szCs w:val="22"/>
        </w:rPr>
        <w:t xml:space="preserve"> </w:t>
      </w:r>
      <w:r>
        <w:rPr>
          <w:sz w:val="22"/>
          <w:szCs w:val="22"/>
        </w:rPr>
        <w:t xml:space="preserve">dubbelbeskattning </w:t>
      </w:r>
      <w:r w:rsidR="00DD789C">
        <w:rPr>
          <w:sz w:val="22"/>
          <w:szCs w:val="22"/>
        </w:rPr>
        <w:t xml:space="preserve">beträffande skatter på inkomst </w:t>
      </w:r>
      <w:r>
        <w:rPr>
          <w:sz w:val="22"/>
          <w:szCs w:val="22"/>
        </w:rPr>
        <w:t>och</w:t>
      </w:r>
      <w:r w:rsidR="006A0F3C">
        <w:rPr>
          <w:sz w:val="22"/>
          <w:szCs w:val="22"/>
        </w:rPr>
        <w:t xml:space="preserve"> förmögenhet</w:t>
      </w:r>
      <w:r>
        <w:rPr>
          <w:sz w:val="22"/>
          <w:szCs w:val="22"/>
        </w:rPr>
        <w:t xml:space="preserve">. </w:t>
      </w:r>
      <w:r w:rsidR="00134462">
        <w:rPr>
          <w:sz w:val="22"/>
          <w:szCs w:val="22"/>
        </w:rPr>
        <w:t>Begäran är gjord i enlighet med lagtingsordningen 31 § 2 mom.</w:t>
      </w:r>
    </w:p>
    <w:p w:rsidR="00134462" w:rsidRDefault="00134462" w:rsidP="00C669F9">
      <w:pPr>
        <w:pStyle w:val="Brdtext"/>
        <w:rPr>
          <w:sz w:val="22"/>
          <w:szCs w:val="22"/>
        </w:rPr>
      </w:pPr>
    </w:p>
    <w:p w:rsidR="00AE67F9" w:rsidRDefault="00134462" w:rsidP="00C669F9">
      <w:pPr>
        <w:pStyle w:val="Brdtext"/>
        <w:rPr>
          <w:b/>
          <w:sz w:val="22"/>
          <w:szCs w:val="22"/>
        </w:rPr>
      </w:pPr>
      <w:r w:rsidRPr="00134462">
        <w:rPr>
          <w:b/>
          <w:sz w:val="22"/>
          <w:szCs w:val="22"/>
        </w:rPr>
        <w:t>Propositionens huvudsakliga innehåll</w:t>
      </w:r>
    </w:p>
    <w:p w:rsidR="00DA3B20" w:rsidRDefault="00DA3B20" w:rsidP="00066D2D">
      <w:pPr>
        <w:pStyle w:val="Brdtext"/>
        <w:rPr>
          <w:b/>
          <w:sz w:val="22"/>
          <w:szCs w:val="22"/>
        </w:rPr>
      </w:pPr>
    </w:p>
    <w:p w:rsidR="00BC34D3" w:rsidRDefault="004100B4" w:rsidP="00066D2D">
      <w:pPr>
        <w:pStyle w:val="Brdtext"/>
        <w:rPr>
          <w:sz w:val="22"/>
          <w:szCs w:val="22"/>
        </w:rPr>
      </w:pPr>
      <w:r>
        <w:rPr>
          <w:sz w:val="22"/>
          <w:szCs w:val="22"/>
        </w:rPr>
        <w:t>Regeringen föreslår att riksdagen godkänner det</w:t>
      </w:r>
      <w:r w:rsidR="002757C9">
        <w:rPr>
          <w:sz w:val="22"/>
          <w:szCs w:val="22"/>
        </w:rPr>
        <w:t xml:space="preserve"> i augusti 2018</w:t>
      </w:r>
      <w:r>
        <w:rPr>
          <w:sz w:val="22"/>
          <w:szCs w:val="22"/>
        </w:rPr>
        <w:t xml:space="preserve"> </w:t>
      </w:r>
      <w:r w:rsidR="002757C9">
        <w:rPr>
          <w:sz w:val="22"/>
          <w:szCs w:val="22"/>
        </w:rPr>
        <w:t xml:space="preserve">mellan de nordiska länderna ingångna protokollet om ändring av avtalet mellan de nordiska länderna för att undvika dubbelbeskattning beträffande skatter på inkomst och på förmögenhet. Genom protokollet ändras de bestämmelser som berör preambeln, </w:t>
      </w:r>
      <w:r w:rsidR="00140E9C">
        <w:rPr>
          <w:sz w:val="22"/>
          <w:szCs w:val="22"/>
        </w:rPr>
        <w:t xml:space="preserve">enstaka </w:t>
      </w:r>
      <w:r w:rsidR="002757C9">
        <w:rPr>
          <w:sz w:val="22"/>
          <w:szCs w:val="22"/>
        </w:rPr>
        <w:t xml:space="preserve">allmänna beskattningsregler och förfarandet vid ömsesidig överenskommelse. </w:t>
      </w:r>
      <w:r w:rsidR="00BB2B75">
        <w:rPr>
          <w:sz w:val="22"/>
          <w:szCs w:val="22"/>
        </w:rPr>
        <w:t>Ändringarna berör huvudsakligen b</w:t>
      </w:r>
      <w:r w:rsidR="00BB2B75">
        <w:rPr>
          <w:sz w:val="22"/>
          <w:szCs w:val="22"/>
        </w:rPr>
        <w:t>e</w:t>
      </w:r>
      <w:r w:rsidR="00BB2B75">
        <w:rPr>
          <w:sz w:val="22"/>
          <w:szCs w:val="22"/>
        </w:rPr>
        <w:t>käm</w:t>
      </w:r>
      <w:r w:rsidR="00FF13CA">
        <w:rPr>
          <w:sz w:val="22"/>
          <w:szCs w:val="22"/>
        </w:rPr>
        <w:t>p</w:t>
      </w:r>
      <w:r w:rsidR="00BB2B75">
        <w:rPr>
          <w:sz w:val="22"/>
          <w:szCs w:val="22"/>
        </w:rPr>
        <w:t>ning av skatteflykt.</w:t>
      </w:r>
    </w:p>
    <w:p w:rsidR="00AC0AF2" w:rsidRDefault="00AC0AF2" w:rsidP="00066D2D">
      <w:pPr>
        <w:pStyle w:val="Brdtext"/>
        <w:rPr>
          <w:sz w:val="22"/>
          <w:szCs w:val="22"/>
        </w:rPr>
      </w:pPr>
    </w:p>
    <w:p w:rsidR="00AC0AF2" w:rsidRDefault="00AC0AF2" w:rsidP="00066D2D">
      <w:pPr>
        <w:pStyle w:val="Brdtext"/>
        <w:rPr>
          <w:sz w:val="22"/>
          <w:szCs w:val="22"/>
        </w:rPr>
      </w:pPr>
      <w:r>
        <w:rPr>
          <w:sz w:val="22"/>
          <w:szCs w:val="22"/>
        </w:rPr>
        <w:t xml:space="preserve">Nu gällande </w:t>
      </w:r>
      <w:proofErr w:type="spellStart"/>
      <w:r>
        <w:rPr>
          <w:sz w:val="22"/>
          <w:szCs w:val="22"/>
        </w:rPr>
        <w:t>preambel</w:t>
      </w:r>
      <w:proofErr w:type="spellEnd"/>
      <w:r>
        <w:rPr>
          <w:sz w:val="22"/>
          <w:szCs w:val="22"/>
        </w:rPr>
        <w:t xml:space="preserve"> utgår och ersätts genom artikel 1 i protokollet med följande (nytt </w:t>
      </w:r>
      <w:r w:rsidR="00693DE9">
        <w:rPr>
          <w:sz w:val="22"/>
          <w:szCs w:val="22"/>
        </w:rPr>
        <w:t>sak</w:t>
      </w:r>
      <w:r>
        <w:rPr>
          <w:sz w:val="22"/>
          <w:szCs w:val="22"/>
        </w:rPr>
        <w:t>innehåll i kursiv text);</w:t>
      </w:r>
    </w:p>
    <w:p w:rsidR="00AC0AF2" w:rsidRDefault="00AC0AF2" w:rsidP="00066D2D">
      <w:pPr>
        <w:pStyle w:val="Brdtext"/>
        <w:rPr>
          <w:sz w:val="22"/>
          <w:szCs w:val="22"/>
        </w:rPr>
      </w:pPr>
    </w:p>
    <w:p w:rsidR="00AC0AF2" w:rsidRDefault="00AC0AF2" w:rsidP="00066D2D">
      <w:pPr>
        <w:pStyle w:val="Brdtext"/>
        <w:rPr>
          <w:sz w:val="22"/>
          <w:szCs w:val="22"/>
        </w:rPr>
      </w:pPr>
      <w:r>
        <w:rPr>
          <w:sz w:val="22"/>
          <w:szCs w:val="22"/>
        </w:rPr>
        <w:t xml:space="preserve">”Danmarks regering tillsammans med Färöarnas landsstyre samt Finlands, Islands, Norges och Sveriges regeringar, </w:t>
      </w:r>
    </w:p>
    <w:p w:rsidR="00AC0AF2" w:rsidRPr="00AC0AF2" w:rsidRDefault="00AC0AF2" w:rsidP="00066D2D">
      <w:pPr>
        <w:pStyle w:val="Brdtext"/>
        <w:rPr>
          <w:i/>
          <w:sz w:val="22"/>
          <w:szCs w:val="22"/>
        </w:rPr>
      </w:pPr>
      <w:r>
        <w:rPr>
          <w:sz w:val="22"/>
          <w:szCs w:val="22"/>
        </w:rPr>
        <w:t xml:space="preserve">som önskar ingå avtal för att undvika dubbelbeskattning beträffande skatter på inkomst och på förmögenhet, </w:t>
      </w:r>
      <w:r w:rsidRPr="00AC0AF2">
        <w:rPr>
          <w:i/>
          <w:sz w:val="22"/>
          <w:szCs w:val="22"/>
        </w:rPr>
        <w:t>utan att skapa förutsättningar för icke-beskattning eller minskad skatt genom skatteundandragande eller skatt</w:t>
      </w:r>
      <w:r w:rsidRPr="00AC0AF2">
        <w:rPr>
          <w:i/>
          <w:sz w:val="22"/>
          <w:szCs w:val="22"/>
        </w:rPr>
        <w:t>e</w:t>
      </w:r>
      <w:r w:rsidRPr="00AC0AF2">
        <w:rPr>
          <w:i/>
          <w:sz w:val="22"/>
          <w:szCs w:val="22"/>
        </w:rPr>
        <w:t>flykt (däri inbegripet genom så kallad ”</w:t>
      </w:r>
      <w:proofErr w:type="spellStart"/>
      <w:r w:rsidRPr="00AC0AF2">
        <w:rPr>
          <w:i/>
          <w:sz w:val="22"/>
          <w:szCs w:val="22"/>
        </w:rPr>
        <w:t>treaty</w:t>
      </w:r>
      <w:proofErr w:type="spellEnd"/>
      <w:r w:rsidRPr="00AC0AF2">
        <w:rPr>
          <w:i/>
          <w:sz w:val="22"/>
          <w:szCs w:val="22"/>
        </w:rPr>
        <w:t xml:space="preserve"> shopping”, som syftar till att personer med hemvist i en stat som inte är part til</w:t>
      </w:r>
      <w:r>
        <w:rPr>
          <w:i/>
          <w:sz w:val="22"/>
          <w:szCs w:val="22"/>
        </w:rPr>
        <w:t>l</w:t>
      </w:r>
      <w:r w:rsidRPr="00AC0AF2">
        <w:rPr>
          <w:i/>
          <w:sz w:val="22"/>
          <w:szCs w:val="22"/>
        </w:rPr>
        <w:t xml:space="preserve"> detta avtal indirekt ska åtnjuta förmåner enligt detta avtal),</w:t>
      </w:r>
    </w:p>
    <w:p w:rsidR="00AC0AF2" w:rsidRDefault="00AC0AF2" w:rsidP="00066D2D">
      <w:pPr>
        <w:pStyle w:val="Brdtext"/>
        <w:rPr>
          <w:sz w:val="22"/>
          <w:szCs w:val="22"/>
        </w:rPr>
      </w:pPr>
      <w:r>
        <w:rPr>
          <w:sz w:val="22"/>
          <w:szCs w:val="22"/>
        </w:rPr>
        <w:t>som konstaterar att i fråga om Färöarna handhavandet även i förhållande till utlandet av de sakområden som omfattas av detta avtal hör till Färöarnas självstyrelsekompetens,</w:t>
      </w:r>
    </w:p>
    <w:p w:rsidR="00AC0AF2" w:rsidRDefault="00AC0AF2" w:rsidP="00066D2D">
      <w:pPr>
        <w:pStyle w:val="Brdtext"/>
        <w:rPr>
          <w:sz w:val="22"/>
          <w:szCs w:val="22"/>
        </w:rPr>
      </w:pPr>
      <w:r>
        <w:rPr>
          <w:sz w:val="22"/>
          <w:szCs w:val="22"/>
        </w:rPr>
        <w:t xml:space="preserve">har kommit överens om följande:” </w:t>
      </w:r>
    </w:p>
    <w:p w:rsidR="00BC34D3" w:rsidRDefault="00BC34D3" w:rsidP="00066D2D">
      <w:pPr>
        <w:pStyle w:val="Brdtext"/>
        <w:rPr>
          <w:sz w:val="22"/>
          <w:szCs w:val="22"/>
        </w:rPr>
      </w:pPr>
    </w:p>
    <w:p w:rsidR="00AC0AF2" w:rsidRDefault="00AC0AF2" w:rsidP="00BB2B75">
      <w:pPr>
        <w:pStyle w:val="Brdtext"/>
        <w:rPr>
          <w:sz w:val="22"/>
          <w:szCs w:val="22"/>
        </w:rPr>
      </w:pPr>
      <w:r>
        <w:rPr>
          <w:sz w:val="22"/>
          <w:szCs w:val="22"/>
        </w:rPr>
        <w:lastRenderedPageBreak/>
        <w:t>Genom artikel 2</w:t>
      </w:r>
      <w:r w:rsidR="003D5571">
        <w:rPr>
          <w:sz w:val="22"/>
          <w:szCs w:val="22"/>
        </w:rPr>
        <w:t xml:space="preserve"> </w:t>
      </w:r>
      <w:r w:rsidR="00F005E3">
        <w:rPr>
          <w:sz w:val="22"/>
          <w:szCs w:val="22"/>
        </w:rPr>
        <w:t xml:space="preserve">i protokollet </w:t>
      </w:r>
      <w:r w:rsidR="003D5571">
        <w:rPr>
          <w:sz w:val="22"/>
          <w:szCs w:val="22"/>
        </w:rPr>
        <w:t>införs ett nytt stycke till artikel 26 i avtalet med innebörd att om det kan antas att ett av de huvudsakliga syftena med det arrangemang eller en transaktion som direkt eller indirekt resulterat i en förmån enligt avtalet, var att komma i åtnjutande av förmånen, så ska den skattskyldiga inte kunna åtnjuta förmånen.</w:t>
      </w:r>
    </w:p>
    <w:p w:rsidR="003D5571" w:rsidRDefault="003D5571" w:rsidP="00BB2B75">
      <w:pPr>
        <w:pStyle w:val="Brdtext"/>
        <w:rPr>
          <w:sz w:val="22"/>
          <w:szCs w:val="22"/>
        </w:rPr>
      </w:pPr>
    </w:p>
    <w:p w:rsidR="003D5571" w:rsidRDefault="003D5571" w:rsidP="00BB2B75">
      <w:pPr>
        <w:pStyle w:val="Brdtext"/>
        <w:rPr>
          <w:sz w:val="22"/>
          <w:szCs w:val="22"/>
        </w:rPr>
      </w:pPr>
      <w:r>
        <w:rPr>
          <w:sz w:val="22"/>
          <w:szCs w:val="22"/>
        </w:rPr>
        <w:t>Genom artikel 3 i protokollet utgår stycke 1 i avtalets artikel 28 och ersätts med en ny formulering för hur en skattskyldig ska kunna lyfta att beskat</w:t>
      </w:r>
      <w:r>
        <w:rPr>
          <w:sz w:val="22"/>
          <w:szCs w:val="22"/>
        </w:rPr>
        <w:t>t</w:t>
      </w:r>
      <w:r>
        <w:rPr>
          <w:sz w:val="22"/>
          <w:szCs w:val="22"/>
        </w:rPr>
        <w:t>ningsåtgärder vidtagits som strider mot avtalets syften.</w:t>
      </w:r>
    </w:p>
    <w:p w:rsidR="00AC0AF2" w:rsidRDefault="00AC0AF2" w:rsidP="00BB2B75">
      <w:pPr>
        <w:pStyle w:val="Brdtext"/>
        <w:rPr>
          <w:sz w:val="22"/>
          <w:szCs w:val="22"/>
        </w:rPr>
      </w:pPr>
    </w:p>
    <w:p w:rsidR="008405B8" w:rsidRDefault="00BB2B75" w:rsidP="00BB2B75">
      <w:pPr>
        <w:pStyle w:val="Brdtext"/>
        <w:rPr>
          <w:sz w:val="22"/>
          <w:szCs w:val="22"/>
        </w:rPr>
      </w:pPr>
      <w:r>
        <w:rPr>
          <w:sz w:val="22"/>
          <w:szCs w:val="22"/>
        </w:rPr>
        <w:t>Enighet nåddes om ett protokollutkast efter ö</w:t>
      </w:r>
      <w:r w:rsidR="00BC34D3">
        <w:rPr>
          <w:sz w:val="22"/>
          <w:szCs w:val="22"/>
        </w:rPr>
        <w:t>verläggningar mellan de no</w:t>
      </w:r>
      <w:r w:rsidR="00BC34D3">
        <w:rPr>
          <w:sz w:val="22"/>
          <w:szCs w:val="22"/>
        </w:rPr>
        <w:t>r</w:t>
      </w:r>
      <w:r w:rsidR="00BC34D3">
        <w:rPr>
          <w:sz w:val="22"/>
          <w:szCs w:val="22"/>
        </w:rPr>
        <w:t xml:space="preserve">diska finansförvaltningarna </w:t>
      </w:r>
      <w:r>
        <w:rPr>
          <w:sz w:val="22"/>
          <w:szCs w:val="22"/>
        </w:rPr>
        <w:t>och protokollet undertecknades i Helsingfors den 29 augusti.</w:t>
      </w:r>
    </w:p>
    <w:p w:rsidR="00826F01" w:rsidRDefault="00826F01" w:rsidP="008405B8">
      <w:pPr>
        <w:pStyle w:val="Brdtext"/>
        <w:rPr>
          <w:sz w:val="22"/>
          <w:szCs w:val="22"/>
        </w:rPr>
      </w:pPr>
    </w:p>
    <w:p w:rsidR="003E0A7B" w:rsidRDefault="00BB2B75" w:rsidP="003E0A7B">
      <w:pPr>
        <w:pStyle w:val="Brdtext"/>
        <w:rPr>
          <w:sz w:val="22"/>
          <w:szCs w:val="22"/>
        </w:rPr>
      </w:pPr>
      <w:r>
        <w:rPr>
          <w:sz w:val="22"/>
          <w:szCs w:val="22"/>
        </w:rPr>
        <w:t>P</w:t>
      </w:r>
      <w:r w:rsidR="003E0A7B">
        <w:rPr>
          <w:sz w:val="22"/>
          <w:szCs w:val="22"/>
        </w:rPr>
        <w:t>rotokollet träder i kraft tre</w:t>
      </w:r>
      <w:r w:rsidR="002A46D6">
        <w:rPr>
          <w:sz w:val="22"/>
          <w:szCs w:val="22"/>
        </w:rPr>
        <w:t>ttionde dagen efter den</w:t>
      </w:r>
      <w:r>
        <w:rPr>
          <w:sz w:val="22"/>
          <w:szCs w:val="22"/>
        </w:rPr>
        <w:t xml:space="preserve"> dag</w:t>
      </w:r>
      <w:r w:rsidR="002A46D6">
        <w:rPr>
          <w:sz w:val="22"/>
          <w:szCs w:val="22"/>
        </w:rPr>
        <w:t xml:space="preserve"> då </w:t>
      </w:r>
      <w:r>
        <w:rPr>
          <w:sz w:val="22"/>
          <w:szCs w:val="22"/>
        </w:rPr>
        <w:t>samtliga</w:t>
      </w:r>
      <w:r w:rsidR="002A46D6">
        <w:rPr>
          <w:sz w:val="22"/>
          <w:szCs w:val="22"/>
        </w:rPr>
        <w:t xml:space="preserve"> avtal</w:t>
      </w:r>
      <w:r w:rsidR="002A46D6">
        <w:rPr>
          <w:sz w:val="22"/>
          <w:szCs w:val="22"/>
        </w:rPr>
        <w:t>s</w:t>
      </w:r>
      <w:r w:rsidR="002A46D6">
        <w:rPr>
          <w:sz w:val="22"/>
          <w:szCs w:val="22"/>
        </w:rPr>
        <w:t xml:space="preserve">slutande </w:t>
      </w:r>
      <w:r>
        <w:rPr>
          <w:sz w:val="22"/>
          <w:szCs w:val="22"/>
        </w:rPr>
        <w:t>stater</w:t>
      </w:r>
      <w:r w:rsidR="002A46D6">
        <w:rPr>
          <w:sz w:val="22"/>
          <w:szCs w:val="22"/>
        </w:rPr>
        <w:t xml:space="preserve"> har meddelat </w:t>
      </w:r>
      <w:r>
        <w:rPr>
          <w:sz w:val="22"/>
          <w:szCs w:val="22"/>
        </w:rPr>
        <w:t>utrikesministeriet att protokollet godkänts. Protokollets bestämmelser tillämpas på skatter som tas ut för beskattningsår som börjar den 1 januari det kalenderår som följer närmast efter det år då protokollet träder i kraft eller senare.</w:t>
      </w:r>
    </w:p>
    <w:p w:rsidR="002542CD" w:rsidRDefault="002542CD" w:rsidP="00C669F9">
      <w:pPr>
        <w:pStyle w:val="Brdtext"/>
        <w:rPr>
          <w:b/>
          <w:sz w:val="22"/>
          <w:szCs w:val="22"/>
        </w:rPr>
      </w:pPr>
    </w:p>
    <w:p w:rsidR="002542CD" w:rsidRDefault="00BB2B75" w:rsidP="00C669F9">
      <w:pPr>
        <w:pStyle w:val="Brdtext"/>
        <w:rPr>
          <w:b/>
          <w:sz w:val="22"/>
          <w:szCs w:val="22"/>
        </w:rPr>
      </w:pPr>
      <w:r>
        <w:rPr>
          <w:b/>
          <w:sz w:val="22"/>
          <w:szCs w:val="22"/>
        </w:rPr>
        <w:t>P</w:t>
      </w:r>
      <w:r w:rsidR="004100B4">
        <w:rPr>
          <w:b/>
          <w:sz w:val="22"/>
          <w:szCs w:val="22"/>
        </w:rPr>
        <w:t>rotokollets</w:t>
      </w:r>
      <w:r w:rsidR="002542CD">
        <w:rPr>
          <w:b/>
          <w:sz w:val="22"/>
          <w:szCs w:val="22"/>
        </w:rPr>
        <w:t xml:space="preserve"> </w:t>
      </w:r>
      <w:r w:rsidR="004100B4">
        <w:rPr>
          <w:b/>
          <w:sz w:val="22"/>
          <w:szCs w:val="22"/>
        </w:rPr>
        <w:t>konsekvenser för</w:t>
      </w:r>
      <w:r w:rsidR="002542CD">
        <w:rPr>
          <w:b/>
          <w:sz w:val="22"/>
          <w:szCs w:val="22"/>
        </w:rPr>
        <w:t xml:space="preserve"> Finland och Åland</w:t>
      </w:r>
    </w:p>
    <w:p w:rsidR="002542CD" w:rsidRDefault="002542CD" w:rsidP="00C669F9">
      <w:pPr>
        <w:pStyle w:val="Brdtext"/>
        <w:rPr>
          <w:b/>
          <w:sz w:val="22"/>
          <w:szCs w:val="22"/>
        </w:rPr>
      </w:pPr>
    </w:p>
    <w:p w:rsidR="009D4246" w:rsidRPr="008329DE" w:rsidRDefault="008329DE" w:rsidP="008329DE">
      <w:pPr>
        <w:pStyle w:val="Hger"/>
        <w:spacing w:line="288" w:lineRule="auto"/>
        <w:ind w:left="0"/>
        <w:jc w:val="both"/>
        <w:rPr>
          <w:sz w:val="22"/>
          <w:szCs w:val="22"/>
        </w:rPr>
      </w:pPr>
      <w:r w:rsidRPr="008329DE">
        <w:rPr>
          <w:sz w:val="22"/>
          <w:szCs w:val="22"/>
        </w:rPr>
        <w:t>Skatteavtalet me</w:t>
      </w:r>
      <w:r w:rsidR="00BC34D3">
        <w:rPr>
          <w:sz w:val="22"/>
          <w:szCs w:val="22"/>
        </w:rPr>
        <w:t>llan de nordiska länderna</w:t>
      </w:r>
      <w:r w:rsidRPr="008329DE">
        <w:rPr>
          <w:sz w:val="22"/>
          <w:szCs w:val="22"/>
        </w:rPr>
        <w:t xml:space="preserve"> innehåller bestämmelser som p</w:t>
      </w:r>
      <w:r w:rsidRPr="008329DE">
        <w:rPr>
          <w:sz w:val="22"/>
          <w:szCs w:val="22"/>
        </w:rPr>
        <w:t>å</w:t>
      </w:r>
      <w:r w:rsidRPr="008329DE">
        <w:rPr>
          <w:sz w:val="22"/>
          <w:szCs w:val="22"/>
        </w:rPr>
        <w:t>verkar beskattningsrätt inom kommunalbeskattningen, och avtalet innehå</w:t>
      </w:r>
      <w:r w:rsidRPr="008329DE">
        <w:rPr>
          <w:sz w:val="22"/>
          <w:szCs w:val="22"/>
        </w:rPr>
        <w:t>l</w:t>
      </w:r>
      <w:r w:rsidRPr="008329DE">
        <w:rPr>
          <w:sz w:val="22"/>
          <w:szCs w:val="22"/>
        </w:rPr>
        <w:t>ler därför bestämmelser som faller inom landskapets behörighet</w:t>
      </w:r>
      <w:r w:rsidR="00E47111">
        <w:rPr>
          <w:sz w:val="22"/>
          <w:szCs w:val="22"/>
        </w:rPr>
        <w:t xml:space="preserve"> genom 18 § 5 punkten i självstyrelselagen</w:t>
      </w:r>
      <w:r w:rsidRPr="008329DE">
        <w:rPr>
          <w:sz w:val="22"/>
          <w:szCs w:val="22"/>
        </w:rPr>
        <w:t xml:space="preserve">. </w:t>
      </w:r>
      <w:r w:rsidR="00BC34D3">
        <w:rPr>
          <w:sz w:val="22"/>
          <w:szCs w:val="22"/>
        </w:rPr>
        <w:t>De ändringar som genomförs genom pr</w:t>
      </w:r>
      <w:r w:rsidR="00BC34D3">
        <w:rPr>
          <w:sz w:val="22"/>
          <w:szCs w:val="22"/>
        </w:rPr>
        <w:t>o</w:t>
      </w:r>
      <w:r w:rsidR="00BC34D3">
        <w:rPr>
          <w:sz w:val="22"/>
          <w:szCs w:val="22"/>
        </w:rPr>
        <w:t>tokollet har som syfte att bekämpa skatteflykt och ändringarna genomförs som ett led i att genomföra de ändringar som utarbetats i OECD:s</w:t>
      </w:r>
      <w:r w:rsidR="003D5571">
        <w:rPr>
          <w:sz w:val="22"/>
          <w:szCs w:val="22"/>
        </w:rPr>
        <w:t xml:space="preserve"> mång</w:t>
      </w:r>
      <w:r w:rsidR="003D5571">
        <w:rPr>
          <w:sz w:val="22"/>
          <w:szCs w:val="22"/>
        </w:rPr>
        <w:t>å</w:t>
      </w:r>
      <w:r w:rsidR="003D5571">
        <w:rPr>
          <w:sz w:val="22"/>
          <w:szCs w:val="22"/>
        </w:rPr>
        <w:t>riga projekt och</w:t>
      </w:r>
      <w:r w:rsidR="00BC34D3">
        <w:rPr>
          <w:sz w:val="22"/>
          <w:szCs w:val="22"/>
        </w:rPr>
        <w:t xml:space="preserve"> utredning om skattebaserosion och vinstförflyttning (BEPS</w:t>
      </w:r>
      <w:r w:rsidR="003D5571">
        <w:rPr>
          <w:sz w:val="22"/>
          <w:szCs w:val="22"/>
        </w:rPr>
        <w:t xml:space="preserve">, </w:t>
      </w:r>
      <w:proofErr w:type="spellStart"/>
      <w:r w:rsidR="003D5571">
        <w:rPr>
          <w:sz w:val="22"/>
          <w:szCs w:val="22"/>
        </w:rPr>
        <w:t>Base</w:t>
      </w:r>
      <w:proofErr w:type="spellEnd"/>
      <w:r w:rsidR="003D5571">
        <w:rPr>
          <w:sz w:val="22"/>
          <w:szCs w:val="22"/>
        </w:rPr>
        <w:t xml:space="preserve"> Erosion and Profit </w:t>
      </w:r>
      <w:proofErr w:type="spellStart"/>
      <w:r w:rsidR="003D5571">
        <w:rPr>
          <w:sz w:val="22"/>
          <w:szCs w:val="22"/>
        </w:rPr>
        <w:t>Shifting</w:t>
      </w:r>
      <w:proofErr w:type="spellEnd"/>
      <w:r w:rsidR="00BC34D3">
        <w:rPr>
          <w:sz w:val="22"/>
          <w:szCs w:val="22"/>
        </w:rPr>
        <w:t>).</w:t>
      </w:r>
    </w:p>
    <w:p w:rsidR="009D4246" w:rsidRDefault="009D4246" w:rsidP="00C669F9">
      <w:pPr>
        <w:pStyle w:val="Brdtext"/>
        <w:rPr>
          <w:sz w:val="22"/>
          <w:szCs w:val="22"/>
        </w:rPr>
      </w:pPr>
    </w:p>
    <w:p w:rsidR="002542CD" w:rsidRDefault="00F24695" w:rsidP="00BB2B75">
      <w:pPr>
        <w:pStyle w:val="Hger"/>
        <w:spacing w:line="288" w:lineRule="auto"/>
        <w:ind w:left="0"/>
        <w:jc w:val="both"/>
        <w:rPr>
          <w:sz w:val="22"/>
          <w:szCs w:val="22"/>
        </w:rPr>
      </w:pPr>
      <w:r>
        <w:rPr>
          <w:sz w:val="22"/>
          <w:szCs w:val="22"/>
        </w:rPr>
        <w:t xml:space="preserve">Förslaget </w:t>
      </w:r>
      <w:r w:rsidR="00F005E3">
        <w:rPr>
          <w:sz w:val="22"/>
          <w:szCs w:val="22"/>
        </w:rPr>
        <w:t xml:space="preserve">bedöms av finansministeriet inte </w:t>
      </w:r>
      <w:r w:rsidR="00BC34D3">
        <w:rPr>
          <w:sz w:val="22"/>
          <w:szCs w:val="22"/>
        </w:rPr>
        <w:t>ge upphov till</w:t>
      </w:r>
      <w:r>
        <w:rPr>
          <w:sz w:val="22"/>
          <w:szCs w:val="22"/>
        </w:rPr>
        <w:t xml:space="preserve"> ekonomiska e</w:t>
      </w:r>
      <w:r>
        <w:rPr>
          <w:sz w:val="22"/>
          <w:szCs w:val="22"/>
        </w:rPr>
        <w:t>f</w:t>
      </w:r>
      <w:r>
        <w:rPr>
          <w:sz w:val="22"/>
          <w:szCs w:val="22"/>
        </w:rPr>
        <w:t>fekter</w:t>
      </w:r>
      <w:r w:rsidR="00BC34D3">
        <w:rPr>
          <w:sz w:val="22"/>
          <w:szCs w:val="22"/>
        </w:rPr>
        <w:t xml:space="preserve"> som går att förutse</w:t>
      </w:r>
      <w:r>
        <w:rPr>
          <w:sz w:val="22"/>
          <w:szCs w:val="22"/>
        </w:rPr>
        <w:t>.</w:t>
      </w:r>
      <w:r w:rsidR="00BC34D3">
        <w:rPr>
          <w:sz w:val="22"/>
          <w:szCs w:val="22"/>
        </w:rPr>
        <w:t xml:space="preserve"> Effekten av ändringarna är främst att vissa fö</w:t>
      </w:r>
      <w:r w:rsidR="00BC34D3">
        <w:rPr>
          <w:sz w:val="22"/>
          <w:szCs w:val="22"/>
        </w:rPr>
        <w:t>r</w:t>
      </w:r>
      <w:r w:rsidR="00BC34D3">
        <w:rPr>
          <w:sz w:val="22"/>
          <w:szCs w:val="22"/>
        </w:rPr>
        <w:t>måner som finns i det nu gällande dubbelbeskattningsavtal inte får tillä</w:t>
      </w:r>
      <w:r w:rsidR="00BC34D3">
        <w:rPr>
          <w:sz w:val="22"/>
          <w:szCs w:val="22"/>
        </w:rPr>
        <w:t>m</w:t>
      </w:r>
      <w:r w:rsidR="00BC34D3">
        <w:rPr>
          <w:sz w:val="22"/>
          <w:szCs w:val="22"/>
        </w:rPr>
        <w:t xml:space="preserve">pas </w:t>
      </w:r>
      <w:r w:rsidR="00BB2B75">
        <w:rPr>
          <w:sz w:val="22"/>
          <w:szCs w:val="22"/>
        </w:rPr>
        <w:t>av</w:t>
      </w:r>
      <w:r w:rsidR="00BC34D3">
        <w:rPr>
          <w:sz w:val="22"/>
          <w:szCs w:val="22"/>
        </w:rPr>
        <w:t xml:space="preserve"> skattskyldiga såvida de huvudsakliga syftena med en transaktion är att specifikt att få förmånen.</w:t>
      </w:r>
      <w:r w:rsidR="00BB2B75">
        <w:rPr>
          <w:sz w:val="22"/>
          <w:szCs w:val="22"/>
        </w:rPr>
        <w:t xml:space="preserve"> Protokollets</w:t>
      </w:r>
      <w:r w:rsidR="00BB2B75" w:rsidRPr="008329DE">
        <w:rPr>
          <w:sz w:val="22"/>
          <w:szCs w:val="22"/>
        </w:rPr>
        <w:t xml:space="preserve"> innehåll</w:t>
      </w:r>
      <w:r w:rsidR="00BB2B75">
        <w:rPr>
          <w:sz w:val="22"/>
          <w:szCs w:val="22"/>
        </w:rPr>
        <w:t xml:space="preserve"> bedöms </w:t>
      </w:r>
      <w:r w:rsidR="00BB2B75" w:rsidRPr="008329DE">
        <w:rPr>
          <w:sz w:val="22"/>
          <w:szCs w:val="22"/>
        </w:rPr>
        <w:t>inte stå i strid med självstyrelselagen eller landskapslagstiftning</w:t>
      </w:r>
      <w:r w:rsidR="00BB2B75">
        <w:rPr>
          <w:sz w:val="22"/>
          <w:szCs w:val="22"/>
        </w:rPr>
        <w:t>, och uppskattas få en b</w:t>
      </w:r>
      <w:r w:rsidR="00BB2B75">
        <w:rPr>
          <w:sz w:val="22"/>
          <w:szCs w:val="22"/>
        </w:rPr>
        <w:t>e</w:t>
      </w:r>
      <w:r w:rsidR="00BB2B75">
        <w:rPr>
          <w:sz w:val="22"/>
          <w:szCs w:val="22"/>
        </w:rPr>
        <w:t>gränsad effekt i den åländska kommunalbeskattningen.</w:t>
      </w:r>
    </w:p>
    <w:p w:rsidR="004100B4" w:rsidRDefault="004100B4" w:rsidP="00C669F9">
      <w:pPr>
        <w:pStyle w:val="Brdtext"/>
        <w:rPr>
          <w:sz w:val="22"/>
          <w:szCs w:val="22"/>
        </w:rPr>
      </w:pPr>
    </w:p>
    <w:p w:rsidR="002542CD" w:rsidRDefault="002542CD" w:rsidP="00C669F9">
      <w:pPr>
        <w:pStyle w:val="Brdtext"/>
        <w:rPr>
          <w:b/>
          <w:sz w:val="22"/>
          <w:szCs w:val="22"/>
        </w:rPr>
      </w:pPr>
      <w:r>
        <w:rPr>
          <w:b/>
          <w:sz w:val="22"/>
          <w:szCs w:val="22"/>
        </w:rPr>
        <w:t xml:space="preserve">Landskapsregeringens </w:t>
      </w:r>
      <w:r w:rsidR="004100B4">
        <w:rPr>
          <w:b/>
          <w:sz w:val="22"/>
          <w:szCs w:val="22"/>
        </w:rPr>
        <w:t>bedömning</w:t>
      </w:r>
    </w:p>
    <w:p w:rsidR="002D3C8E" w:rsidRDefault="002D3C8E" w:rsidP="00C669F9">
      <w:pPr>
        <w:pStyle w:val="Brdtext"/>
        <w:rPr>
          <w:b/>
          <w:sz w:val="22"/>
          <w:szCs w:val="22"/>
        </w:rPr>
      </w:pPr>
    </w:p>
    <w:p w:rsidR="00134462" w:rsidRPr="00D61064" w:rsidRDefault="004100B4" w:rsidP="00C669F9">
      <w:pPr>
        <w:pStyle w:val="Brdtext"/>
        <w:rPr>
          <w:sz w:val="22"/>
          <w:szCs w:val="22"/>
        </w:rPr>
      </w:pPr>
      <w:r>
        <w:rPr>
          <w:sz w:val="22"/>
          <w:szCs w:val="22"/>
        </w:rPr>
        <w:t xml:space="preserve">Landskapsregeringen </w:t>
      </w:r>
      <w:r w:rsidR="00D61064">
        <w:rPr>
          <w:sz w:val="22"/>
          <w:szCs w:val="22"/>
        </w:rPr>
        <w:t>förordar att lagtinget ger sitt bifall till propositionen om godkännande</w:t>
      </w:r>
      <w:r w:rsidR="00DD789C">
        <w:rPr>
          <w:sz w:val="22"/>
          <w:szCs w:val="22"/>
        </w:rPr>
        <w:t xml:space="preserve"> och sättande i kraft av protokollet</w:t>
      </w:r>
      <w:r w:rsidR="00BB2B75">
        <w:rPr>
          <w:sz w:val="22"/>
          <w:szCs w:val="22"/>
        </w:rPr>
        <w:t xml:space="preserve"> om ändring av avtalet mellan de nordiska länderna för att undvika</w:t>
      </w:r>
      <w:r w:rsidR="00D61064">
        <w:rPr>
          <w:sz w:val="22"/>
          <w:szCs w:val="22"/>
        </w:rPr>
        <w:t xml:space="preserve"> dubbelbeskattning</w:t>
      </w:r>
      <w:r w:rsidR="00DD789C">
        <w:rPr>
          <w:sz w:val="22"/>
          <w:szCs w:val="22"/>
        </w:rPr>
        <w:t xml:space="preserve"> beträffande skatter på inkomst och </w:t>
      </w:r>
      <w:r w:rsidR="00BB2B75">
        <w:rPr>
          <w:sz w:val="22"/>
          <w:szCs w:val="22"/>
        </w:rPr>
        <w:t>på förmögenhet</w:t>
      </w:r>
      <w:r w:rsidR="00237F5A">
        <w:rPr>
          <w:sz w:val="22"/>
          <w:szCs w:val="22"/>
        </w:rPr>
        <w:t>.</w:t>
      </w:r>
    </w:p>
    <w:p w:rsidR="009D4246" w:rsidRDefault="009D4246" w:rsidP="00C669F9">
      <w:pPr>
        <w:pStyle w:val="Brdtext"/>
        <w:rPr>
          <w:b/>
          <w:sz w:val="22"/>
          <w:szCs w:val="22"/>
        </w:rPr>
      </w:pPr>
    </w:p>
    <w:p w:rsidR="00134462" w:rsidRPr="00404226" w:rsidRDefault="00134462" w:rsidP="00C669F9">
      <w:pPr>
        <w:pStyle w:val="Brdtext"/>
        <w:rPr>
          <w:sz w:val="22"/>
          <w:szCs w:val="22"/>
        </w:rPr>
      </w:pPr>
    </w:p>
    <w:p w:rsidR="008B496A" w:rsidRPr="008C148A" w:rsidRDefault="008B496A">
      <w:pPr>
        <w:pStyle w:val="ANormal"/>
        <w:rPr>
          <w:sz w:val="20"/>
        </w:rPr>
      </w:pPr>
    </w:p>
    <w:p w:rsidR="008B496A" w:rsidRPr="008C148A" w:rsidRDefault="008B496A">
      <w:pPr>
        <w:pStyle w:val="ANormal"/>
        <w:rPr>
          <w:sz w:val="20"/>
        </w:rPr>
      </w:pPr>
    </w:p>
    <w:tbl>
      <w:tblPr>
        <w:tblW w:w="7931" w:type="dxa"/>
        <w:tblInd w:w="8" w:type="dxa"/>
        <w:tblCellMar>
          <w:left w:w="0" w:type="dxa"/>
          <w:right w:w="0" w:type="dxa"/>
        </w:tblCellMar>
        <w:tblLook w:val="0000" w:firstRow="0" w:lastRow="0" w:firstColumn="0" w:lastColumn="0" w:noHBand="0" w:noVBand="0"/>
      </w:tblPr>
      <w:tblGrid>
        <w:gridCol w:w="4454"/>
        <w:gridCol w:w="3477"/>
      </w:tblGrid>
      <w:tr w:rsidR="008B496A">
        <w:trPr>
          <w:cantSplit/>
        </w:trPr>
        <w:tc>
          <w:tcPr>
            <w:tcW w:w="7931" w:type="dxa"/>
            <w:gridSpan w:val="2"/>
          </w:tcPr>
          <w:p w:rsidR="008B496A" w:rsidRDefault="008B496A" w:rsidP="002542CD">
            <w:pPr>
              <w:pStyle w:val="ANormal"/>
              <w:keepNext/>
            </w:pPr>
            <w:r>
              <w:t xml:space="preserve">Mariehamn den </w:t>
            </w:r>
            <w:r w:rsidR="00BC34D3">
              <w:t>8</w:t>
            </w:r>
            <w:r>
              <w:t xml:space="preserve"> </w:t>
            </w:r>
            <w:r w:rsidR="00D561FD">
              <w:t>november</w:t>
            </w:r>
            <w:r>
              <w:t xml:space="preserve"> 201</w:t>
            </w:r>
            <w:r w:rsidR="00D561FD">
              <w:t>8</w:t>
            </w:r>
          </w:p>
        </w:tc>
      </w:tr>
      <w:tr w:rsidR="008B496A">
        <w:tc>
          <w:tcPr>
            <w:tcW w:w="4454" w:type="dxa"/>
            <w:vAlign w:val="bottom"/>
          </w:tcPr>
          <w:p w:rsidR="008B496A" w:rsidRDefault="008B496A">
            <w:pPr>
              <w:pStyle w:val="ANormal"/>
              <w:keepNext/>
            </w:pPr>
          </w:p>
          <w:p w:rsidR="008B496A" w:rsidRDefault="008B496A">
            <w:pPr>
              <w:pStyle w:val="ANormal"/>
              <w:keepNext/>
            </w:pPr>
          </w:p>
          <w:p w:rsidR="00D561FD" w:rsidRDefault="00D561FD" w:rsidP="002542CD">
            <w:pPr>
              <w:pStyle w:val="ANormal"/>
              <w:keepNext/>
            </w:pPr>
          </w:p>
          <w:p w:rsidR="00D561FD" w:rsidRDefault="00D561FD" w:rsidP="002542CD">
            <w:pPr>
              <w:pStyle w:val="ANormal"/>
              <w:keepNext/>
            </w:pPr>
          </w:p>
          <w:p w:rsidR="008B496A" w:rsidRDefault="00926C12" w:rsidP="002542CD">
            <w:pPr>
              <w:pStyle w:val="ANormal"/>
              <w:keepNext/>
            </w:pPr>
            <w:proofErr w:type="spellStart"/>
            <w:r>
              <w:t>Vicelantråd</w:t>
            </w:r>
            <w:proofErr w:type="spellEnd"/>
            <w:r w:rsidR="00807F6D">
              <w:t xml:space="preserve">                                 </w:t>
            </w:r>
            <w:r>
              <w:t>Camilla Gunell</w:t>
            </w:r>
          </w:p>
        </w:tc>
        <w:tc>
          <w:tcPr>
            <w:tcW w:w="3477" w:type="dxa"/>
            <w:vAlign w:val="bottom"/>
          </w:tcPr>
          <w:p w:rsidR="008B496A" w:rsidRDefault="008B496A">
            <w:pPr>
              <w:pStyle w:val="ANormal"/>
              <w:keepNext/>
            </w:pPr>
          </w:p>
          <w:p w:rsidR="008B496A" w:rsidRDefault="008B496A">
            <w:pPr>
              <w:pStyle w:val="ANormal"/>
              <w:keepNext/>
            </w:pPr>
          </w:p>
        </w:tc>
      </w:tr>
      <w:tr w:rsidR="008B496A">
        <w:tc>
          <w:tcPr>
            <w:tcW w:w="4454" w:type="dxa"/>
            <w:vAlign w:val="bottom"/>
          </w:tcPr>
          <w:p w:rsidR="008B496A" w:rsidRDefault="008B496A">
            <w:pPr>
              <w:pStyle w:val="ANormal"/>
              <w:keepNext/>
            </w:pPr>
          </w:p>
          <w:p w:rsidR="008B496A" w:rsidRDefault="008B496A">
            <w:pPr>
              <w:pStyle w:val="ANormal"/>
              <w:keepNext/>
            </w:pPr>
          </w:p>
          <w:p w:rsidR="00807F6D" w:rsidRDefault="00807F6D">
            <w:pPr>
              <w:pStyle w:val="ANormal"/>
              <w:keepNext/>
            </w:pPr>
          </w:p>
          <w:p w:rsidR="00807F6D" w:rsidRDefault="00807F6D">
            <w:pPr>
              <w:pStyle w:val="ANormal"/>
              <w:keepNext/>
            </w:pPr>
          </w:p>
          <w:p w:rsidR="008B496A" w:rsidRDefault="00AE67F9" w:rsidP="002542CD">
            <w:pPr>
              <w:pStyle w:val="ANormal"/>
              <w:keepNext/>
            </w:pPr>
            <w:r>
              <w:t>Minister</w:t>
            </w:r>
            <w:r w:rsidR="00807F6D">
              <w:t xml:space="preserve">                                      M</w:t>
            </w:r>
            <w:r w:rsidR="00BD64A3">
              <w:t>ika Nordberg</w:t>
            </w:r>
          </w:p>
        </w:tc>
        <w:tc>
          <w:tcPr>
            <w:tcW w:w="3477" w:type="dxa"/>
            <w:vAlign w:val="bottom"/>
          </w:tcPr>
          <w:p w:rsidR="008B496A" w:rsidRDefault="008B496A">
            <w:pPr>
              <w:pStyle w:val="ANormal"/>
              <w:keepNext/>
            </w:pPr>
          </w:p>
          <w:p w:rsidR="008B496A" w:rsidRDefault="008B496A">
            <w:pPr>
              <w:pStyle w:val="ANormal"/>
              <w:keepNext/>
            </w:pPr>
          </w:p>
          <w:p w:rsidR="008B496A" w:rsidRDefault="008B496A">
            <w:pPr>
              <w:pStyle w:val="ANormal"/>
              <w:keepNext/>
            </w:pPr>
          </w:p>
        </w:tc>
      </w:tr>
    </w:tbl>
    <w:p w:rsidR="008B496A" w:rsidRDefault="008B496A">
      <w:pPr>
        <w:pStyle w:val="ANormal"/>
      </w:pPr>
    </w:p>
    <w:sectPr w:rsidR="008B496A">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D1" w:rsidRDefault="00FA39D1">
      <w:r>
        <w:separator/>
      </w:r>
    </w:p>
  </w:endnote>
  <w:endnote w:type="continuationSeparator" w:id="0">
    <w:p w:rsidR="00FA39D1" w:rsidRDefault="00FA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F7" w:rsidRDefault="00627F16">
    <w:pPr>
      <w:pStyle w:val="Sidfot"/>
    </w:pPr>
    <w:r>
      <w:rPr>
        <w:noProof/>
      </w:rPr>
      <w:fldChar w:fldCharType="begin"/>
    </w:r>
    <w:r>
      <w:rPr>
        <w:noProof/>
      </w:rPr>
      <w:instrText xml:space="preserve"> FILENAME   \* MERGEFORMAT </w:instrText>
    </w:r>
    <w:r>
      <w:rPr>
        <w:noProof/>
      </w:rPr>
      <w:fldChar w:fldCharType="separate"/>
    </w:r>
    <w:r w:rsidR="00923D12">
      <w:rPr>
        <w:noProof/>
      </w:rPr>
      <w:t>RP0220182019-s.docx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D1" w:rsidRDefault="00FA39D1">
      <w:r>
        <w:separator/>
      </w:r>
    </w:p>
  </w:footnote>
  <w:footnote w:type="continuationSeparator" w:id="0">
    <w:p w:rsidR="00FA39D1" w:rsidRDefault="00FA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23D12">
      <w:rPr>
        <w:rStyle w:val="Sidnummer"/>
        <w:noProof/>
      </w:rPr>
      <w:t>2</w:t>
    </w:r>
    <w:r>
      <w:rPr>
        <w:rStyle w:val="Sidnummer"/>
      </w:rPr>
      <w:fldChar w:fldCharType="end"/>
    </w:r>
  </w:p>
  <w:p w:rsidR="00807F6D" w:rsidRDefault="00807F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23D12">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1E"/>
    <w:rsid w:val="00066D2D"/>
    <w:rsid w:val="000C7D57"/>
    <w:rsid w:val="000F1746"/>
    <w:rsid w:val="00134462"/>
    <w:rsid w:val="00140E9C"/>
    <w:rsid w:val="00176B89"/>
    <w:rsid w:val="001847A5"/>
    <w:rsid w:val="001B4113"/>
    <w:rsid w:val="00237F5A"/>
    <w:rsid w:val="002542CD"/>
    <w:rsid w:val="00270852"/>
    <w:rsid w:val="002757C9"/>
    <w:rsid w:val="002A46D6"/>
    <w:rsid w:val="002A76A0"/>
    <w:rsid w:val="002D3C8E"/>
    <w:rsid w:val="002E0B6B"/>
    <w:rsid w:val="00347B66"/>
    <w:rsid w:val="003655F7"/>
    <w:rsid w:val="003D5571"/>
    <w:rsid w:val="003E0A7B"/>
    <w:rsid w:val="003F501D"/>
    <w:rsid w:val="00404226"/>
    <w:rsid w:val="004100B4"/>
    <w:rsid w:val="00416B38"/>
    <w:rsid w:val="004677E0"/>
    <w:rsid w:val="00477A85"/>
    <w:rsid w:val="004C15E6"/>
    <w:rsid w:val="004D4DD9"/>
    <w:rsid w:val="00580C28"/>
    <w:rsid w:val="005862EC"/>
    <w:rsid w:val="00586FCA"/>
    <w:rsid w:val="005E5F35"/>
    <w:rsid w:val="00627F16"/>
    <w:rsid w:val="00654B04"/>
    <w:rsid w:val="00693DE9"/>
    <w:rsid w:val="006A0F3C"/>
    <w:rsid w:val="006B50A4"/>
    <w:rsid w:val="006F755A"/>
    <w:rsid w:val="0070149C"/>
    <w:rsid w:val="007344F6"/>
    <w:rsid w:val="0077263C"/>
    <w:rsid w:val="00780630"/>
    <w:rsid w:val="00806099"/>
    <w:rsid w:val="00807F6D"/>
    <w:rsid w:val="00826F01"/>
    <w:rsid w:val="008329DE"/>
    <w:rsid w:val="008405B8"/>
    <w:rsid w:val="008B496A"/>
    <w:rsid w:val="008C148A"/>
    <w:rsid w:val="008C5AF1"/>
    <w:rsid w:val="008F09B1"/>
    <w:rsid w:val="00921D85"/>
    <w:rsid w:val="00923D12"/>
    <w:rsid w:val="00926C12"/>
    <w:rsid w:val="00952768"/>
    <w:rsid w:val="009D2195"/>
    <w:rsid w:val="009D4246"/>
    <w:rsid w:val="009E009E"/>
    <w:rsid w:val="00A43117"/>
    <w:rsid w:val="00A43D44"/>
    <w:rsid w:val="00A757B5"/>
    <w:rsid w:val="00AC0AF2"/>
    <w:rsid w:val="00AE67F9"/>
    <w:rsid w:val="00B0241E"/>
    <w:rsid w:val="00B57CE8"/>
    <w:rsid w:val="00BB2B75"/>
    <w:rsid w:val="00BC34D3"/>
    <w:rsid w:val="00BD0D5F"/>
    <w:rsid w:val="00BD64A3"/>
    <w:rsid w:val="00BF491B"/>
    <w:rsid w:val="00C47AC6"/>
    <w:rsid w:val="00C669F9"/>
    <w:rsid w:val="00C979E6"/>
    <w:rsid w:val="00CF5571"/>
    <w:rsid w:val="00D561FD"/>
    <w:rsid w:val="00D61064"/>
    <w:rsid w:val="00D6321E"/>
    <w:rsid w:val="00D87486"/>
    <w:rsid w:val="00D92542"/>
    <w:rsid w:val="00D93FD6"/>
    <w:rsid w:val="00DA3B20"/>
    <w:rsid w:val="00DC0CD8"/>
    <w:rsid w:val="00DD789C"/>
    <w:rsid w:val="00E13A5A"/>
    <w:rsid w:val="00E33B3C"/>
    <w:rsid w:val="00E44BD9"/>
    <w:rsid w:val="00E47111"/>
    <w:rsid w:val="00E54408"/>
    <w:rsid w:val="00E63912"/>
    <w:rsid w:val="00E66E5D"/>
    <w:rsid w:val="00EA0517"/>
    <w:rsid w:val="00EA4E92"/>
    <w:rsid w:val="00ED2CBB"/>
    <w:rsid w:val="00ED5A12"/>
    <w:rsid w:val="00F005E3"/>
    <w:rsid w:val="00F02EF6"/>
    <w:rsid w:val="00F05CDF"/>
    <w:rsid w:val="00F24505"/>
    <w:rsid w:val="00F24695"/>
    <w:rsid w:val="00F5580B"/>
    <w:rsid w:val="00F76D23"/>
    <w:rsid w:val="00F92C80"/>
    <w:rsid w:val="00FA39D1"/>
    <w:rsid w:val="00FB4689"/>
    <w:rsid w:val="00FC57AC"/>
    <w:rsid w:val="00FF13C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D93FD6"/>
    <w:pPr>
      <w:tabs>
        <w:tab w:val="left" w:pos="2552"/>
        <w:tab w:val="left" w:pos="5670"/>
      </w:tabs>
      <w:ind w:left="2552"/>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D93FD6"/>
    <w:pPr>
      <w:tabs>
        <w:tab w:val="left" w:pos="2552"/>
        <w:tab w:val="left" w:pos="5670"/>
      </w:tabs>
      <w:ind w:left="255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02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WP51DOK\MALLAR\CENTRAL\LS-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LS-Svar på spörsmål.dot</Template>
  <TotalTime>1</TotalTime>
  <Pages>3</Pages>
  <Words>633</Words>
  <Characters>4161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Svar på spörsmål nr x/2002-2003</vt:lpstr>
    </vt:vector>
  </TitlesOfParts>
  <Company>Ålands landsskapsstyrelse</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x/2002-2003</dc:title>
  <dc:creator>Ålands landskapsstyrelse</dc:creator>
  <cp:lastModifiedBy>Jessica Laaksonen</cp:lastModifiedBy>
  <cp:revision>3</cp:revision>
  <cp:lastPrinted>2018-11-09T07:02:00Z</cp:lastPrinted>
  <dcterms:created xsi:type="dcterms:W3CDTF">2018-11-09T07:02:00Z</dcterms:created>
  <dcterms:modified xsi:type="dcterms:W3CDTF">2018-11-09T07:03:00Z</dcterms:modified>
</cp:coreProperties>
</file>