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5F4451">
        <w:trPr>
          <w:cantSplit/>
          <w:trHeight w:val="20"/>
        </w:trPr>
        <w:tc>
          <w:tcPr>
            <w:tcW w:w="861" w:type="dxa"/>
            <w:vMerge w:val="restart"/>
          </w:tcPr>
          <w:p w:rsidR="005F4451" w:rsidRDefault="00FA0DF8">
            <w:pPr>
              <w:pStyle w:val="xLedtext"/>
              <w:rPr>
                <w:noProof/>
              </w:rPr>
            </w:pPr>
            <w:bookmarkStart w:id="0" w:name="_top"/>
            <w:bookmarkEnd w:id="0"/>
            <w:r>
              <w:rPr>
                <w:noProof/>
                <w:lang w:val="sv-FI" w:eastAsia="sv-FI"/>
              </w:rPr>
              <w:drawing>
                <wp:inline distT="0" distB="0" distL="0" distR="0">
                  <wp:extent cx="476885" cy="684530"/>
                  <wp:effectExtent l="0" t="0" r="0" b="127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85" cy="684530"/>
                          </a:xfrm>
                          <a:prstGeom prst="rect">
                            <a:avLst/>
                          </a:prstGeom>
                          <a:noFill/>
                          <a:ln>
                            <a:noFill/>
                          </a:ln>
                        </pic:spPr>
                      </pic:pic>
                    </a:graphicData>
                  </a:graphic>
                </wp:inline>
              </w:drawing>
            </w:r>
          </w:p>
        </w:tc>
        <w:tc>
          <w:tcPr>
            <w:tcW w:w="8736" w:type="dxa"/>
            <w:gridSpan w:val="3"/>
            <w:vAlign w:val="bottom"/>
          </w:tcPr>
          <w:p w:rsidR="005F4451" w:rsidRDefault="00FA0DF8">
            <w:pPr>
              <w:pStyle w:val="xMellanrum"/>
            </w:pPr>
            <w:r>
              <w:rPr>
                <w:noProof/>
                <w:lang w:val="sv-FI" w:eastAsia="sv-FI"/>
              </w:rPr>
              <w:drawing>
                <wp:inline distT="0" distB="0" distL="0" distR="0">
                  <wp:extent cx="45085" cy="4508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inline>
              </w:drawing>
            </w:r>
          </w:p>
        </w:tc>
      </w:tr>
      <w:tr w:rsidR="005F4451">
        <w:trPr>
          <w:cantSplit/>
          <w:trHeight w:val="299"/>
        </w:trPr>
        <w:tc>
          <w:tcPr>
            <w:tcW w:w="861" w:type="dxa"/>
            <w:vMerge/>
          </w:tcPr>
          <w:p w:rsidR="005F4451" w:rsidRDefault="005F4451">
            <w:pPr>
              <w:pStyle w:val="xLedtext"/>
            </w:pPr>
          </w:p>
        </w:tc>
        <w:tc>
          <w:tcPr>
            <w:tcW w:w="4448" w:type="dxa"/>
            <w:vAlign w:val="bottom"/>
          </w:tcPr>
          <w:p w:rsidR="005F4451" w:rsidRDefault="005F4451">
            <w:pPr>
              <w:pStyle w:val="xAvsandare1"/>
            </w:pPr>
            <w:r>
              <w:t>Ålands lagting</w:t>
            </w:r>
          </w:p>
        </w:tc>
        <w:tc>
          <w:tcPr>
            <w:tcW w:w="4288" w:type="dxa"/>
            <w:gridSpan w:val="2"/>
            <w:vAlign w:val="bottom"/>
          </w:tcPr>
          <w:p w:rsidR="005F4451" w:rsidRDefault="00145EBD" w:rsidP="00CA59EA">
            <w:pPr>
              <w:pStyle w:val="xDokTypNr"/>
            </w:pPr>
            <w:r>
              <w:t>ÅTGÄRDS</w:t>
            </w:r>
            <w:r w:rsidR="005F4451">
              <w:t xml:space="preserve">MOTION nr </w:t>
            </w:r>
            <w:r w:rsidR="00FA0DF8">
              <w:t>8</w:t>
            </w:r>
            <w:r w:rsidR="005F4451">
              <w:t>/201</w:t>
            </w:r>
            <w:r w:rsidR="00CA59EA">
              <w:t>8</w:t>
            </w:r>
            <w:r w:rsidR="005F4451">
              <w:t>-201</w:t>
            </w:r>
            <w:r w:rsidR="00CA59EA">
              <w:t>9</w:t>
            </w:r>
          </w:p>
        </w:tc>
      </w:tr>
      <w:tr w:rsidR="005F4451">
        <w:trPr>
          <w:cantSplit/>
          <w:trHeight w:val="238"/>
        </w:trPr>
        <w:tc>
          <w:tcPr>
            <w:tcW w:w="861" w:type="dxa"/>
            <w:vMerge/>
          </w:tcPr>
          <w:p w:rsidR="005F4451" w:rsidRDefault="005F4451">
            <w:pPr>
              <w:pStyle w:val="xLedtext"/>
            </w:pPr>
          </w:p>
        </w:tc>
        <w:tc>
          <w:tcPr>
            <w:tcW w:w="4448" w:type="dxa"/>
            <w:vAlign w:val="bottom"/>
          </w:tcPr>
          <w:p w:rsidR="005F4451" w:rsidRDefault="005F4451">
            <w:pPr>
              <w:pStyle w:val="xLedtext"/>
            </w:pPr>
            <w:r>
              <w:t>Vicetalman</w:t>
            </w:r>
          </w:p>
        </w:tc>
        <w:tc>
          <w:tcPr>
            <w:tcW w:w="1725" w:type="dxa"/>
            <w:vAlign w:val="bottom"/>
          </w:tcPr>
          <w:p w:rsidR="005F4451" w:rsidRDefault="005F4451">
            <w:pPr>
              <w:pStyle w:val="xLedtext"/>
            </w:pPr>
            <w:r>
              <w:t>Datum</w:t>
            </w:r>
          </w:p>
        </w:tc>
        <w:tc>
          <w:tcPr>
            <w:tcW w:w="2563" w:type="dxa"/>
            <w:vAlign w:val="bottom"/>
          </w:tcPr>
          <w:p w:rsidR="005F4451" w:rsidRDefault="005F4451">
            <w:pPr>
              <w:pStyle w:val="xLedtext"/>
            </w:pPr>
          </w:p>
        </w:tc>
      </w:tr>
      <w:tr w:rsidR="005F4451">
        <w:trPr>
          <w:cantSplit/>
          <w:trHeight w:val="238"/>
        </w:trPr>
        <w:tc>
          <w:tcPr>
            <w:tcW w:w="861" w:type="dxa"/>
            <w:vMerge/>
          </w:tcPr>
          <w:p w:rsidR="005F4451" w:rsidRDefault="005F4451">
            <w:pPr>
              <w:pStyle w:val="xAvsandare2"/>
            </w:pPr>
          </w:p>
        </w:tc>
        <w:tc>
          <w:tcPr>
            <w:tcW w:w="4448" w:type="dxa"/>
            <w:vAlign w:val="center"/>
          </w:tcPr>
          <w:p w:rsidR="005F4451" w:rsidRDefault="005F4451">
            <w:pPr>
              <w:pStyle w:val="xAvsandare2"/>
            </w:pPr>
            <w:r>
              <w:t xml:space="preserve"> </w:t>
            </w:r>
            <w:r w:rsidR="003E54D9">
              <w:t xml:space="preserve">Viveka Eriksson </w:t>
            </w:r>
            <w:r>
              <w:t>m.fl.</w:t>
            </w:r>
          </w:p>
        </w:tc>
        <w:tc>
          <w:tcPr>
            <w:tcW w:w="1725" w:type="dxa"/>
            <w:vAlign w:val="center"/>
          </w:tcPr>
          <w:p w:rsidR="005F4451" w:rsidRDefault="005F4451" w:rsidP="00145EBD">
            <w:pPr>
              <w:pStyle w:val="xDatum1"/>
            </w:pPr>
            <w:r>
              <w:t>20</w:t>
            </w:r>
            <w:r w:rsidR="00145EBD">
              <w:t>1</w:t>
            </w:r>
            <w:r w:rsidR="00FA0DF8">
              <w:t>9-05-29</w:t>
            </w:r>
          </w:p>
        </w:tc>
        <w:tc>
          <w:tcPr>
            <w:tcW w:w="2563" w:type="dxa"/>
            <w:vAlign w:val="center"/>
          </w:tcPr>
          <w:p w:rsidR="005F4451" w:rsidRDefault="005F4451">
            <w:pPr>
              <w:pStyle w:val="xBeteckning1"/>
            </w:pPr>
          </w:p>
        </w:tc>
      </w:tr>
      <w:tr w:rsidR="005F4451">
        <w:trPr>
          <w:cantSplit/>
          <w:trHeight w:val="238"/>
        </w:trPr>
        <w:tc>
          <w:tcPr>
            <w:tcW w:w="861" w:type="dxa"/>
            <w:vMerge/>
          </w:tcPr>
          <w:p w:rsidR="005F4451" w:rsidRDefault="005F4451">
            <w:pPr>
              <w:pStyle w:val="xLedtext"/>
            </w:pPr>
          </w:p>
        </w:tc>
        <w:tc>
          <w:tcPr>
            <w:tcW w:w="4448" w:type="dxa"/>
            <w:vAlign w:val="bottom"/>
          </w:tcPr>
          <w:p w:rsidR="005F4451" w:rsidRDefault="005F4451">
            <w:pPr>
              <w:pStyle w:val="xLedtext"/>
            </w:pPr>
          </w:p>
        </w:tc>
        <w:tc>
          <w:tcPr>
            <w:tcW w:w="1725" w:type="dxa"/>
            <w:vAlign w:val="bottom"/>
          </w:tcPr>
          <w:p w:rsidR="005F4451" w:rsidRDefault="005F4451">
            <w:pPr>
              <w:pStyle w:val="xLedtext"/>
            </w:pPr>
          </w:p>
        </w:tc>
        <w:tc>
          <w:tcPr>
            <w:tcW w:w="2563" w:type="dxa"/>
            <w:vAlign w:val="bottom"/>
          </w:tcPr>
          <w:p w:rsidR="005F4451" w:rsidRDefault="005F4451">
            <w:pPr>
              <w:pStyle w:val="xLedtext"/>
            </w:pPr>
          </w:p>
        </w:tc>
      </w:tr>
      <w:tr w:rsidR="005F4451">
        <w:trPr>
          <w:cantSplit/>
          <w:trHeight w:val="238"/>
        </w:trPr>
        <w:tc>
          <w:tcPr>
            <w:tcW w:w="861" w:type="dxa"/>
            <w:vMerge/>
            <w:tcBorders>
              <w:bottom w:val="single" w:sz="4" w:space="0" w:color="auto"/>
            </w:tcBorders>
          </w:tcPr>
          <w:p w:rsidR="005F4451" w:rsidRDefault="005F4451">
            <w:pPr>
              <w:pStyle w:val="xAvsandare3"/>
            </w:pPr>
          </w:p>
        </w:tc>
        <w:tc>
          <w:tcPr>
            <w:tcW w:w="4448" w:type="dxa"/>
            <w:tcBorders>
              <w:bottom w:val="single" w:sz="4" w:space="0" w:color="auto"/>
            </w:tcBorders>
            <w:vAlign w:val="center"/>
          </w:tcPr>
          <w:p w:rsidR="005F4451" w:rsidRDefault="005F4451">
            <w:pPr>
              <w:pStyle w:val="xAvsandare3"/>
            </w:pPr>
          </w:p>
        </w:tc>
        <w:tc>
          <w:tcPr>
            <w:tcW w:w="1725" w:type="dxa"/>
            <w:tcBorders>
              <w:bottom w:val="single" w:sz="4" w:space="0" w:color="auto"/>
            </w:tcBorders>
            <w:vAlign w:val="center"/>
          </w:tcPr>
          <w:p w:rsidR="005F4451" w:rsidRDefault="005F4451">
            <w:pPr>
              <w:pStyle w:val="xDatum2"/>
            </w:pPr>
          </w:p>
        </w:tc>
        <w:tc>
          <w:tcPr>
            <w:tcW w:w="2563" w:type="dxa"/>
            <w:tcBorders>
              <w:bottom w:val="single" w:sz="4" w:space="0" w:color="auto"/>
            </w:tcBorders>
            <w:vAlign w:val="center"/>
          </w:tcPr>
          <w:p w:rsidR="005F4451" w:rsidRDefault="005F4451">
            <w:pPr>
              <w:pStyle w:val="xBeteckning2"/>
            </w:pPr>
          </w:p>
        </w:tc>
      </w:tr>
      <w:tr w:rsidR="005F4451">
        <w:trPr>
          <w:cantSplit/>
          <w:trHeight w:val="238"/>
        </w:trPr>
        <w:tc>
          <w:tcPr>
            <w:tcW w:w="861" w:type="dxa"/>
            <w:tcBorders>
              <w:top w:val="single" w:sz="4" w:space="0" w:color="auto"/>
            </w:tcBorders>
            <w:vAlign w:val="bottom"/>
          </w:tcPr>
          <w:p w:rsidR="005F4451" w:rsidRDefault="005F4451">
            <w:pPr>
              <w:pStyle w:val="xLedtext"/>
            </w:pPr>
          </w:p>
        </w:tc>
        <w:tc>
          <w:tcPr>
            <w:tcW w:w="4448" w:type="dxa"/>
            <w:tcBorders>
              <w:top w:val="single" w:sz="4" w:space="0" w:color="auto"/>
            </w:tcBorders>
            <w:vAlign w:val="bottom"/>
          </w:tcPr>
          <w:p w:rsidR="005F4451" w:rsidRDefault="005F4451">
            <w:pPr>
              <w:pStyle w:val="xLedtext"/>
            </w:pPr>
          </w:p>
        </w:tc>
        <w:tc>
          <w:tcPr>
            <w:tcW w:w="4288" w:type="dxa"/>
            <w:gridSpan w:val="2"/>
            <w:tcBorders>
              <w:top w:val="single" w:sz="4" w:space="0" w:color="auto"/>
            </w:tcBorders>
            <w:vAlign w:val="bottom"/>
          </w:tcPr>
          <w:p w:rsidR="005F4451" w:rsidRDefault="005F4451">
            <w:pPr>
              <w:pStyle w:val="xLedtext"/>
            </w:pPr>
          </w:p>
        </w:tc>
      </w:tr>
      <w:tr w:rsidR="005F4451">
        <w:trPr>
          <w:cantSplit/>
          <w:trHeight w:val="238"/>
        </w:trPr>
        <w:tc>
          <w:tcPr>
            <w:tcW w:w="861" w:type="dxa"/>
          </w:tcPr>
          <w:p w:rsidR="005F4451" w:rsidRDefault="005F4451">
            <w:pPr>
              <w:pStyle w:val="xCelltext"/>
            </w:pPr>
          </w:p>
        </w:tc>
        <w:tc>
          <w:tcPr>
            <w:tcW w:w="4448" w:type="dxa"/>
            <w:vMerge w:val="restart"/>
          </w:tcPr>
          <w:p w:rsidR="005F4451" w:rsidRDefault="005F4451">
            <w:pPr>
              <w:pStyle w:val="xMottagare1"/>
            </w:pPr>
            <w:r>
              <w:t>Till Ålands lagting</w:t>
            </w:r>
          </w:p>
        </w:tc>
        <w:tc>
          <w:tcPr>
            <w:tcW w:w="4288" w:type="dxa"/>
            <w:gridSpan w:val="2"/>
            <w:vMerge w:val="restart"/>
          </w:tcPr>
          <w:p w:rsidR="005F4451" w:rsidRDefault="005F4451">
            <w:pPr>
              <w:pStyle w:val="xMottagare1"/>
              <w:tabs>
                <w:tab w:val="left" w:pos="2349"/>
              </w:tabs>
            </w:pPr>
          </w:p>
        </w:tc>
      </w:tr>
      <w:tr w:rsidR="005F4451">
        <w:trPr>
          <w:cantSplit/>
          <w:trHeight w:val="238"/>
        </w:trPr>
        <w:tc>
          <w:tcPr>
            <w:tcW w:w="861" w:type="dxa"/>
          </w:tcPr>
          <w:p w:rsidR="005F4451" w:rsidRDefault="005F4451">
            <w:pPr>
              <w:pStyle w:val="xCelltext"/>
            </w:pPr>
          </w:p>
        </w:tc>
        <w:tc>
          <w:tcPr>
            <w:tcW w:w="4448" w:type="dxa"/>
            <w:vMerge/>
            <w:vAlign w:val="center"/>
          </w:tcPr>
          <w:p w:rsidR="005F4451" w:rsidRDefault="005F4451">
            <w:pPr>
              <w:pStyle w:val="xCelltext"/>
            </w:pPr>
          </w:p>
        </w:tc>
        <w:tc>
          <w:tcPr>
            <w:tcW w:w="4288" w:type="dxa"/>
            <w:gridSpan w:val="2"/>
            <w:vMerge/>
            <w:vAlign w:val="center"/>
          </w:tcPr>
          <w:p w:rsidR="005F4451" w:rsidRDefault="005F4451">
            <w:pPr>
              <w:pStyle w:val="xCelltext"/>
            </w:pPr>
          </w:p>
        </w:tc>
      </w:tr>
      <w:tr w:rsidR="005F4451">
        <w:trPr>
          <w:cantSplit/>
          <w:trHeight w:val="238"/>
        </w:trPr>
        <w:tc>
          <w:tcPr>
            <w:tcW w:w="861" w:type="dxa"/>
          </w:tcPr>
          <w:p w:rsidR="005F4451" w:rsidRDefault="005F4451">
            <w:pPr>
              <w:pStyle w:val="xCelltext"/>
            </w:pPr>
          </w:p>
        </w:tc>
        <w:tc>
          <w:tcPr>
            <w:tcW w:w="4448" w:type="dxa"/>
            <w:vMerge/>
            <w:vAlign w:val="center"/>
          </w:tcPr>
          <w:p w:rsidR="005F4451" w:rsidRDefault="005F4451">
            <w:pPr>
              <w:pStyle w:val="xCelltext"/>
            </w:pPr>
          </w:p>
        </w:tc>
        <w:tc>
          <w:tcPr>
            <w:tcW w:w="4288" w:type="dxa"/>
            <w:gridSpan w:val="2"/>
            <w:vMerge/>
            <w:vAlign w:val="center"/>
          </w:tcPr>
          <w:p w:rsidR="005F4451" w:rsidRDefault="005F4451">
            <w:pPr>
              <w:pStyle w:val="xCelltext"/>
            </w:pPr>
          </w:p>
        </w:tc>
      </w:tr>
      <w:tr w:rsidR="005F4451">
        <w:trPr>
          <w:cantSplit/>
          <w:trHeight w:val="238"/>
        </w:trPr>
        <w:tc>
          <w:tcPr>
            <w:tcW w:w="861" w:type="dxa"/>
          </w:tcPr>
          <w:p w:rsidR="005F4451" w:rsidRDefault="005F4451">
            <w:pPr>
              <w:pStyle w:val="xCelltext"/>
            </w:pPr>
          </w:p>
        </w:tc>
        <w:tc>
          <w:tcPr>
            <w:tcW w:w="4448" w:type="dxa"/>
            <w:vMerge/>
            <w:vAlign w:val="center"/>
          </w:tcPr>
          <w:p w:rsidR="005F4451" w:rsidRDefault="005F4451">
            <w:pPr>
              <w:pStyle w:val="xCelltext"/>
            </w:pPr>
          </w:p>
        </w:tc>
        <w:tc>
          <w:tcPr>
            <w:tcW w:w="4288" w:type="dxa"/>
            <w:gridSpan w:val="2"/>
            <w:vMerge/>
            <w:vAlign w:val="center"/>
          </w:tcPr>
          <w:p w:rsidR="005F4451" w:rsidRDefault="005F4451">
            <w:pPr>
              <w:pStyle w:val="xCelltext"/>
            </w:pPr>
          </w:p>
        </w:tc>
      </w:tr>
      <w:tr w:rsidR="005F4451">
        <w:trPr>
          <w:cantSplit/>
          <w:trHeight w:val="238"/>
        </w:trPr>
        <w:tc>
          <w:tcPr>
            <w:tcW w:w="861" w:type="dxa"/>
          </w:tcPr>
          <w:p w:rsidR="005F4451" w:rsidRDefault="005F4451">
            <w:pPr>
              <w:pStyle w:val="xCelltext"/>
            </w:pPr>
          </w:p>
        </w:tc>
        <w:tc>
          <w:tcPr>
            <w:tcW w:w="4448" w:type="dxa"/>
            <w:vMerge/>
            <w:vAlign w:val="center"/>
          </w:tcPr>
          <w:p w:rsidR="005F4451" w:rsidRDefault="005F4451">
            <w:pPr>
              <w:pStyle w:val="xCelltext"/>
            </w:pPr>
          </w:p>
        </w:tc>
        <w:tc>
          <w:tcPr>
            <w:tcW w:w="4288" w:type="dxa"/>
            <w:gridSpan w:val="2"/>
            <w:vMerge/>
            <w:vAlign w:val="center"/>
          </w:tcPr>
          <w:p w:rsidR="005F4451" w:rsidRDefault="005F4451">
            <w:pPr>
              <w:pStyle w:val="xCelltext"/>
            </w:pPr>
          </w:p>
        </w:tc>
      </w:tr>
    </w:tbl>
    <w:p w:rsidR="005F4451" w:rsidRDefault="005F4451">
      <w:pPr>
        <w:rPr>
          <w:b/>
          <w:bCs/>
        </w:rPr>
        <w:sectPr w:rsidR="005F4451">
          <w:footerReference w:type="even" r:id="rId11"/>
          <w:footerReference w:type="default" r:id="rId12"/>
          <w:pgSz w:w="11906" w:h="16838" w:code="9"/>
          <w:pgMar w:top="567" w:right="1134" w:bottom="1134" w:left="1191" w:header="624" w:footer="851" w:gutter="0"/>
          <w:cols w:space="708"/>
          <w:docGrid w:linePitch="360"/>
        </w:sectPr>
      </w:pPr>
    </w:p>
    <w:p w:rsidR="005F4451" w:rsidRDefault="00C0693C">
      <w:pPr>
        <w:pStyle w:val="ArendeRubrik"/>
        <w:outlineLvl w:val="0"/>
      </w:pPr>
      <w:r>
        <w:lastRenderedPageBreak/>
        <w:t xml:space="preserve">Skärpta regler gällande </w:t>
      </w:r>
      <w:r w:rsidR="005F4451">
        <w:t>sexualbrott</w:t>
      </w:r>
    </w:p>
    <w:p w:rsidR="005F4451" w:rsidRDefault="005F4451">
      <w:pPr>
        <w:pStyle w:val="ANormal"/>
      </w:pPr>
    </w:p>
    <w:p w:rsidR="005F4451" w:rsidRDefault="005F4451">
      <w:pPr>
        <w:pStyle w:val="Innehll1"/>
      </w:pPr>
      <w:r>
        <w:t>INNEHÅLL</w:t>
      </w:r>
    </w:p>
    <w:p w:rsidR="00C0693C" w:rsidRPr="001467A2" w:rsidRDefault="005F4451">
      <w:pPr>
        <w:pStyle w:val="Innehll2"/>
        <w:rPr>
          <w:rFonts w:ascii="Calibri" w:hAnsi="Calibri"/>
          <w:sz w:val="22"/>
          <w:szCs w:val="22"/>
          <w:lang w:val="sv-FI" w:eastAsia="sv-FI"/>
        </w:rPr>
      </w:pPr>
      <w:r>
        <w:fldChar w:fldCharType="begin"/>
      </w:r>
      <w:r>
        <w:instrText xml:space="preserve"> TOC \o "1-3" \h \z </w:instrText>
      </w:r>
      <w:r>
        <w:fldChar w:fldCharType="separate"/>
      </w:r>
      <w:hyperlink w:anchor="_Toc5702018" w:history="1">
        <w:r w:rsidR="00C0693C" w:rsidRPr="00B46BAB">
          <w:rPr>
            <w:rStyle w:val="Hyperlnk"/>
          </w:rPr>
          <w:t>Sammanfattning</w:t>
        </w:r>
        <w:r w:rsidR="00C0693C">
          <w:rPr>
            <w:webHidden/>
          </w:rPr>
          <w:tab/>
        </w:r>
        <w:r w:rsidR="00C0693C">
          <w:rPr>
            <w:webHidden/>
          </w:rPr>
          <w:fldChar w:fldCharType="begin"/>
        </w:r>
        <w:r w:rsidR="00C0693C">
          <w:rPr>
            <w:webHidden/>
          </w:rPr>
          <w:instrText xml:space="preserve"> PAGEREF _Toc5702018 \h </w:instrText>
        </w:r>
        <w:r w:rsidR="00C0693C">
          <w:rPr>
            <w:webHidden/>
          </w:rPr>
        </w:r>
        <w:r w:rsidR="00C0693C">
          <w:rPr>
            <w:webHidden/>
          </w:rPr>
          <w:fldChar w:fldCharType="separate"/>
        </w:r>
        <w:r w:rsidR="00FA0DF8">
          <w:rPr>
            <w:webHidden/>
          </w:rPr>
          <w:t>1</w:t>
        </w:r>
        <w:r w:rsidR="00C0693C">
          <w:rPr>
            <w:webHidden/>
          </w:rPr>
          <w:fldChar w:fldCharType="end"/>
        </w:r>
      </w:hyperlink>
    </w:p>
    <w:p w:rsidR="00C0693C" w:rsidRPr="001467A2" w:rsidRDefault="00C0693C">
      <w:pPr>
        <w:pStyle w:val="Innehll2"/>
        <w:rPr>
          <w:rFonts w:ascii="Calibri" w:hAnsi="Calibri"/>
          <w:sz w:val="22"/>
          <w:szCs w:val="22"/>
          <w:lang w:val="sv-FI" w:eastAsia="sv-FI"/>
        </w:rPr>
      </w:pPr>
      <w:hyperlink w:anchor="_Toc5702019" w:history="1">
        <w:r w:rsidRPr="00B46BAB">
          <w:rPr>
            <w:rStyle w:val="Hyperlnk"/>
          </w:rPr>
          <w:t>Lagtingets initiativrätt</w:t>
        </w:r>
        <w:r>
          <w:rPr>
            <w:webHidden/>
          </w:rPr>
          <w:tab/>
        </w:r>
        <w:r>
          <w:rPr>
            <w:webHidden/>
          </w:rPr>
          <w:fldChar w:fldCharType="begin"/>
        </w:r>
        <w:r>
          <w:rPr>
            <w:webHidden/>
          </w:rPr>
          <w:instrText xml:space="preserve"> PAGEREF _Toc5702019 \h </w:instrText>
        </w:r>
        <w:r>
          <w:rPr>
            <w:webHidden/>
          </w:rPr>
        </w:r>
        <w:r>
          <w:rPr>
            <w:webHidden/>
          </w:rPr>
          <w:fldChar w:fldCharType="separate"/>
        </w:r>
        <w:r w:rsidR="00FA0DF8">
          <w:rPr>
            <w:webHidden/>
          </w:rPr>
          <w:t>1</w:t>
        </w:r>
        <w:r>
          <w:rPr>
            <w:webHidden/>
          </w:rPr>
          <w:fldChar w:fldCharType="end"/>
        </w:r>
      </w:hyperlink>
    </w:p>
    <w:p w:rsidR="00C0693C" w:rsidRPr="001467A2" w:rsidRDefault="00C0693C">
      <w:pPr>
        <w:pStyle w:val="Innehll2"/>
        <w:rPr>
          <w:rFonts w:ascii="Calibri" w:hAnsi="Calibri"/>
          <w:sz w:val="22"/>
          <w:szCs w:val="22"/>
          <w:lang w:val="sv-FI" w:eastAsia="sv-FI"/>
        </w:rPr>
      </w:pPr>
      <w:hyperlink w:anchor="_Toc5702020" w:history="1">
        <w:r w:rsidRPr="00B46BAB">
          <w:rPr>
            <w:rStyle w:val="Hyperlnk"/>
          </w:rPr>
          <w:t>Behov av en översyn</w:t>
        </w:r>
        <w:r>
          <w:rPr>
            <w:webHidden/>
          </w:rPr>
          <w:tab/>
        </w:r>
        <w:r>
          <w:rPr>
            <w:webHidden/>
          </w:rPr>
          <w:fldChar w:fldCharType="begin"/>
        </w:r>
        <w:r>
          <w:rPr>
            <w:webHidden/>
          </w:rPr>
          <w:instrText xml:space="preserve"> PAGEREF _Toc5702020 \h </w:instrText>
        </w:r>
        <w:r>
          <w:rPr>
            <w:webHidden/>
          </w:rPr>
        </w:r>
        <w:r>
          <w:rPr>
            <w:webHidden/>
          </w:rPr>
          <w:fldChar w:fldCharType="separate"/>
        </w:r>
        <w:r w:rsidR="00FA0DF8">
          <w:rPr>
            <w:webHidden/>
          </w:rPr>
          <w:t>2</w:t>
        </w:r>
        <w:r>
          <w:rPr>
            <w:webHidden/>
          </w:rPr>
          <w:fldChar w:fldCharType="end"/>
        </w:r>
      </w:hyperlink>
    </w:p>
    <w:p w:rsidR="00C0693C" w:rsidRPr="001467A2" w:rsidRDefault="00C0693C">
      <w:pPr>
        <w:pStyle w:val="Innehll2"/>
        <w:rPr>
          <w:rFonts w:ascii="Calibri" w:hAnsi="Calibri"/>
          <w:sz w:val="22"/>
          <w:szCs w:val="22"/>
          <w:lang w:val="sv-FI" w:eastAsia="sv-FI"/>
        </w:rPr>
      </w:pPr>
      <w:hyperlink w:anchor="_Toc5702021" w:history="1">
        <w:r w:rsidRPr="00B46BAB">
          <w:rPr>
            <w:rStyle w:val="Hyperlnk"/>
          </w:rPr>
          <w:t>Utgångspunkter för översynen</w:t>
        </w:r>
        <w:r>
          <w:rPr>
            <w:webHidden/>
          </w:rPr>
          <w:tab/>
        </w:r>
        <w:r>
          <w:rPr>
            <w:webHidden/>
          </w:rPr>
          <w:fldChar w:fldCharType="begin"/>
        </w:r>
        <w:r>
          <w:rPr>
            <w:webHidden/>
          </w:rPr>
          <w:instrText xml:space="preserve"> PAGEREF _Toc5702021 \h </w:instrText>
        </w:r>
        <w:r>
          <w:rPr>
            <w:webHidden/>
          </w:rPr>
        </w:r>
        <w:r>
          <w:rPr>
            <w:webHidden/>
          </w:rPr>
          <w:fldChar w:fldCharType="separate"/>
        </w:r>
        <w:r w:rsidR="00FA0DF8">
          <w:rPr>
            <w:webHidden/>
          </w:rPr>
          <w:t>3</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2" w:history="1">
        <w:r w:rsidRPr="00B46BAB">
          <w:rPr>
            <w:rStyle w:val="Hyperlnk"/>
          </w:rPr>
          <w:t>Allvarliga brott</w:t>
        </w:r>
        <w:r>
          <w:rPr>
            <w:webHidden/>
          </w:rPr>
          <w:tab/>
        </w:r>
        <w:r>
          <w:rPr>
            <w:webHidden/>
          </w:rPr>
          <w:fldChar w:fldCharType="begin"/>
        </w:r>
        <w:r>
          <w:rPr>
            <w:webHidden/>
          </w:rPr>
          <w:instrText xml:space="preserve"> PAGEREF _Toc5702022 \h </w:instrText>
        </w:r>
        <w:r>
          <w:rPr>
            <w:webHidden/>
          </w:rPr>
        </w:r>
        <w:r>
          <w:rPr>
            <w:webHidden/>
          </w:rPr>
          <w:fldChar w:fldCharType="separate"/>
        </w:r>
        <w:r w:rsidR="00FA0DF8">
          <w:rPr>
            <w:webHidden/>
          </w:rPr>
          <w:t>3</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3" w:history="1">
        <w:r w:rsidRPr="00B46BAB">
          <w:rPr>
            <w:rStyle w:val="Hyperlnk"/>
          </w:rPr>
          <w:t>Föregångare inom sexualbrottslagstiftningen</w:t>
        </w:r>
        <w:r>
          <w:rPr>
            <w:webHidden/>
          </w:rPr>
          <w:tab/>
        </w:r>
        <w:r>
          <w:rPr>
            <w:webHidden/>
          </w:rPr>
          <w:fldChar w:fldCharType="begin"/>
        </w:r>
        <w:r>
          <w:rPr>
            <w:webHidden/>
          </w:rPr>
          <w:instrText xml:space="preserve"> PAGEREF _Toc5702023 \h </w:instrText>
        </w:r>
        <w:r>
          <w:rPr>
            <w:webHidden/>
          </w:rPr>
        </w:r>
        <w:r>
          <w:rPr>
            <w:webHidden/>
          </w:rPr>
          <w:fldChar w:fldCharType="separate"/>
        </w:r>
        <w:r w:rsidR="00FA0DF8">
          <w:rPr>
            <w:webHidden/>
          </w:rPr>
          <w:t>3</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4" w:history="1">
        <w:r w:rsidRPr="00B46BAB">
          <w:rPr>
            <w:rStyle w:val="Hyperlnk"/>
          </w:rPr>
          <w:t>Synen på kvinnors och mäns sexualitet</w:t>
        </w:r>
        <w:r>
          <w:rPr>
            <w:webHidden/>
          </w:rPr>
          <w:tab/>
        </w:r>
        <w:r>
          <w:rPr>
            <w:webHidden/>
          </w:rPr>
          <w:fldChar w:fldCharType="begin"/>
        </w:r>
        <w:r>
          <w:rPr>
            <w:webHidden/>
          </w:rPr>
          <w:instrText xml:space="preserve"> PAGEREF _Toc5702024 \h </w:instrText>
        </w:r>
        <w:r>
          <w:rPr>
            <w:webHidden/>
          </w:rPr>
        </w:r>
        <w:r>
          <w:rPr>
            <w:webHidden/>
          </w:rPr>
          <w:fldChar w:fldCharType="separate"/>
        </w:r>
        <w:r w:rsidR="00FA0DF8">
          <w:rPr>
            <w:webHidden/>
          </w:rPr>
          <w:t>3</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5" w:history="1">
        <w:r w:rsidRPr="00B46BAB">
          <w:rPr>
            <w:rStyle w:val="Hyperlnk"/>
          </w:rPr>
          <w:t>Brott riktade mot barn</w:t>
        </w:r>
        <w:r>
          <w:rPr>
            <w:webHidden/>
          </w:rPr>
          <w:tab/>
        </w:r>
        <w:r>
          <w:rPr>
            <w:webHidden/>
          </w:rPr>
          <w:fldChar w:fldCharType="begin"/>
        </w:r>
        <w:r>
          <w:rPr>
            <w:webHidden/>
          </w:rPr>
          <w:instrText xml:space="preserve"> PAGEREF _Toc5702025 \h </w:instrText>
        </w:r>
        <w:r>
          <w:rPr>
            <w:webHidden/>
          </w:rPr>
        </w:r>
        <w:r>
          <w:rPr>
            <w:webHidden/>
          </w:rPr>
          <w:fldChar w:fldCharType="separate"/>
        </w:r>
        <w:r w:rsidR="00FA0DF8">
          <w:rPr>
            <w:webHidden/>
          </w:rPr>
          <w:t>4</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6" w:history="1">
        <w:r w:rsidRPr="00B46BAB">
          <w:rPr>
            <w:rStyle w:val="Hyperlnk"/>
          </w:rPr>
          <w:t>Bred sakkunskap</w:t>
        </w:r>
        <w:r>
          <w:rPr>
            <w:webHidden/>
          </w:rPr>
          <w:tab/>
        </w:r>
        <w:r>
          <w:rPr>
            <w:webHidden/>
          </w:rPr>
          <w:fldChar w:fldCharType="begin"/>
        </w:r>
        <w:r>
          <w:rPr>
            <w:webHidden/>
          </w:rPr>
          <w:instrText xml:space="preserve"> PAGEREF _Toc5702026 \h </w:instrText>
        </w:r>
        <w:r>
          <w:rPr>
            <w:webHidden/>
          </w:rPr>
        </w:r>
        <w:r>
          <w:rPr>
            <w:webHidden/>
          </w:rPr>
          <w:fldChar w:fldCharType="separate"/>
        </w:r>
        <w:r w:rsidR="00FA0DF8">
          <w:rPr>
            <w:webHidden/>
          </w:rPr>
          <w:t>4</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7" w:history="1">
        <w:r w:rsidRPr="00B46BAB">
          <w:rPr>
            <w:rStyle w:val="Hyperlnk"/>
          </w:rPr>
          <w:t>Samtycke/frivilligt deltagande</w:t>
        </w:r>
        <w:r>
          <w:rPr>
            <w:webHidden/>
          </w:rPr>
          <w:tab/>
        </w:r>
        <w:r>
          <w:rPr>
            <w:webHidden/>
          </w:rPr>
          <w:fldChar w:fldCharType="begin"/>
        </w:r>
        <w:r>
          <w:rPr>
            <w:webHidden/>
          </w:rPr>
          <w:instrText xml:space="preserve"> PAGEREF _Toc5702027 \h </w:instrText>
        </w:r>
        <w:r>
          <w:rPr>
            <w:webHidden/>
          </w:rPr>
        </w:r>
        <w:r>
          <w:rPr>
            <w:webHidden/>
          </w:rPr>
          <w:fldChar w:fldCharType="separate"/>
        </w:r>
        <w:r w:rsidR="00FA0DF8">
          <w:rPr>
            <w:webHidden/>
          </w:rPr>
          <w:t>4</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8" w:history="1">
        <w:r w:rsidRPr="00B46BAB">
          <w:rPr>
            <w:rStyle w:val="Hyperlnk"/>
          </w:rPr>
          <w:t>Straffskalan</w:t>
        </w:r>
        <w:r>
          <w:rPr>
            <w:webHidden/>
          </w:rPr>
          <w:tab/>
        </w:r>
        <w:r>
          <w:rPr>
            <w:webHidden/>
          </w:rPr>
          <w:fldChar w:fldCharType="begin"/>
        </w:r>
        <w:r>
          <w:rPr>
            <w:webHidden/>
          </w:rPr>
          <w:instrText xml:space="preserve"> PAGEREF _Toc5702028 \h </w:instrText>
        </w:r>
        <w:r>
          <w:rPr>
            <w:webHidden/>
          </w:rPr>
        </w:r>
        <w:r>
          <w:rPr>
            <w:webHidden/>
          </w:rPr>
          <w:fldChar w:fldCharType="separate"/>
        </w:r>
        <w:r w:rsidR="00FA0DF8">
          <w:rPr>
            <w:webHidden/>
          </w:rPr>
          <w:t>5</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29" w:history="1">
        <w:r w:rsidRPr="00B46BAB">
          <w:rPr>
            <w:rStyle w:val="Hyperlnk"/>
          </w:rPr>
          <w:t>Åtalsrätten</w:t>
        </w:r>
        <w:r>
          <w:rPr>
            <w:webHidden/>
          </w:rPr>
          <w:tab/>
        </w:r>
        <w:r>
          <w:rPr>
            <w:webHidden/>
          </w:rPr>
          <w:fldChar w:fldCharType="begin"/>
        </w:r>
        <w:r>
          <w:rPr>
            <w:webHidden/>
          </w:rPr>
          <w:instrText xml:space="preserve"> PAGEREF _Toc5702029 \h </w:instrText>
        </w:r>
        <w:r>
          <w:rPr>
            <w:webHidden/>
          </w:rPr>
        </w:r>
        <w:r>
          <w:rPr>
            <w:webHidden/>
          </w:rPr>
          <w:fldChar w:fldCharType="separate"/>
        </w:r>
        <w:r w:rsidR="00FA0DF8">
          <w:rPr>
            <w:webHidden/>
          </w:rPr>
          <w:t>6</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30" w:history="1">
        <w:r w:rsidRPr="00B46BAB">
          <w:rPr>
            <w:rStyle w:val="Hyperlnk"/>
          </w:rPr>
          <w:t>Nya brott och definitioner</w:t>
        </w:r>
        <w:r>
          <w:rPr>
            <w:webHidden/>
          </w:rPr>
          <w:tab/>
        </w:r>
        <w:r>
          <w:rPr>
            <w:webHidden/>
          </w:rPr>
          <w:fldChar w:fldCharType="begin"/>
        </w:r>
        <w:r>
          <w:rPr>
            <w:webHidden/>
          </w:rPr>
          <w:instrText xml:space="preserve"> PAGEREF _Toc5702030 \h </w:instrText>
        </w:r>
        <w:r>
          <w:rPr>
            <w:webHidden/>
          </w:rPr>
        </w:r>
        <w:r>
          <w:rPr>
            <w:webHidden/>
          </w:rPr>
          <w:fldChar w:fldCharType="separate"/>
        </w:r>
        <w:r w:rsidR="00FA0DF8">
          <w:rPr>
            <w:webHidden/>
          </w:rPr>
          <w:t>6</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31" w:history="1">
        <w:r w:rsidRPr="00B46BAB">
          <w:rPr>
            <w:rStyle w:val="Hyperlnk"/>
          </w:rPr>
          <w:t>Kompletterande åtgärder</w:t>
        </w:r>
        <w:r>
          <w:rPr>
            <w:webHidden/>
          </w:rPr>
          <w:tab/>
        </w:r>
        <w:r>
          <w:rPr>
            <w:webHidden/>
          </w:rPr>
          <w:fldChar w:fldCharType="begin"/>
        </w:r>
        <w:r>
          <w:rPr>
            <w:webHidden/>
          </w:rPr>
          <w:instrText xml:space="preserve"> PAGEREF _Toc5702031 \h </w:instrText>
        </w:r>
        <w:r>
          <w:rPr>
            <w:webHidden/>
          </w:rPr>
        </w:r>
        <w:r>
          <w:rPr>
            <w:webHidden/>
          </w:rPr>
          <w:fldChar w:fldCharType="separate"/>
        </w:r>
        <w:r w:rsidR="00FA0DF8">
          <w:rPr>
            <w:webHidden/>
          </w:rPr>
          <w:t>6</w:t>
        </w:r>
        <w:r>
          <w:rPr>
            <w:webHidden/>
          </w:rPr>
          <w:fldChar w:fldCharType="end"/>
        </w:r>
      </w:hyperlink>
    </w:p>
    <w:p w:rsidR="00C0693C" w:rsidRPr="001467A2" w:rsidRDefault="00C0693C">
      <w:pPr>
        <w:pStyle w:val="Innehll3"/>
        <w:rPr>
          <w:rFonts w:ascii="Calibri" w:hAnsi="Calibri"/>
          <w:sz w:val="22"/>
          <w:szCs w:val="22"/>
          <w:lang w:val="sv-FI" w:eastAsia="sv-FI"/>
        </w:rPr>
      </w:pPr>
      <w:hyperlink w:anchor="_Toc5702032" w:history="1">
        <w:r w:rsidRPr="00B46BAB">
          <w:rPr>
            <w:rStyle w:val="Hyperlnk"/>
          </w:rPr>
          <w:t>Åland som försöksområde</w:t>
        </w:r>
        <w:r>
          <w:rPr>
            <w:webHidden/>
          </w:rPr>
          <w:tab/>
        </w:r>
        <w:r>
          <w:rPr>
            <w:webHidden/>
          </w:rPr>
          <w:fldChar w:fldCharType="begin"/>
        </w:r>
        <w:r>
          <w:rPr>
            <w:webHidden/>
          </w:rPr>
          <w:instrText xml:space="preserve"> PAGEREF _Toc5702032 \h </w:instrText>
        </w:r>
        <w:r>
          <w:rPr>
            <w:webHidden/>
          </w:rPr>
        </w:r>
        <w:r>
          <w:rPr>
            <w:webHidden/>
          </w:rPr>
          <w:fldChar w:fldCharType="separate"/>
        </w:r>
        <w:r w:rsidR="00FA0DF8">
          <w:rPr>
            <w:webHidden/>
          </w:rPr>
          <w:t>8</w:t>
        </w:r>
        <w:r>
          <w:rPr>
            <w:webHidden/>
          </w:rPr>
          <w:fldChar w:fldCharType="end"/>
        </w:r>
      </w:hyperlink>
    </w:p>
    <w:p w:rsidR="005F4451" w:rsidRDefault="005F4451">
      <w:pPr>
        <w:pStyle w:val="ANormal"/>
      </w:pPr>
      <w:r>
        <w:rPr>
          <w:rFonts w:ascii="Verdana" w:hAnsi="Verdana"/>
          <w:noProof/>
          <w:sz w:val="16"/>
          <w:szCs w:val="36"/>
        </w:rPr>
        <w:fldChar w:fldCharType="end"/>
      </w:r>
    </w:p>
    <w:p w:rsidR="005F4451" w:rsidRDefault="005F4451">
      <w:pPr>
        <w:pStyle w:val="ANormal"/>
      </w:pPr>
    </w:p>
    <w:p w:rsidR="005F4451" w:rsidRDefault="005F4451">
      <w:pPr>
        <w:pStyle w:val="RubrikB"/>
      </w:pPr>
      <w:bookmarkStart w:id="1" w:name="_Toc5702018"/>
      <w:r>
        <w:t>Sammanfattning</w:t>
      </w:r>
      <w:bookmarkEnd w:id="1"/>
    </w:p>
    <w:p w:rsidR="005F4451" w:rsidRDefault="005F4451">
      <w:pPr>
        <w:pStyle w:val="Rubrikmellanrum"/>
      </w:pPr>
    </w:p>
    <w:p w:rsidR="005F4451" w:rsidRDefault="00145EBD">
      <w:pPr>
        <w:pStyle w:val="ANormal"/>
      </w:pPr>
      <w:r>
        <w:t xml:space="preserve">I denna </w:t>
      </w:r>
      <w:r w:rsidR="005F4451">
        <w:t xml:space="preserve">motion föreslår vi att lagtinget </w:t>
      </w:r>
      <w:r>
        <w:t xml:space="preserve">på nytt </w:t>
      </w:r>
      <w:r w:rsidR="005F4451">
        <w:t>väcker ett initiativ i enlighet med självstyrelselagens 22 § i ett ärende som hör till rikets lagstiftningsb</w:t>
      </w:r>
      <w:r w:rsidR="005F4451">
        <w:t>e</w:t>
      </w:r>
      <w:r w:rsidR="005F4451">
        <w:t>höri</w:t>
      </w:r>
      <w:r w:rsidR="005F4451">
        <w:t>g</w:t>
      </w:r>
      <w:r w:rsidR="005F4451">
        <w:t xml:space="preserve">het. </w:t>
      </w:r>
    </w:p>
    <w:p w:rsidR="005F4451" w:rsidRDefault="005F4451">
      <w:pPr>
        <w:pStyle w:val="ANormal"/>
      </w:pPr>
      <w:r>
        <w:tab/>
        <w:t xml:space="preserve">Initiativet syftar till att hemställa om att riksdagen uppmanar regeringen att </w:t>
      </w:r>
      <w:r w:rsidR="00C0693C">
        <w:t xml:space="preserve">skärpa </w:t>
      </w:r>
      <w:r>
        <w:t xml:space="preserve">sexualbrottslagstiftningen </w:t>
      </w:r>
      <w:r w:rsidR="00C0693C">
        <w:t xml:space="preserve">åtminstone </w:t>
      </w:r>
      <w:r w:rsidR="00C41023">
        <w:t xml:space="preserve">på Åland </w:t>
      </w:r>
      <w:r>
        <w:t xml:space="preserve">så att den bättre motsvarar den allmänna rättsuppfattningen. </w:t>
      </w:r>
      <w:r w:rsidR="00C0693C">
        <w:t xml:space="preserve">Lagstiftningen bör </w:t>
      </w:r>
      <w:r>
        <w:t xml:space="preserve">innefatta </w:t>
      </w:r>
      <w:r w:rsidR="00C0693C">
        <w:t xml:space="preserve">bland annat </w:t>
      </w:r>
      <w:r>
        <w:t>införande av ett s.k. rekvisit för sam</w:t>
      </w:r>
      <w:r w:rsidR="00646473">
        <w:t>tycke</w:t>
      </w:r>
      <w:r>
        <w:t>/frivilligt delt</w:t>
      </w:r>
      <w:r>
        <w:t>a</w:t>
      </w:r>
      <w:r>
        <w:t>gande</w:t>
      </w:r>
      <w:r w:rsidR="00C0693C">
        <w:t xml:space="preserve">. Vår förhoppning är att sådana lagändringar ska införas för hela Finland men om så inte blir fallet skulle </w:t>
      </w:r>
      <w:r w:rsidR="00C41023">
        <w:t>Åland kunna vara ett försökso</w:t>
      </w:r>
      <w:r w:rsidR="00C41023">
        <w:t>m</w:t>
      </w:r>
      <w:r w:rsidR="00C41023">
        <w:t>råde för en modern sexualbrottslagstiftning i Fi</w:t>
      </w:r>
      <w:r w:rsidR="00C41023">
        <w:t>n</w:t>
      </w:r>
      <w:r w:rsidR="00C41023">
        <w:t>land.</w:t>
      </w:r>
    </w:p>
    <w:p w:rsidR="005F4451" w:rsidRDefault="005F4451">
      <w:pPr>
        <w:pStyle w:val="ANormal"/>
      </w:pPr>
    </w:p>
    <w:p w:rsidR="005F4451" w:rsidRDefault="005F4451">
      <w:pPr>
        <w:pStyle w:val="Rubrikmellanrum"/>
      </w:pPr>
    </w:p>
    <w:p w:rsidR="005F4451" w:rsidRDefault="005F4451">
      <w:pPr>
        <w:pStyle w:val="RubrikB"/>
      </w:pPr>
      <w:bookmarkStart w:id="2" w:name="_Toc5702019"/>
      <w:r>
        <w:t>Lagtingets initiativrätt</w:t>
      </w:r>
      <w:bookmarkEnd w:id="2"/>
    </w:p>
    <w:p w:rsidR="005F4451" w:rsidRDefault="005F4451">
      <w:pPr>
        <w:pStyle w:val="Rubrikmellanrum"/>
      </w:pPr>
    </w:p>
    <w:p w:rsidR="00145EBD" w:rsidRDefault="00145EBD" w:rsidP="00145EBD">
      <w:pPr>
        <w:pStyle w:val="ANormal"/>
      </w:pPr>
      <w:r>
        <w:t>Enligt självstyrelselagens 22 § kan lagtinget väcka initiativ i frågor som hör till rikets lagstiftningsbehörighet.</w:t>
      </w:r>
      <w:r w:rsidR="00B575C2">
        <w:t xml:space="preserve"> </w:t>
      </w:r>
      <w:r w:rsidR="00C41141">
        <w:t>Av</w:t>
      </w:r>
      <w:r>
        <w:t xml:space="preserve"> motiveringen i regeringens proposi</w:t>
      </w:r>
      <w:r>
        <w:t>t</w:t>
      </w:r>
      <w:r>
        <w:t xml:space="preserve">ion med förslag till självstyrelselag för Åland (RP 73/1990 rd) </w:t>
      </w:r>
      <w:r w:rsidR="00C41141">
        <w:t xml:space="preserve">framgår att </w:t>
      </w:r>
      <w:r>
        <w:t>la</w:t>
      </w:r>
      <w:r>
        <w:t>g</w:t>
      </w:r>
      <w:r>
        <w:t xml:space="preserve">tinget </w:t>
      </w:r>
      <w:r w:rsidR="00C41141">
        <w:t xml:space="preserve">har </w:t>
      </w:r>
      <w:r>
        <w:t>rätt att väcka initiativ i angelägenheter som underlyder rikets lagstiftningsbehörighet. Initiativrätten gäller frågor som har särskild bet</w:t>
      </w:r>
      <w:r>
        <w:t>y</w:t>
      </w:r>
      <w:r>
        <w:t>delse för landskapet</w:t>
      </w:r>
      <w:r w:rsidR="00B575C2">
        <w:t xml:space="preserve"> och in</w:t>
      </w:r>
      <w:r>
        <w:t xml:space="preserve">itiativrätten innebär en möjlighet att komma in med förslag till rikslagstiftning med territoriellt begränsad giltighet. </w:t>
      </w:r>
    </w:p>
    <w:p w:rsidR="00057A39" w:rsidRDefault="00145EBD">
      <w:pPr>
        <w:pStyle w:val="ANormal"/>
      </w:pPr>
      <w:r>
        <w:tab/>
        <w:t xml:space="preserve">Lagtinget </w:t>
      </w:r>
      <w:r w:rsidR="00C41141">
        <w:t>tog</w:t>
      </w:r>
      <w:r>
        <w:t xml:space="preserve"> i november 2011 ett liknande initiativ i riksdagen. </w:t>
      </w:r>
      <w:r w:rsidR="00CC2407">
        <w:t>Grun</w:t>
      </w:r>
      <w:r w:rsidR="00CC2407">
        <w:t>d</w:t>
      </w:r>
      <w:r w:rsidR="00CC2407">
        <w:t>lagsutskot</w:t>
      </w:r>
      <w:r>
        <w:t>tet</w:t>
      </w:r>
      <w:r w:rsidR="00CC2407">
        <w:t xml:space="preserve"> </w:t>
      </w:r>
      <w:r>
        <w:t>gav då ett utlåtande (GrUU 3/2011 rd</w:t>
      </w:r>
      <w:r w:rsidR="005038A0">
        <w:t xml:space="preserve"> -</w:t>
      </w:r>
      <w:r>
        <w:t xml:space="preserve"> Ö 1/2011 rd)  till lagutskottet i vilket ett resonemang fördes gällande tolkningen av själv</w:t>
      </w:r>
      <w:r w:rsidR="00C41141">
        <w:t>s</w:t>
      </w:r>
      <w:r>
        <w:t>t</w:t>
      </w:r>
      <w:r>
        <w:t>y</w:t>
      </w:r>
      <w:r>
        <w:t xml:space="preserve">relselagens 22 §. </w:t>
      </w:r>
      <w:r w:rsidR="00C41141">
        <w:t>I utlåtandet konstatera</w:t>
      </w:r>
      <w:r w:rsidR="00057A39">
        <w:t>de</w:t>
      </w:r>
      <w:r w:rsidR="00C41141">
        <w:t xml:space="preserve"> grundlagsutskottet att d</w:t>
      </w:r>
      <w:r w:rsidR="00CC2407">
        <w:t>en gen</w:t>
      </w:r>
      <w:r w:rsidR="00CC2407">
        <w:t>e</w:t>
      </w:r>
      <w:r w:rsidR="00CC2407">
        <w:t>rella ordalydelsen ger intryck av en bred räckvidd</w:t>
      </w:r>
      <w:r w:rsidR="00C41141">
        <w:t xml:space="preserve"> men mena</w:t>
      </w:r>
      <w:r w:rsidR="00057A39">
        <w:t>de</w:t>
      </w:r>
      <w:r w:rsidR="00C41141">
        <w:t xml:space="preserve"> att </w:t>
      </w:r>
      <w:r w:rsidR="00CC2407">
        <w:t>mot</w:t>
      </w:r>
      <w:r w:rsidR="00CC2407">
        <w:t>i</w:t>
      </w:r>
      <w:r w:rsidR="00CC2407">
        <w:t>veringen i den proposition som ledde till att självstyrelselagen stiftades fö</w:t>
      </w:r>
      <w:r w:rsidR="00CC2407">
        <w:t>r</w:t>
      </w:r>
      <w:r w:rsidR="00CC2407">
        <w:t>anleder en annan uppfattning. Enligt motiveringen (RP 73/1990 rd, s. 71) gäller initiativrätten frågor av särskild betydelse för landskapet. Initiativrä</w:t>
      </w:r>
      <w:r w:rsidR="00CC2407">
        <w:t>t</w:t>
      </w:r>
      <w:r w:rsidR="00CC2407">
        <w:t xml:space="preserve">ten innebär en möjlighet att komma in med förslag till "rikslagstiftning med territoriellt begränsad giltighet". </w:t>
      </w:r>
      <w:r w:rsidR="00057A39">
        <w:t xml:space="preserve">Undertecknade anser att </w:t>
      </w:r>
      <w:r w:rsidR="008F3D5D">
        <w:t>texten i mot</w:t>
      </w:r>
      <w:r w:rsidR="008F3D5D">
        <w:t>i</w:t>
      </w:r>
      <w:r w:rsidR="008F3D5D">
        <w:lastRenderedPageBreak/>
        <w:t xml:space="preserve">veringen </w:t>
      </w:r>
      <w:r w:rsidR="00057A39">
        <w:t xml:space="preserve">ska </w:t>
      </w:r>
      <w:r w:rsidR="008F3D5D">
        <w:t>läsas så att lagtinget ges en möjlighet</w:t>
      </w:r>
      <w:r w:rsidR="00057A39">
        <w:t>,</w:t>
      </w:r>
      <w:r w:rsidR="008F3D5D">
        <w:t xml:space="preserve"> men inte en begrän</w:t>
      </w:r>
      <w:r w:rsidR="008F3D5D">
        <w:t>s</w:t>
      </w:r>
      <w:r w:rsidR="008F3D5D">
        <w:t>ning</w:t>
      </w:r>
      <w:r w:rsidR="00057A39">
        <w:t>,</w:t>
      </w:r>
      <w:r w:rsidR="008F3D5D">
        <w:t xml:space="preserve"> till förslag till "rikslagstiftning med territoriellt begränsad gilti</w:t>
      </w:r>
      <w:r w:rsidR="008F3D5D">
        <w:t>g</w:t>
      </w:r>
      <w:r w:rsidR="008F3D5D">
        <w:t>het".</w:t>
      </w:r>
    </w:p>
    <w:p w:rsidR="00057A39" w:rsidRDefault="00057A39">
      <w:pPr>
        <w:pStyle w:val="ANormal"/>
      </w:pPr>
      <w:r>
        <w:tab/>
      </w:r>
      <w:r w:rsidR="00C41141">
        <w:t>I sitt utlåtande anser grundlagsutskottet även att p</w:t>
      </w:r>
      <w:r w:rsidR="00CC2407">
        <w:t>åpekandet i motiven att bestämmelsen i sak motsvarar 15 § i den föregående självstyrelselagen (670/1951) kan ses som viktigt. Den nuvarande självstyrelselagens b</w:t>
      </w:r>
      <w:r w:rsidR="00CC2407">
        <w:t>e</w:t>
      </w:r>
      <w:r w:rsidR="00CC2407">
        <w:t>stämmelse om initiativrätten är just mot bakgrund av sin motivering en d</w:t>
      </w:r>
      <w:r w:rsidR="00CC2407">
        <w:t>i</w:t>
      </w:r>
      <w:r w:rsidR="00CC2407">
        <w:t xml:space="preserve">rekt efterföljare till denna 15 §. </w:t>
      </w:r>
      <w:r w:rsidR="00C41141">
        <w:t xml:space="preserve">Vår uppfattning är att </w:t>
      </w:r>
      <w:r w:rsidR="00CB1B96">
        <w:t xml:space="preserve">det inte kan bortses från att begränsningen </w:t>
      </w:r>
      <w:r w:rsidR="00CB1B96" w:rsidRPr="00057A39">
        <w:rPr>
          <w:i/>
        </w:rPr>
        <w:t>”en sådan landskapet enskilt rörande angeläge</w:t>
      </w:r>
      <w:r w:rsidR="00CB1B96" w:rsidRPr="00057A39">
        <w:rPr>
          <w:i/>
        </w:rPr>
        <w:t>n</w:t>
      </w:r>
      <w:r w:rsidR="00CB1B96" w:rsidRPr="00057A39">
        <w:rPr>
          <w:i/>
        </w:rPr>
        <w:t>het”</w:t>
      </w:r>
      <w:r w:rsidR="00CB1B96">
        <w:t xml:space="preserve"> avsiktligt ströks ur lagte</w:t>
      </w:r>
      <w:r w:rsidR="00CB1B96">
        <w:t>x</w:t>
      </w:r>
      <w:r w:rsidR="00CB1B96">
        <w:t>ten</w:t>
      </w:r>
      <w:r>
        <w:t>.</w:t>
      </w:r>
    </w:p>
    <w:p w:rsidR="008F3D5D" w:rsidRDefault="00057A39">
      <w:pPr>
        <w:pStyle w:val="ANormal"/>
      </w:pPr>
      <w:r>
        <w:tab/>
      </w:r>
      <w:r w:rsidR="00CB1B96">
        <w:t xml:space="preserve">Grundlagsutskottet säger i sitt utlåtande att 22 § i självstyrelselagen </w:t>
      </w:r>
      <w:r w:rsidR="00CC2407">
        <w:t>i t</w:t>
      </w:r>
      <w:r w:rsidR="00CC2407">
        <w:t>e</w:t>
      </w:r>
      <w:r w:rsidR="00CC2407">
        <w:t xml:space="preserve">orin </w:t>
      </w:r>
      <w:r w:rsidR="00CB1B96">
        <w:t xml:space="preserve">kan </w:t>
      </w:r>
      <w:r w:rsidR="00CC2407">
        <w:t>tolkas på två sätt. För det första kan tolkningen vara rent formell och alltså strikt hålla sig till ordalydelsen. Tolkningen underbyggs</w:t>
      </w:r>
      <w:r>
        <w:t xml:space="preserve"> enligt grundlagsutskottet</w:t>
      </w:r>
      <w:r w:rsidR="00CC2407">
        <w:t xml:space="preserve"> inte av någonting annat än en bokstavlig läsning av b</w:t>
      </w:r>
      <w:r w:rsidR="00CC2407">
        <w:t>e</w:t>
      </w:r>
      <w:r w:rsidR="00CC2407">
        <w:t xml:space="preserve">stämmelsen. </w:t>
      </w:r>
      <w:r w:rsidR="008F3D5D">
        <w:t>Enligt vår uppfattning</w:t>
      </w:r>
      <w:r w:rsidR="00F15519">
        <w:t xml:space="preserve"> bör lagtolkningen i första hand vara o</w:t>
      </w:r>
      <w:r w:rsidR="00F15519">
        <w:t>b</w:t>
      </w:r>
      <w:r w:rsidR="00F15519">
        <w:t xml:space="preserve">jektiv och utgå från lagtexten </w:t>
      </w:r>
      <w:r w:rsidR="00040C17">
        <w:t>från vilken det ska finnas särskilda skäl för att avvikelser</w:t>
      </w:r>
      <w:r w:rsidR="00040C17">
        <w:rPr>
          <w:rStyle w:val="Fotnotsreferens"/>
        </w:rPr>
        <w:footnoteReference w:id="1"/>
      </w:r>
      <w:r w:rsidR="00040C17">
        <w:t xml:space="preserve">. Enligt finländsk lagstiftningstradition </w:t>
      </w:r>
      <w:r w:rsidR="00F15519">
        <w:t xml:space="preserve">lagstiftar </w:t>
      </w:r>
      <w:r w:rsidR="00040C17">
        <w:t xml:space="preserve">man inte </w:t>
      </w:r>
      <w:r w:rsidR="008F3D5D">
        <w:t>g</w:t>
      </w:r>
      <w:r w:rsidR="008F3D5D">
        <w:t>e</w:t>
      </w:r>
      <w:r w:rsidR="008F3D5D">
        <w:t xml:space="preserve">nom motivering, i synnerhet inte när motiveringen </w:t>
      </w:r>
      <w:r w:rsidR="00040C17">
        <w:t xml:space="preserve">som i det här fallet </w:t>
      </w:r>
      <w:r w:rsidR="008F3D5D">
        <w:t xml:space="preserve">gör en inskränkning som uttryckligen togs bort i samband med </w:t>
      </w:r>
      <w:r w:rsidR="00F15519">
        <w:t>senaste</w:t>
      </w:r>
      <w:r w:rsidR="008F3D5D">
        <w:t xml:space="preserve"> lagän</w:t>
      </w:r>
      <w:r w:rsidR="008F3D5D">
        <w:t>d</w:t>
      </w:r>
      <w:r w:rsidR="008F3D5D">
        <w:t xml:space="preserve">ring. </w:t>
      </w:r>
    </w:p>
    <w:p w:rsidR="00AA2C01" w:rsidRDefault="00AA2C01">
      <w:pPr>
        <w:pStyle w:val="ANormal"/>
      </w:pPr>
      <w:r>
        <w:tab/>
        <w:t>Vi vill i sammanhanget även beröra att g</w:t>
      </w:r>
      <w:r w:rsidR="00717FF5">
        <w:t xml:space="preserve">rundlagsutskottet i sitt utlåtande </w:t>
      </w:r>
      <w:r>
        <w:t xml:space="preserve">hänvisade </w:t>
      </w:r>
      <w:r w:rsidR="00717FF5">
        <w:t>även till att det åtminstone i princip går att försöka uppnå det r</w:t>
      </w:r>
      <w:r w:rsidR="00717FF5">
        <w:t>e</w:t>
      </w:r>
      <w:r w:rsidR="00717FF5">
        <w:t>sultat som initiativet siktar på genom att riksdagsledamoten från Åland u</w:t>
      </w:r>
      <w:r w:rsidR="00717FF5">
        <w:t>t</w:t>
      </w:r>
      <w:r w:rsidR="00717FF5">
        <w:t>nyttjar sin rätt att väcka motioner enligt 39 § 2 mom. i grundlagen och att den rätten är densamma som för ledamöterna från alla andra va</w:t>
      </w:r>
      <w:r w:rsidR="00717FF5">
        <w:t>l</w:t>
      </w:r>
      <w:r w:rsidR="00717FF5">
        <w:t xml:space="preserve">kretsar. </w:t>
      </w:r>
      <w:r w:rsidR="00057A39">
        <w:t>Vi konstaterar att m</w:t>
      </w:r>
      <w:r w:rsidR="00717FF5">
        <w:t>ed denna motivering kunde lagtingets initiativrätt i sin he</w:t>
      </w:r>
      <w:r w:rsidR="00717FF5">
        <w:t>l</w:t>
      </w:r>
      <w:r w:rsidR="00717FF5">
        <w:t>het anses överflödig</w:t>
      </w:r>
      <w:r w:rsidR="00057A39">
        <w:t xml:space="preserve"> eftersom den åländske riksdagsledamoten har full in</w:t>
      </w:r>
      <w:r w:rsidR="00057A39">
        <w:t>i</w:t>
      </w:r>
      <w:r w:rsidR="00057A39">
        <w:t>tiativrätt</w:t>
      </w:r>
      <w:r w:rsidR="00F15519">
        <w:t xml:space="preserve"> i riksdagen</w:t>
      </w:r>
      <w:r w:rsidR="00057A39">
        <w:t xml:space="preserve">. Till skillnad från andra valkretsar har Åland </w:t>
      </w:r>
      <w:r w:rsidR="00AE7B41">
        <w:t xml:space="preserve">dock </w:t>
      </w:r>
      <w:r w:rsidR="00057A39">
        <w:t>g</w:t>
      </w:r>
      <w:r w:rsidR="00057A39">
        <w:t>e</w:t>
      </w:r>
      <w:r w:rsidR="00057A39">
        <w:t xml:space="preserve">nom löften från Finland </w:t>
      </w:r>
      <w:r w:rsidR="00F15519">
        <w:t xml:space="preserve">gentemot det internationella samfundet </w:t>
      </w:r>
      <w:r w:rsidR="00057A39">
        <w:t>tillförsä</w:t>
      </w:r>
      <w:r w:rsidR="00057A39">
        <w:t>k</w:t>
      </w:r>
      <w:r w:rsidR="00057A39">
        <w:t xml:space="preserve">rats en </w:t>
      </w:r>
      <w:r w:rsidR="00717FF5">
        <w:t>självstyrelse</w:t>
      </w:r>
      <w:r w:rsidR="00057A39">
        <w:t xml:space="preserve"> som</w:t>
      </w:r>
      <w:r w:rsidR="00717FF5">
        <w:t xml:space="preserve"> är uppbygg</w:t>
      </w:r>
      <w:r w:rsidR="00646473">
        <w:t>d</w:t>
      </w:r>
      <w:r w:rsidR="00717FF5">
        <w:t xml:space="preserve"> på att den åländska befolkningen i lagstiftningsfrågor företräds av såväl lagtinget som riksdagen</w:t>
      </w:r>
      <w:r w:rsidR="00F15519">
        <w:t xml:space="preserve"> och i självst</w:t>
      </w:r>
      <w:r w:rsidR="00F15519">
        <w:t>y</w:t>
      </w:r>
      <w:r w:rsidR="00F15519">
        <w:t>relselagen har det därför intagits en särbestämmelse om lagtingets initiati</w:t>
      </w:r>
      <w:r w:rsidR="00F15519">
        <w:t>v</w:t>
      </w:r>
      <w:r w:rsidR="00F15519">
        <w:t>rätt som komplement till riksdagsledamotens.</w:t>
      </w:r>
      <w:r w:rsidR="00717FF5">
        <w:t xml:space="preserve"> </w:t>
      </w:r>
    </w:p>
    <w:p w:rsidR="005F4451" w:rsidRDefault="00AA2C01">
      <w:pPr>
        <w:pStyle w:val="ANormal"/>
      </w:pPr>
      <w:r>
        <w:tab/>
        <w:t>Som sin slutsats konstaterade g</w:t>
      </w:r>
      <w:r w:rsidR="00B575C2">
        <w:t xml:space="preserve">rundlagsutskottet att </w:t>
      </w:r>
      <w:r w:rsidR="00CC2407">
        <w:t>villkoren för la</w:t>
      </w:r>
      <w:r w:rsidR="00CC2407">
        <w:t>g</w:t>
      </w:r>
      <w:r w:rsidR="00CC2407">
        <w:t>tingets behörighet att väcka initiativ inte uppfyll</w:t>
      </w:r>
      <w:r w:rsidR="00B575C2">
        <w:t>de</w:t>
      </w:r>
      <w:r w:rsidR="00CC2407">
        <w:t xml:space="preserve">s </w:t>
      </w:r>
      <w:r w:rsidR="00B575C2">
        <w:t>f</w:t>
      </w:r>
      <w:r w:rsidR="00CC2407">
        <w:t xml:space="preserve">ramför allt </w:t>
      </w:r>
      <w:r w:rsidR="00B575C2">
        <w:t>för att</w:t>
      </w:r>
      <w:r w:rsidR="00CC2407">
        <w:t xml:space="preserve"> in</w:t>
      </w:r>
      <w:r w:rsidR="00CC2407">
        <w:t>i</w:t>
      </w:r>
      <w:r w:rsidR="00CC2407">
        <w:t xml:space="preserve">tiativet inte bara gäller landskapet </w:t>
      </w:r>
      <w:r w:rsidR="00B575C2">
        <w:t xml:space="preserve">utan </w:t>
      </w:r>
      <w:r w:rsidR="00CC2407">
        <w:t>sikta</w:t>
      </w:r>
      <w:r w:rsidR="00C41023">
        <w:t>de</w:t>
      </w:r>
      <w:r w:rsidR="00CC2407">
        <w:t xml:space="preserve"> på att Finland ska harmon</w:t>
      </w:r>
      <w:r w:rsidR="00CC2407">
        <w:t>i</w:t>
      </w:r>
      <w:r w:rsidR="00CC2407">
        <w:t>sera sina straffrättsliga bestämmelser med lagstiftningen i Sverige</w:t>
      </w:r>
      <w:r w:rsidR="00B575C2">
        <w:t xml:space="preserve"> trots att k</w:t>
      </w:r>
      <w:r w:rsidR="00CC2407">
        <w:t>riminalpolitiska linjeval av den typen hör dock helt och hållet till riksd</w:t>
      </w:r>
      <w:r w:rsidR="00CC2407">
        <w:t>a</w:t>
      </w:r>
      <w:r w:rsidR="00CC2407">
        <w:t>gens befogenheter. Utskottet ans</w:t>
      </w:r>
      <w:r w:rsidR="00B575C2">
        <w:t xml:space="preserve">åg därför </w:t>
      </w:r>
      <w:r w:rsidR="00CC2407">
        <w:t>att Ålands lagting inte ha</w:t>
      </w:r>
      <w:r w:rsidR="00B575C2">
        <w:t>de</w:t>
      </w:r>
      <w:r w:rsidR="00CC2407">
        <w:t xml:space="preserve"> b</w:t>
      </w:r>
      <w:r w:rsidR="00CC2407">
        <w:t>e</w:t>
      </w:r>
      <w:r w:rsidR="00CC2407">
        <w:t>hörighet att väcka initiativ av den typ som avses i regeringens skr</w:t>
      </w:r>
      <w:r w:rsidR="00CC2407">
        <w:t>i</w:t>
      </w:r>
      <w:r w:rsidR="00CC2407">
        <w:t>velse.</w:t>
      </w:r>
    </w:p>
    <w:p w:rsidR="005F4451" w:rsidRDefault="00C41023">
      <w:pPr>
        <w:pStyle w:val="ANormal"/>
      </w:pPr>
      <w:r>
        <w:tab/>
      </w:r>
      <w:r w:rsidR="00F15519">
        <w:t>Vår egentliga uppfattning är att sexualbrottslagstiftningen i Finland överlag</w:t>
      </w:r>
      <w:r w:rsidR="00A875BD">
        <w:t>,</w:t>
      </w:r>
      <w:r w:rsidR="00F15519">
        <w:t xml:space="preserve"> är i behov av en översyn men f</w:t>
      </w:r>
      <w:r w:rsidR="00B575C2">
        <w:t xml:space="preserve">ör att säkerställa att initiativet denna gång tas upp till behandling föreslår vi att lagtinget i riksdagen ska väcka ett initiativ till rikslagstiftning med territoriellt begränsad giltighet vilken </w:t>
      </w:r>
      <w:r>
        <w:t xml:space="preserve">i materiellt hänseende </w:t>
      </w:r>
      <w:r w:rsidR="00B575C2">
        <w:t>skulle överensstämma med den allmänna rättsuppfat</w:t>
      </w:r>
      <w:r w:rsidR="00B575C2">
        <w:t>t</w:t>
      </w:r>
      <w:r w:rsidR="00B575C2">
        <w:t>nin</w:t>
      </w:r>
      <w:r w:rsidR="00B575C2">
        <w:t>g</w:t>
      </w:r>
      <w:r w:rsidR="00B575C2">
        <w:t>en på Åland.</w:t>
      </w:r>
    </w:p>
    <w:p w:rsidR="00FC5968" w:rsidRDefault="00FC5968">
      <w:pPr>
        <w:pStyle w:val="ANormal"/>
      </w:pPr>
      <w:r>
        <w:tab/>
        <w:t>Lagtingets initiativrätt gäller frågor som har särskild betydelse för lan</w:t>
      </w:r>
      <w:r>
        <w:t>d</w:t>
      </w:r>
      <w:r>
        <w:t>skapet. Avslutningsvis vill vi framhålla att vi anser att bedömningen av vilka frågor som har särskild betydelse för landskapet ska göras av la</w:t>
      </w:r>
      <w:r>
        <w:t>g</w:t>
      </w:r>
      <w:r>
        <w:t xml:space="preserve">tinget och inte av Finlands riksdag. </w:t>
      </w:r>
    </w:p>
    <w:p w:rsidR="005F4451" w:rsidRDefault="005F4451">
      <w:pPr>
        <w:pStyle w:val="ANormal"/>
      </w:pPr>
    </w:p>
    <w:p w:rsidR="005F4451" w:rsidRDefault="005F4451">
      <w:pPr>
        <w:pStyle w:val="RubrikB"/>
      </w:pPr>
      <w:bookmarkStart w:id="3" w:name="_Toc5702020"/>
      <w:r>
        <w:t>Behov av en översyn</w:t>
      </w:r>
      <w:bookmarkEnd w:id="3"/>
      <w:r>
        <w:t xml:space="preserve"> </w:t>
      </w:r>
    </w:p>
    <w:p w:rsidR="005F4451" w:rsidRDefault="005F4451">
      <w:pPr>
        <w:pStyle w:val="Rubrikmellanrum"/>
      </w:pPr>
    </w:p>
    <w:p w:rsidR="008306A9" w:rsidRDefault="008306A9">
      <w:pPr>
        <w:pStyle w:val="ANormal"/>
      </w:pPr>
      <w:r>
        <w:t>Vi konstaterar att flera av de synpunkter som lagtinget framförde i sitt in</w:t>
      </w:r>
      <w:r>
        <w:t>i</w:t>
      </w:r>
      <w:r>
        <w:t xml:space="preserve">tiativ från november 2011 har beaktats även om initiativet inte formellt blev behandlat. Åtalsrätten har exempelvis vidgats avsevärt och </w:t>
      </w:r>
      <w:r w:rsidRPr="008306A9">
        <w:t>definitio</w:t>
      </w:r>
      <w:r w:rsidRPr="008306A9">
        <w:t>n</w:t>
      </w:r>
      <w:r w:rsidRPr="008306A9">
        <w:t xml:space="preserve">en av </w:t>
      </w:r>
      <w:r w:rsidRPr="008306A9">
        <w:lastRenderedPageBreak/>
        <w:t>samlag har ändrats på det sätt som lagtinget efterlyste</w:t>
      </w:r>
      <w:r>
        <w:t>.</w:t>
      </w:r>
      <w:r w:rsidR="003D4BB8">
        <w:t xml:space="preserve"> Dessutom har rik</w:t>
      </w:r>
      <w:r w:rsidR="003D4BB8">
        <w:t>s</w:t>
      </w:r>
      <w:r w:rsidR="003D4BB8">
        <w:t xml:space="preserve">dagen så sent som i mars 2019 skärpt straffen för sexualbrott mot barn. Samtidigt godkändes tre uttalanden där en fortsatt översyn av 20 kapitlet i strafflagen efterlyses. </w:t>
      </w:r>
    </w:p>
    <w:p w:rsidR="005F4451" w:rsidRDefault="008306A9">
      <w:pPr>
        <w:pStyle w:val="ANormal"/>
      </w:pPr>
      <w:r>
        <w:tab/>
      </w:r>
      <w:r w:rsidR="00D31D21">
        <w:t xml:space="preserve">Vi noterar </w:t>
      </w:r>
      <w:r w:rsidR="003D4BB8">
        <w:t>även</w:t>
      </w:r>
      <w:r w:rsidR="00D31D21">
        <w:t xml:space="preserve"> att utvecklingen gått framåt i fråga om synen på kravet på samtycke och att justitieministeriet tillsatt en arbetsgrupp för änd</w:t>
      </w:r>
      <w:r w:rsidR="00D31D21">
        <w:t>a</w:t>
      </w:r>
      <w:r w:rsidR="00D31D21">
        <w:t>målet. Vi välkomnar utvecklingen mot bakgrund av</w:t>
      </w:r>
      <w:r w:rsidR="005F4451">
        <w:t xml:space="preserve"> att den allmänna rättsuppfat</w:t>
      </w:r>
      <w:r w:rsidR="005F4451">
        <w:t>t</w:t>
      </w:r>
      <w:r w:rsidR="005F4451">
        <w:t>ningen</w:t>
      </w:r>
      <w:r w:rsidR="00C41023">
        <w:t xml:space="preserve"> på Åland </w:t>
      </w:r>
      <w:r w:rsidR="005F4451">
        <w:t xml:space="preserve">i många avseenden </w:t>
      </w:r>
      <w:r w:rsidR="00D31D21">
        <w:t xml:space="preserve">länge har </w:t>
      </w:r>
      <w:r w:rsidR="005F4451">
        <w:t>skilj</w:t>
      </w:r>
      <w:r w:rsidR="00D31D21">
        <w:t>t</w:t>
      </w:r>
      <w:r w:rsidR="005F4451">
        <w:t xml:space="preserve"> sig från lagstiftarens syn på sexualbro</w:t>
      </w:r>
      <w:r w:rsidR="005F4451">
        <w:t>t</w:t>
      </w:r>
      <w:r w:rsidR="005F4451">
        <w:t xml:space="preserve">ten. </w:t>
      </w:r>
    </w:p>
    <w:p w:rsidR="005F4451" w:rsidRDefault="005F4451">
      <w:pPr>
        <w:pStyle w:val="ANormal"/>
      </w:pPr>
    </w:p>
    <w:p w:rsidR="005F4451" w:rsidRDefault="005F4451">
      <w:pPr>
        <w:pStyle w:val="RubrikB"/>
      </w:pPr>
      <w:bookmarkStart w:id="4" w:name="_Toc5702021"/>
      <w:r>
        <w:t>Utgångspunkter för översynen</w:t>
      </w:r>
      <w:bookmarkEnd w:id="4"/>
      <w:r>
        <w:t xml:space="preserve"> </w:t>
      </w:r>
    </w:p>
    <w:p w:rsidR="005F4451" w:rsidRDefault="005F4451">
      <w:pPr>
        <w:pStyle w:val="Rubrikmellanrum"/>
      </w:pPr>
    </w:p>
    <w:p w:rsidR="005A2240" w:rsidRDefault="005A2240">
      <w:pPr>
        <w:pStyle w:val="RubrikC"/>
      </w:pPr>
      <w:bookmarkStart w:id="5" w:name="_Toc5702022"/>
      <w:r>
        <w:t>Allvarliga brott</w:t>
      </w:r>
      <w:bookmarkEnd w:id="5"/>
    </w:p>
    <w:p w:rsidR="005A2240" w:rsidRPr="005A2240" w:rsidRDefault="005A2240" w:rsidP="005A2240">
      <w:pPr>
        <w:pStyle w:val="Rubrikmellanrum"/>
      </w:pPr>
    </w:p>
    <w:p w:rsidR="005A2240" w:rsidRPr="005A2240" w:rsidRDefault="005A2240" w:rsidP="005A2240">
      <w:pPr>
        <w:pStyle w:val="ANormal"/>
        <w:rPr>
          <w:bCs/>
        </w:rPr>
      </w:pPr>
      <w:r w:rsidRPr="005A2240">
        <w:rPr>
          <w:bCs/>
        </w:rPr>
        <w:t xml:space="preserve">Sexualbrotten tillhör enligt </w:t>
      </w:r>
      <w:r>
        <w:rPr>
          <w:bCs/>
        </w:rPr>
        <w:t>vår mening</w:t>
      </w:r>
      <w:r w:rsidRPr="005A2240">
        <w:rPr>
          <w:bCs/>
        </w:rPr>
        <w:t xml:space="preserve"> de allra allvarligaste brotten e</w:t>
      </w:r>
      <w:r w:rsidRPr="005A2240">
        <w:rPr>
          <w:bCs/>
        </w:rPr>
        <w:t>f</w:t>
      </w:r>
      <w:r w:rsidRPr="005A2240">
        <w:rPr>
          <w:bCs/>
        </w:rPr>
        <w:t>tersom de innebär en grov kränkning av i synnerhet den sexuella integrit</w:t>
      </w:r>
      <w:r w:rsidRPr="005A2240">
        <w:rPr>
          <w:bCs/>
        </w:rPr>
        <w:t>e</w:t>
      </w:r>
      <w:r w:rsidRPr="005A2240">
        <w:rPr>
          <w:bCs/>
        </w:rPr>
        <w:t>ten. Att bli föremål för ett sexualbrott innebär en enorm påfrestning och ett stort trauma för den drabbade. Forskning visar att ett stort antal av brott</w:t>
      </w:r>
      <w:r w:rsidRPr="005A2240">
        <w:rPr>
          <w:bCs/>
        </w:rPr>
        <w:t>s</w:t>
      </w:r>
      <w:r w:rsidRPr="005A2240">
        <w:rPr>
          <w:bCs/>
        </w:rPr>
        <w:t>offren blir deprimerade, får sömnsvårigheter, får synnerligen obehagliga återupplevelser av brottet, får djup ångest, upplever värdelöshet och äcke</w:t>
      </w:r>
      <w:r w:rsidRPr="005A2240">
        <w:rPr>
          <w:bCs/>
        </w:rPr>
        <w:t>l</w:t>
      </w:r>
      <w:r w:rsidRPr="005A2240">
        <w:rPr>
          <w:bCs/>
        </w:rPr>
        <w:t>känslor för sin kropp. Många offer är självfördömande och rannsakar sig själva med frågor som "Vad kunde jag ha gjort annorlunda?" och "Var det mitt fel?". Forskningen visar alltså att offer för sexualbrott, till skillnad från offer för t.ex. egendomsbrott, tenderar att ta på sig skulden vilket fö</w:t>
      </w:r>
      <w:r w:rsidRPr="005A2240">
        <w:rPr>
          <w:bCs/>
        </w:rPr>
        <w:t>r</w:t>
      </w:r>
      <w:r w:rsidRPr="005A2240">
        <w:rPr>
          <w:bCs/>
        </w:rPr>
        <w:t>orsakar ytterligare lidande. Brottsoffren kan också få svårt med närhet till andra människor och få stora svårigheter att njuta av sitt sexualliv. Tilliten till andra kan gå förlorad inte bara sexuellt utan också i övrigt vilket kan inn</w:t>
      </w:r>
      <w:r w:rsidRPr="005A2240">
        <w:rPr>
          <w:bCs/>
        </w:rPr>
        <w:t>e</w:t>
      </w:r>
      <w:r w:rsidRPr="005A2240">
        <w:rPr>
          <w:bCs/>
        </w:rPr>
        <w:t xml:space="preserve">bära bl.a. svårighet att känslomässigt knyta an till sina barn. Ett sexuellt övergrepp kan således påverka flera generationer framåt. </w:t>
      </w:r>
    </w:p>
    <w:p w:rsidR="005A2240" w:rsidRPr="005A2240" w:rsidRDefault="005A2240" w:rsidP="005A2240">
      <w:pPr>
        <w:pStyle w:val="Rubrikmellanrum"/>
      </w:pPr>
    </w:p>
    <w:p w:rsidR="005F4451" w:rsidRDefault="005F4451">
      <w:pPr>
        <w:pStyle w:val="RubrikC"/>
      </w:pPr>
      <w:bookmarkStart w:id="6" w:name="_Toc5702023"/>
      <w:r>
        <w:t xml:space="preserve">Föregångare </w:t>
      </w:r>
      <w:r>
        <w:rPr>
          <w:bCs w:val="0"/>
        </w:rPr>
        <w:t>inom sexualbrottslagstiftningen</w:t>
      </w:r>
      <w:bookmarkEnd w:id="6"/>
      <w:r>
        <w:rPr>
          <w:b w:val="0"/>
        </w:rPr>
        <w:t xml:space="preserve">  </w:t>
      </w:r>
    </w:p>
    <w:p w:rsidR="005F4451" w:rsidRDefault="005F4451">
      <w:pPr>
        <w:pStyle w:val="Rubrikmellanrum"/>
      </w:pPr>
    </w:p>
    <w:p w:rsidR="00C15EDE" w:rsidRDefault="005F4451">
      <w:pPr>
        <w:pStyle w:val="ANormal"/>
        <w:rPr>
          <w:szCs w:val="22"/>
        </w:rPr>
      </w:pPr>
      <w:r>
        <w:rPr>
          <w:bCs/>
        </w:rPr>
        <w:t>Det är enligt vår mening viktigt att Finland som ett modernt och jämställt land är en föregångare i fråga om sexualbrottslagstiftningen på samma sätt som Finland har ambitionen att vara ett föredöme i fråga om övriga grun</w:t>
      </w:r>
      <w:r>
        <w:rPr>
          <w:bCs/>
        </w:rPr>
        <w:t>d</w:t>
      </w:r>
      <w:r>
        <w:rPr>
          <w:bCs/>
        </w:rPr>
        <w:t>läggande fri- och rättigheter. Det borde vara en självklarhet att lagstiftnin</w:t>
      </w:r>
      <w:r>
        <w:rPr>
          <w:bCs/>
        </w:rPr>
        <w:t>g</w:t>
      </w:r>
      <w:r>
        <w:rPr>
          <w:bCs/>
        </w:rPr>
        <w:t>en alltid är så långt utvecklad att lagstiftningsändringar till följd av interna</w:t>
      </w:r>
      <w:r>
        <w:rPr>
          <w:bCs/>
        </w:rPr>
        <w:t>t</w:t>
      </w:r>
      <w:r>
        <w:rPr>
          <w:bCs/>
        </w:rPr>
        <w:t xml:space="preserve">ionella avtal på området inte i framtiden blir nödvändiga såsom nu är fallet exempelvis i fråga om Europarådets konvention om skydd för barn mot sexuell exploatering och sexuella övergrepp. Finland bör heller aldrig i framtiden bli föremål för kritik från exempelvis Amnesty International såsom i rapporten "Fallet nerlagt - </w:t>
      </w:r>
      <w:r>
        <w:rPr>
          <w:szCs w:val="22"/>
        </w:rPr>
        <w:t xml:space="preserve">Våldtäkt och mänskliga rättigheter i de nordiska länderna", vilken publicerades hösten 2008. </w:t>
      </w:r>
      <w:r w:rsidR="00C15EDE">
        <w:rPr>
          <w:szCs w:val="22"/>
        </w:rPr>
        <w:t>Målet för översynen bör med andra ord vara mycket högt ställt.</w:t>
      </w:r>
    </w:p>
    <w:p w:rsidR="005F4451" w:rsidRDefault="00C15EDE">
      <w:pPr>
        <w:pStyle w:val="ANormal"/>
        <w:rPr>
          <w:szCs w:val="22"/>
        </w:rPr>
      </w:pPr>
      <w:r>
        <w:rPr>
          <w:szCs w:val="22"/>
        </w:rPr>
        <w:tab/>
        <w:t>Eftersom det uppenbarligen ändå tycks föreligga viss tveksamhet gä</w:t>
      </w:r>
      <w:r>
        <w:rPr>
          <w:szCs w:val="22"/>
        </w:rPr>
        <w:t>l</w:t>
      </w:r>
      <w:r>
        <w:rPr>
          <w:szCs w:val="22"/>
        </w:rPr>
        <w:t xml:space="preserve">lande t.ex. införande av samtyckeslagstiftning kan </w:t>
      </w:r>
      <w:r w:rsidR="00AA2C01">
        <w:rPr>
          <w:szCs w:val="22"/>
        </w:rPr>
        <w:t>Åland vara ett bra fö</w:t>
      </w:r>
      <w:r w:rsidR="00AA2C01">
        <w:rPr>
          <w:szCs w:val="22"/>
        </w:rPr>
        <w:t>r</w:t>
      </w:r>
      <w:r w:rsidR="00AA2C01">
        <w:rPr>
          <w:szCs w:val="22"/>
        </w:rPr>
        <w:t>söksområde för en ny la</w:t>
      </w:r>
      <w:r w:rsidR="00AA2C01">
        <w:rPr>
          <w:szCs w:val="22"/>
        </w:rPr>
        <w:t>g</w:t>
      </w:r>
      <w:r w:rsidR="00AA2C01">
        <w:rPr>
          <w:szCs w:val="22"/>
        </w:rPr>
        <w:t>stiftning</w:t>
      </w:r>
      <w:r w:rsidR="005F4451">
        <w:rPr>
          <w:szCs w:val="22"/>
        </w:rPr>
        <w:t>.</w:t>
      </w:r>
    </w:p>
    <w:p w:rsidR="005F4451" w:rsidRDefault="005F4451">
      <w:pPr>
        <w:pStyle w:val="ANormal"/>
      </w:pPr>
    </w:p>
    <w:p w:rsidR="005F4451" w:rsidRDefault="00AC5D74">
      <w:pPr>
        <w:pStyle w:val="RubrikC"/>
      </w:pPr>
      <w:bookmarkStart w:id="7" w:name="_Toc5702024"/>
      <w:r>
        <w:t>Synen på k</w:t>
      </w:r>
      <w:r w:rsidR="005F4451">
        <w:t>vinnor</w:t>
      </w:r>
      <w:r w:rsidR="00C15EDE">
        <w:t>s</w:t>
      </w:r>
      <w:r w:rsidR="005F4451">
        <w:t xml:space="preserve"> och män</w:t>
      </w:r>
      <w:r w:rsidR="00C15EDE">
        <w:t>s sexualitet</w:t>
      </w:r>
      <w:bookmarkEnd w:id="7"/>
    </w:p>
    <w:p w:rsidR="005F4451" w:rsidRDefault="005F4451">
      <w:pPr>
        <w:pStyle w:val="Rubrikmellanrum"/>
      </w:pPr>
    </w:p>
    <w:p w:rsidR="005F4451" w:rsidRDefault="005F4451">
      <w:pPr>
        <w:pStyle w:val="ANormal"/>
      </w:pPr>
      <w:r>
        <w:t>I översynen av lagstiftningen bör det finnas ett uttalat och tydligt genuspe</w:t>
      </w:r>
      <w:r>
        <w:t>r</w:t>
      </w:r>
      <w:r>
        <w:t xml:space="preserve">spektiv. Förväntningarna på könen är nämligen fortsättningsvis mycket olika i frågor som rör sexualitet. </w:t>
      </w:r>
      <w:r w:rsidR="00AC5D74">
        <w:t>Det finns förväntningar på att män ska</w:t>
      </w:r>
      <w:r>
        <w:t xml:space="preserve"> ta initiativ, vara aktiva, vara sexuellt intresserade och dominanta ibland på gränsen till aggressiva samt gärna ha många partners särskilt när de är unga. Kvinnor och speciellt unga kvinnor förväntas däremot hålla på sig och vara svårövertalade för att inte få dåligt rykte. Det finns också för</w:t>
      </w:r>
      <w:r>
        <w:t>e</w:t>
      </w:r>
      <w:r>
        <w:t>ställningar om att kvinnor förväntas ställa upp på sexuellt umgänge i en r</w:t>
      </w:r>
      <w:r>
        <w:t>e</w:t>
      </w:r>
      <w:r>
        <w:t xml:space="preserve">lation även när hon inte känner för det. Sexuella trakasserier riktar sig i </w:t>
      </w:r>
      <w:r>
        <w:lastRenderedPageBreak/>
        <w:t xml:space="preserve">praktiken nästan uteslutande mot kvinnor, kvinnokroppen objektifieras i media och pornografi, kvinnliga könsorgan används som svordomar och det finns uppfattningar och fördomar kring hur en våldtäktsman och ett våldtäktsoffer är och beter sig, t.ex. förväntas inte en våldtäktsman vara snygg och trevlig. </w:t>
      </w:r>
    </w:p>
    <w:p w:rsidR="005F4451" w:rsidRDefault="005F4451">
      <w:pPr>
        <w:pStyle w:val="ANormal"/>
      </w:pPr>
      <w:r>
        <w:tab/>
        <w:t>Den här synen på könen och könsroller påverkar medvetet och ome</w:t>
      </w:r>
      <w:r>
        <w:t>d</w:t>
      </w:r>
      <w:r>
        <w:t>vetet också synen på sexualbrotten både i fråga om stiftande av lagar</w:t>
      </w:r>
      <w:r w:rsidR="00C15EDE">
        <w:t>na och tillämpningen av dem</w:t>
      </w:r>
      <w:r>
        <w:t>, något som lagstiftaren hela tiden bör vara medveten om.</w:t>
      </w:r>
      <w:r>
        <w:rPr>
          <w:lang w:val="en-US"/>
        </w:rPr>
        <w:t xml:space="preserve"> </w:t>
      </w:r>
      <w:r>
        <w:t>För att komma till rätta med både föreställningar och beteenden kop</w:t>
      </w:r>
      <w:r>
        <w:t>p</w:t>
      </w:r>
      <w:r>
        <w:t>lade till sexualitet behöver könsnormer och stereotypa uppfattningar utm</w:t>
      </w:r>
      <w:r>
        <w:t>a</w:t>
      </w:r>
      <w:r>
        <w:t>nas och gamla föreställningar och fördomar ersättas med modernare och mer jämställda värd</w:t>
      </w:r>
      <w:r>
        <w:t>e</w:t>
      </w:r>
      <w:r>
        <w:t xml:space="preserve">ringar. </w:t>
      </w:r>
    </w:p>
    <w:p w:rsidR="005F4451" w:rsidRDefault="005F4451">
      <w:pPr>
        <w:pStyle w:val="ANormal"/>
      </w:pPr>
      <w:r>
        <w:tab/>
        <w:t>Vid översynen bör det också beaktas att det finns sexuella relati</w:t>
      </w:r>
      <w:r>
        <w:t>o</w:t>
      </w:r>
      <w:r>
        <w:t xml:space="preserve">ner av många slag samt att män har sexuella relationer med män och kvinnor med kvinnor. Av lagstiftningen bör det </w:t>
      </w:r>
      <w:r w:rsidR="00AF11EB">
        <w:t xml:space="preserve">givetvis </w:t>
      </w:r>
      <w:r>
        <w:t xml:space="preserve">tydligt framgå att inte heller sexuellt våld i samkönade relationer är acceptabelt. </w:t>
      </w:r>
    </w:p>
    <w:p w:rsidR="005F4451" w:rsidRDefault="005F4451">
      <w:pPr>
        <w:pStyle w:val="ANormal"/>
      </w:pPr>
    </w:p>
    <w:p w:rsidR="00040C17" w:rsidRDefault="00040C17" w:rsidP="00040C17">
      <w:pPr>
        <w:pStyle w:val="RubrikC"/>
      </w:pPr>
      <w:bookmarkStart w:id="8" w:name="_Toc5702025"/>
      <w:r>
        <w:t>Brott riktade mot barn</w:t>
      </w:r>
      <w:bookmarkEnd w:id="8"/>
    </w:p>
    <w:p w:rsidR="00040C17" w:rsidRPr="00040C17" w:rsidRDefault="00040C17" w:rsidP="00040C17">
      <w:pPr>
        <w:pStyle w:val="Rubrikmellanrum"/>
      </w:pPr>
    </w:p>
    <w:p w:rsidR="00040C17" w:rsidRDefault="00040C17" w:rsidP="00040C17">
      <w:pPr>
        <w:pStyle w:val="ANormal"/>
      </w:pPr>
      <w:r>
        <w:t>Särskild uppmärksamhet bör fästas vid sexualbrott där barn är offer e</w:t>
      </w:r>
      <w:r>
        <w:t>f</w:t>
      </w:r>
      <w:r>
        <w:t>tersom barn är synnerligen utlämnade och försvarslösa. Brott mot barn måste därför alltid ses som grova. Detta gäller inte minst när det är fråga om brott där förövaren är en sådan person som på grund av en nära relation till barnet borde vara den som skyddar och vårdar det och som ba</w:t>
      </w:r>
      <w:r>
        <w:t>r</w:t>
      </w:r>
      <w:r>
        <w:t xml:space="preserve">net borde kunna känna förtroende gentemot. </w:t>
      </w:r>
    </w:p>
    <w:p w:rsidR="003D4BB8" w:rsidRDefault="003D4BB8" w:rsidP="00040C17">
      <w:pPr>
        <w:pStyle w:val="ANormal"/>
      </w:pPr>
      <w:r>
        <w:tab/>
        <w:t xml:space="preserve">Redan i lagtingets förra initiativ </w:t>
      </w:r>
      <w:r w:rsidR="00646473">
        <w:t xml:space="preserve">till riksdagen </w:t>
      </w:r>
      <w:r>
        <w:t xml:space="preserve">påtalades behovet </w:t>
      </w:r>
      <w:r w:rsidR="00646473">
        <w:t xml:space="preserve">av </w:t>
      </w:r>
      <w:r>
        <w:t xml:space="preserve">strängare regler i fråga om sexualbrott mot barn. Vi noterar att riksdagen nyligen </w:t>
      </w:r>
      <w:r w:rsidRPr="003D4BB8">
        <w:t>godkände en ändring av strafflagen så att straffen för sexualbrott mot barn skärp</w:t>
      </w:r>
      <w:r w:rsidR="00646473">
        <w:t>tes och att en ny bestämmelse om våldtäkt mot barn infö</w:t>
      </w:r>
      <w:r w:rsidR="00646473">
        <w:t>r</w:t>
      </w:r>
      <w:r w:rsidR="00646473">
        <w:t>des. S</w:t>
      </w:r>
      <w:r w:rsidRPr="003D4BB8">
        <w:t xml:space="preserve">amtidigt efterlyste </w:t>
      </w:r>
      <w:r w:rsidR="00646473">
        <w:t xml:space="preserve">riksdagen en </w:t>
      </w:r>
      <w:r w:rsidRPr="003D4BB8">
        <w:t xml:space="preserve">ytterligare skärpning av straffen. </w:t>
      </w:r>
      <w:r w:rsidR="00646473">
        <w:t>Vi delar riksdagens syn på behovet av ytterligare skär</w:t>
      </w:r>
      <w:r w:rsidR="00646473">
        <w:t>p</w:t>
      </w:r>
      <w:r w:rsidR="00646473">
        <w:t>ningar.</w:t>
      </w:r>
    </w:p>
    <w:p w:rsidR="00040C17" w:rsidRDefault="00040C17">
      <w:pPr>
        <w:pStyle w:val="ANormal"/>
      </w:pPr>
    </w:p>
    <w:p w:rsidR="005F4451" w:rsidRDefault="005F4451">
      <w:pPr>
        <w:pStyle w:val="RubrikC"/>
      </w:pPr>
      <w:bookmarkStart w:id="9" w:name="_Toc5702026"/>
      <w:r>
        <w:t>Bred sakkunskap</w:t>
      </w:r>
      <w:bookmarkEnd w:id="9"/>
    </w:p>
    <w:p w:rsidR="005F4451" w:rsidRDefault="005F4451">
      <w:pPr>
        <w:pStyle w:val="Rubrikmellanrum"/>
      </w:pPr>
    </w:p>
    <w:p w:rsidR="005F4451" w:rsidRDefault="005F4451">
      <w:pPr>
        <w:pStyle w:val="ANormal"/>
      </w:pPr>
      <w:r>
        <w:t>I samband med översynen bör sakkunskap anlitas på ett mycket brett fält. Av tradition anlitas ofta sakkunskap på områden som rör t.ex. polisen, åklagarväsendet och domarkåren medan det inte är lika självklart att ku</w:t>
      </w:r>
      <w:r>
        <w:t>n</w:t>
      </w:r>
      <w:r>
        <w:t>skaper och erfarenheter på det psykologiska området, från genusforsknin</w:t>
      </w:r>
      <w:r>
        <w:t>g</w:t>
      </w:r>
      <w:r>
        <w:t>en och från t.ex. kvinn</w:t>
      </w:r>
      <w:r>
        <w:t>o</w:t>
      </w:r>
      <w:r>
        <w:t xml:space="preserve">jourer tas tillvara. </w:t>
      </w:r>
    </w:p>
    <w:p w:rsidR="005F4451" w:rsidRDefault="005F4451">
      <w:pPr>
        <w:pStyle w:val="ANormal"/>
        <w:rPr>
          <w:bCs/>
          <w:szCs w:val="11"/>
        </w:rPr>
      </w:pPr>
      <w:r>
        <w:tab/>
        <w:t>Som ett exempel på kunskaper som bör tas tillvara kan nämnas den m</w:t>
      </w:r>
      <w:r>
        <w:t>o</w:t>
      </w:r>
      <w:r>
        <w:t>derna forskning som visar att d</w:t>
      </w:r>
      <w:r>
        <w:rPr>
          <w:szCs w:val="11"/>
        </w:rPr>
        <w:t>et är en normal överlevnadsreflex att bli p</w:t>
      </w:r>
      <w:r>
        <w:rPr>
          <w:szCs w:val="11"/>
        </w:rPr>
        <w:t>a</w:t>
      </w:r>
      <w:r>
        <w:rPr>
          <w:szCs w:val="11"/>
        </w:rPr>
        <w:t>ralyserad och inte göra motstånd i en hotfull situation som i samband med våldtäckt. Forskarna kallar det för "frozen fright" eller på svenska sp</w:t>
      </w:r>
      <w:r>
        <w:rPr>
          <w:szCs w:val="11"/>
        </w:rPr>
        <w:t>e</w:t>
      </w:r>
      <w:r>
        <w:rPr>
          <w:szCs w:val="11"/>
        </w:rPr>
        <w:t>la-död-reflex. Till skillnad från tidigare vet vi alltså idag att människor som utsätts för sexualiserat våld och hot ofta inte förmår eller vågar göra mo</w:t>
      </w:r>
      <w:r>
        <w:rPr>
          <w:szCs w:val="11"/>
        </w:rPr>
        <w:t>t</w:t>
      </w:r>
      <w:r>
        <w:rPr>
          <w:szCs w:val="11"/>
        </w:rPr>
        <w:t xml:space="preserve">stånd utan en reflex kan slå till så att pulsen minskar, blodtrycket sjunker och kvinnan inte längre kan vare röra sig eller ropa på hjälp. </w:t>
      </w:r>
      <w:r>
        <w:rPr>
          <w:bCs/>
        </w:rPr>
        <w:t>Detta betee</w:t>
      </w:r>
      <w:r>
        <w:rPr>
          <w:bCs/>
        </w:rPr>
        <w:t>n</w:t>
      </w:r>
      <w:r>
        <w:rPr>
          <w:bCs/>
        </w:rPr>
        <w:t>de ska inte tolkas som ett uttryck för samtycke eftersom kvinnan inte förmår göra motstånd.</w:t>
      </w:r>
    </w:p>
    <w:p w:rsidR="005F4451" w:rsidRDefault="005F4451">
      <w:pPr>
        <w:pStyle w:val="ANormal"/>
        <w:rPr>
          <w:szCs w:val="11"/>
        </w:rPr>
      </w:pPr>
    </w:p>
    <w:p w:rsidR="005F4451" w:rsidRDefault="005F4451">
      <w:pPr>
        <w:pStyle w:val="Rubrikmellanrum"/>
      </w:pPr>
    </w:p>
    <w:p w:rsidR="005F4451" w:rsidRDefault="005F4451">
      <w:pPr>
        <w:pStyle w:val="RubrikC"/>
      </w:pPr>
      <w:bookmarkStart w:id="10" w:name="_Toc5702027"/>
      <w:r>
        <w:t>Samtycke/frivilligt deltagande</w:t>
      </w:r>
      <w:bookmarkEnd w:id="10"/>
    </w:p>
    <w:p w:rsidR="005F4451" w:rsidRDefault="005F4451">
      <w:pPr>
        <w:pStyle w:val="Rubrikmellanrum"/>
      </w:pPr>
    </w:p>
    <w:p w:rsidR="005F4451" w:rsidRDefault="005F4451">
      <w:pPr>
        <w:pStyle w:val="ANormal"/>
      </w:pPr>
      <w:r>
        <w:t>Utgångspunkten för allt sexuellt umgänge måste vara alla parters fr</w:t>
      </w:r>
      <w:r>
        <w:t>i</w:t>
      </w:r>
      <w:r>
        <w:t xml:space="preserve">villiga deltagande. Medverkan utan någon form av samtycke innebär nämligen en stor kränkning av den personliga och sexuella integriteten - en kränkning som i många fall kan medföra </w:t>
      </w:r>
      <w:r>
        <w:rPr>
          <w:bCs/>
        </w:rPr>
        <w:t>allvarliga psykiska skador</w:t>
      </w:r>
      <w:r>
        <w:rPr>
          <w:b/>
        </w:rPr>
        <w:t xml:space="preserve"> </w:t>
      </w:r>
      <w:r>
        <w:t>för livet.</w:t>
      </w:r>
    </w:p>
    <w:p w:rsidR="005F4451" w:rsidRDefault="005F4451">
      <w:pPr>
        <w:pStyle w:val="ANormal"/>
        <w:rPr>
          <w:color w:val="000000"/>
          <w:szCs w:val="18"/>
        </w:rPr>
      </w:pPr>
      <w:r>
        <w:rPr>
          <w:color w:val="000000"/>
          <w:szCs w:val="18"/>
        </w:rPr>
        <w:tab/>
        <w:t>I dagens strafflag utgör våld, hot om våld eller hot en förutsättning för våldtäkt vilket innebär att det är graden av våld eller hot om våld som def</w:t>
      </w:r>
      <w:r>
        <w:rPr>
          <w:color w:val="000000"/>
          <w:szCs w:val="18"/>
        </w:rPr>
        <w:t>i</w:t>
      </w:r>
      <w:r>
        <w:rPr>
          <w:color w:val="000000"/>
          <w:szCs w:val="18"/>
        </w:rPr>
        <w:lastRenderedPageBreak/>
        <w:t>nierar hur allvarlig en våldtäkt kan anses vara. Att förekomsten av våld b</w:t>
      </w:r>
      <w:r>
        <w:rPr>
          <w:color w:val="000000"/>
          <w:szCs w:val="18"/>
        </w:rPr>
        <w:t>e</w:t>
      </w:r>
      <w:r>
        <w:rPr>
          <w:color w:val="000000"/>
          <w:szCs w:val="18"/>
        </w:rPr>
        <w:t>tonas så stark indikerar möjligen att våldtäkt ses som en form av mis</w:t>
      </w:r>
      <w:r>
        <w:rPr>
          <w:color w:val="000000"/>
          <w:szCs w:val="18"/>
        </w:rPr>
        <w:t>s</w:t>
      </w:r>
      <w:r>
        <w:rPr>
          <w:color w:val="000000"/>
          <w:szCs w:val="18"/>
        </w:rPr>
        <w:t>handel snarare än ett brott mot individens sexuella integritet och självb</w:t>
      </w:r>
      <w:r>
        <w:rPr>
          <w:color w:val="000000"/>
          <w:szCs w:val="18"/>
        </w:rPr>
        <w:t>e</w:t>
      </w:r>
      <w:r>
        <w:rPr>
          <w:color w:val="000000"/>
          <w:szCs w:val="18"/>
        </w:rPr>
        <w:t xml:space="preserve">stämmanderätten. </w:t>
      </w:r>
    </w:p>
    <w:p w:rsidR="00CD0177" w:rsidRDefault="00CD0177">
      <w:pPr>
        <w:pStyle w:val="ANormal"/>
        <w:rPr>
          <w:color w:val="000000"/>
          <w:szCs w:val="18"/>
        </w:rPr>
      </w:pPr>
      <w:r>
        <w:rPr>
          <w:color w:val="000000"/>
          <w:szCs w:val="18"/>
        </w:rPr>
        <w:tab/>
        <w:t>Det är också viktigt att begreppet hjälplöst tillstånd i 20 kap 4 § i straf</w:t>
      </w:r>
      <w:r>
        <w:rPr>
          <w:color w:val="000000"/>
          <w:szCs w:val="18"/>
        </w:rPr>
        <w:t>f</w:t>
      </w:r>
      <w:r>
        <w:rPr>
          <w:color w:val="000000"/>
          <w:szCs w:val="18"/>
        </w:rPr>
        <w:t>lagen tydligt definieras på ett sätt som överensstämmer med det allmänna rättsmedvetandet.</w:t>
      </w:r>
    </w:p>
    <w:p w:rsidR="005F4451" w:rsidRDefault="005F4451">
      <w:pPr>
        <w:pStyle w:val="ANormal"/>
      </w:pPr>
      <w:r>
        <w:tab/>
        <w:t>Bristen på samtycke som grund för straffansvaret har kommit till ty</w:t>
      </w:r>
      <w:r>
        <w:t>d</w:t>
      </w:r>
      <w:r>
        <w:t>ligt</w:t>
      </w:r>
    </w:p>
    <w:p w:rsidR="00C15EDE" w:rsidRDefault="005F4451">
      <w:pPr>
        <w:pStyle w:val="ANormal"/>
        <w:rPr>
          <w:rFonts w:ascii="OrigGarmndBT" w:hAnsi="OrigGarmndBT"/>
          <w:szCs w:val="22"/>
        </w:rPr>
      </w:pPr>
      <w:r>
        <w:t>uttryck i internationell praxis. Europadomstolen har i en den 4 december 2003 avkunnad dom (M.C. mot Bulgarien; ansökan nr 39272/98) gjort en genomgång av bl.a. lagstiftningen om våldtäkt i ett flertal europeiska länder och avgöranden av Internationella krigsförbrytartribunalen för forna Jug</w:t>
      </w:r>
      <w:r>
        <w:t>o</w:t>
      </w:r>
      <w:r>
        <w:t>slavien. Med stöd av denna genomgång har domstolen funnit att artiklarna 3 och 8 i Europakonventionen ålägger staterna att straffbelägga och effe</w:t>
      </w:r>
      <w:r>
        <w:t>k</w:t>
      </w:r>
      <w:r>
        <w:t xml:space="preserve">tivt lagföra varje form av sexuellt umgänge utan samtycke, även om offret inte har gjort fysiskt motstånd. I den sexualbrottsutredning som tillsatts av Sveriges regering och som i oktober 2010 avgav sitt betänkande (SOU 2010:71) </w:t>
      </w:r>
      <w:r>
        <w:rPr>
          <w:rFonts w:ascii="OrigGarmndBT" w:hAnsi="OrigGarmndBT"/>
          <w:szCs w:val="22"/>
        </w:rPr>
        <w:t>analyserades Bulgariendomen. Utredningens bedömning är att domen inte innebär någon förpliktelse för Sverige att utfo</w:t>
      </w:r>
      <w:r>
        <w:rPr>
          <w:rFonts w:ascii="OrigGarmndBT" w:hAnsi="OrigGarmndBT"/>
          <w:szCs w:val="22"/>
        </w:rPr>
        <w:t>r</w:t>
      </w:r>
      <w:r>
        <w:rPr>
          <w:rFonts w:ascii="OrigGarmndBT" w:hAnsi="OrigGarmndBT"/>
          <w:szCs w:val="22"/>
        </w:rPr>
        <w:t>ma lagstiftningen beträffande sexualbrott på ett visst bestämt sätt. Däremot krävs enligt u</w:t>
      </w:r>
      <w:r>
        <w:rPr>
          <w:rFonts w:ascii="OrigGarmndBT" w:hAnsi="OrigGarmndBT"/>
          <w:szCs w:val="22"/>
        </w:rPr>
        <w:t>t</w:t>
      </w:r>
      <w:r>
        <w:rPr>
          <w:rFonts w:ascii="OrigGarmndBT" w:hAnsi="OrigGarmndBT"/>
          <w:szCs w:val="22"/>
        </w:rPr>
        <w:t>redningen att svensk materiell straffrätt och tillämpningen av den lever upp till de krav som ställs i artikel 3 och 8 i Europakonventionen, såsom de har kommit till uttryck i Bulgariendomen. Det måste enligt utredarna vara mö</w:t>
      </w:r>
      <w:r>
        <w:rPr>
          <w:rFonts w:ascii="OrigGarmndBT" w:hAnsi="OrigGarmndBT"/>
          <w:szCs w:val="22"/>
        </w:rPr>
        <w:t>j</w:t>
      </w:r>
      <w:r>
        <w:rPr>
          <w:rFonts w:ascii="OrigGarmndBT" w:hAnsi="OrigGarmndBT"/>
          <w:szCs w:val="22"/>
        </w:rPr>
        <w:t>ligt att bestraffa varje sexuell handling som skett utan sa</w:t>
      </w:r>
      <w:r>
        <w:rPr>
          <w:rFonts w:ascii="OrigGarmndBT" w:hAnsi="OrigGarmndBT"/>
          <w:szCs w:val="22"/>
        </w:rPr>
        <w:t>m</w:t>
      </w:r>
      <w:r>
        <w:rPr>
          <w:rFonts w:ascii="OrigGarmndBT" w:hAnsi="OrigGarmndBT"/>
          <w:szCs w:val="22"/>
        </w:rPr>
        <w:t>tycke och det kan ifrågasättas om Sverige fullt ut uppfyll</w:t>
      </w:r>
      <w:r w:rsidR="00C15EDE">
        <w:rPr>
          <w:rFonts w:ascii="OrigGarmndBT" w:hAnsi="OrigGarmndBT"/>
          <w:szCs w:val="22"/>
        </w:rPr>
        <w:t>de</w:t>
      </w:r>
      <w:r>
        <w:rPr>
          <w:rFonts w:ascii="OrigGarmndBT" w:hAnsi="OrigGarmndBT"/>
          <w:szCs w:val="22"/>
        </w:rPr>
        <w:t xml:space="preserve"> kraven. </w:t>
      </w:r>
    </w:p>
    <w:p w:rsidR="00C15EDE" w:rsidRPr="002F2B68" w:rsidRDefault="00C15EDE" w:rsidP="002F2B68">
      <w:pPr>
        <w:pStyle w:val="ANormal"/>
      </w:pPr>
      <w:r w:rsidRPr="002F2B68">
        <w:tab/>
        <w:t>I Sverige infördes i maj 2018 en ny sexualbrottsla</w:t>
      </w:r>
      <w:r w:rsidRPr="002F2B68">
        <w:t>g</w:t>
      </w:r>
      <w:r w:rsidRPr="002F2B68">
        <w:t>stiftning som bygger på frivillighet. Syftet är bland annat att göra det tydligt att varje människa har en ovillkorlig rätt att själv bestämma över sitt sexuella umgänge. Fö</w:t>
      </w:r>
      <w:r w:rsidRPr="002F2B68">
        <w:t>r</w:t>
      </w:r>
      <w:r w:rsidRPr="002F2B68">
        <w:t>slaget innebär bland annat att</w:t>
      </w:r>
      <w:r w:rsidR="002F2B68" w:rsidRPr="002F2B68">
        <w:t xml:space="preserve"> g</w:t>
      </w:r>
      <w:r w:rsidRPr="002F2B68">
        <w:t>ränsen för om en gärning ska räknas som straffbar ska gå vid om deltagandet i en sexuell aktivitet är frivilligt eller inte. En gärningsman ska kunna dömas för till exempel våldtäkt även om hen inte använt sig av våld eller hot.</w:t>
      </w:r>
      <w:r w:rsidR="002F2B68" w:rsidRPr="002F2B68">
        <w:t xml:space="preserve"> </w:t>
      </w:r>
      <w:r w:rsidRPr="002F2B68">
        <w:t>Det inför</w:t>
      </w:r>
      <w:r w:rsidR="002F2B68" w:rsidRPr="002F2B68">
        <w:t>des även</w:t>
      </w:r>
      <w:r w:rsidRPr="002F2B68">
        <w:t xml:space="preserve"> ett särskilt oaktsa</w:t>
      </w:r>
      <w:r w:rsidRPr="002F2B68">
        <w:t>m</w:t>
      </w:r>
      <w:r w:rsidRPr="002F2B68">
        <w:t>hetsansvar för vissa allvarliga sexualbrott.</w:t>
      </w:r>
      <w:r w:rsidR="002F2B68" w:rsidRPr="002F2B68">
        <w:t xml:space="preserve"> </w:t>
      </w:r>
      <w:r w:rsidRPr="002F2B68">
        <w:t>Lagändringarna börja</w:t>
      </w:r>
      <w:r w:rsidR="002F2B68" w:rsidRPr="002F2B68">
        <w:t>de</w:t>
      </w:r>
      <w:r w:rsidRPr="002F2B68">
        <w:t xml:space="preserve"> gälla den 1 juli 2018.</w:t>
      </w:r>
      <w:r w:rsidR="002F2B68" w:rsidRPr="002F2B68">
        <w:t xml:space="preserve"> Sveriges r</w:t>
      </w:r>
      <w:r w:rsidRPr="002F2B68">
        <w:t>iksdagen rikta</w:t>
      </w:r>
      <w:r w:rsidR="002F2B68" w:rsidRPr="002F2B68">
        <w:t xml:space="preserve">de </w:t>
      </w:r>
      <w:r w:rsidRPr="002F2B68">
        <w:t>också två uppmaningar till reg</w:t>
      </w:r>
      <w:r w:rsidRPr="002F2B68">
        <w:t>e</w:t>
      </w:r>
      <w:r w:rsidRPr="002F2B68">
        <w:t>ringen om att minimistraffet för våldtäkt av så kallad normalgrad och för köp av sexuell handling av barn bör höjas</w:t>
      </w:r>
      <w:r w:rsidR="002F2B68" w:rsidRPr="002F2B68">
        <w:t xml:space="preserve"> samt att </w:t>
      </w:r>
      <w:r w:rsidRPr="002F2B68">
        <w:t>maximistraffet för köp av sex</w:t>
      </w:r>
      <w:r w:rsidR="002F2B68" w:rsidRPr="002F2B68">
        <w:t>uell handling av barn bör höjas</w:t>
      </w:r>
      <w:r w:rsidRPr="002F2B68">
        <w:t>.</w:t>
      </w:r>
    </w:p>
    <w:p w:rsidR="005F4451" w:rsidRDefault="005F4451">
      <w:pPr>
        <w:pStyle w:val="ANormal"/>
        <w:rPr>
          <w:rFonts w:ascii="OrigGarmndBT" w:hAnsi="OrigGarmndBT"/>
          <w:szCs w:val="22"/>
        </w:rPr>
      </w:pPr>
      <w:r>
        <w:rPr>
          <w:rFonts w:ascii="OrigGarmndBT" w:hAnsi="OrigGarmndBT"/>
          <w:szCs w:val="22"/>
        </w:rPr>
        <w:tab/>
      </w:r>
      <w:r w:rsidR="00646473" w:rsidRPr="00A96CED">
        <w:t>Redan i lagtingets tidigare initiativ till riksdagen efterlystes</w:t>
      </w:r>
      <w:r w:rsidR="00A96CED" w:rsidRPr="00A96CED">
        <w:t xml:space="preserve"> en analys av behovet av att införa ett krav på samtycke. Vi noterar nu att justitieminist</w:t>
      </w:r>
      <w:r w:rsidR="00A96CED" w:rsidRPr="00A96CED">
        <w:t>e</w:t>
      </w:r>
      <w:r w:rsidR="00A96CED" w:rsidRPr="00A96CED">
        <w:t>riet tillsatt en arbetsgrupp för att se över våldtäktslagstiftningen. Målet är att ändra strafflagen så att betydelsen av samtycke lyfts fram tydligare än i dag i rekvisitet för våldtäkt.</w:t>
      </w:r>
      <w:r w:rsidR="00646473">
        <w:rPr>
          <w:rFonts w:ascii="OrigGarmndBT" w:hAnsi="OrigGarmndBT"/>
          <w:szCs w:val="22"/>
        </w:rPr>
        <w:t xml:space="preserve"> </w:t>
      </w:r>
    </w:p>
    <w:p w:rsidR="00A96CED" w:rsidRDefault="00A96CED">
      <w:pPr>
        <w:pStyle w:val="ANormal"/>
        <w:rPr>
          <w:rFonts w:ascii="OrigGarmndBT" w:hAnsi="OrigGarmndBT"/>
          <w:szCs w:val="22"/>
        </w:rPr>
      </w:pPr>
    </w:p>
    <w:p w:rsidR="005F4451" w:rsidRDefault="005F4451">
      <w:pPr>
        <w:pStyle w:val="RubrikC"/>
      </w:pPr>
      <w:bookmarkStart w:id="11" w:name="_Toc5702028"/>
      <w:r>
        <w:t>Straffskalan</w:t>
      </w:r>
      <w:bookmarkEnd w:id="11"/>
    </w:p>
    <w:p w:rsidR="005F4451" w:rsidRDefault="005F4451">
      <w:pPr>
        <w:pStyle w:val="ANormal"/>
      </w:pPr>
      <w:r>
        <w:t xml:space="preserve">Även om </w:t>
      </w:r>
      <w:r>
        <w:rPr>
          <w:rFonts w:hint="eastAsia"/>
        </w:rPr>
        <w:t xml:space="preserve">det finns utrymme inom </w:t>
      </w:r>
      <w:r w:rsidR="002F2B68">
        <w:t xml:space="preserve">de </w:t>
      </w:r>
      <w:r>
        <w:rPr>
          <w:rFonts w:hint="eastAsia"/>
        </w:rPr>
        <w:t>nuvarande straffskalorna att skärpa straffpraxis</w:t>
      </w:r>
      <w:r>
        <w:t xml:space="preserve"> bör en översyn av straffskalan företas. Straffen för de grova kränkningar av både den personliga och sexuella integriteten som sexua</w:t>
      </w:r>
      <w:r>
        <w:t>l</w:t>
      </w:r>
      <w:r>
        <w:t>brotten innebär måste ställas i proportion till straffen för andra brott som t.ex. egendomsbrott. Straffsk</w:t>
      </w:r>
      <w:r>
        <w:t>a</w:t>
      </w:r>
      <w:r>
        <w:t>lan är ett tecken på samhällets syn på brottets allvar.</w:t>
      </w:r>
    </w:p>
    <w:p w:rsidR="005F4451" w:rsidRDefault="005F4451">
      <w:pPr>
        <w:pStyle w:val="ANormal"/>
      </w:pPr>
      <w:r>
        <w:tab/>
        <w:t>Både maximi- och minimistraffen bör ses över. Maximistraffen är det yttersta tecknet på hur grovt brottet anses vara men i praktiken ligger stra</w:t>
      </w:r>
      <w:r>
        <w:t>f</w:t>
      </w:r>
      <w:r>
        <w:t>fet för de flesta förövarna i den nedre delen av straffskalan varför minim</w:t>
      </w:r>
      <w:r>
        <w:t>i</w:t>
      </w:r>
      <w:r>
        <w:t>stra</w:t>
      </w:r>
      <w:r>
        <w:t>f</w:t>
      </w:r>
      <w:r>
        <w:t>fet också bör tillmätas stor betydelse.</w:t>
      </w:r>
    </w:p>
    <w:p w:rsidR="00040C17" w:rsidRDefault="00040C17">
      <w:pPr>
        <w:pStyle w:val="RubrikC"/>
      </w:pPr>
    </w:p>
    <w:p w:rsidR="005F4451" w:rsidRDefault="005F4451">
      <w:pPr>
        <w:pStyle w:val="RubrikC"/>
      </w:pPr>
      <w:bookmarkStart w:id="12" w:name="_Toc5702029"/>
      <w:r>
        <w:t>Åtalsrätten</w:t>
      </w:r>
      <w:bookmarkEnd w:id="12"/>
    </w:p>
    <w:p w:rsidR="005F4451" w:rsidRDefault="005F4451">
      <w:pPr>
        <w:pStyle w:val="Rubrikmellanrum"/>
      </w:pPr>
    </w:p>
    <w:p w:rsidR="005F4451" w:rsidRDefault="008306A9">
      <w:pPr>
        <w:pStyle w:val="ANormal"/>
      </w:pPr>
      <w:r>
        <w:t>Ä</w:t>
      </w:r>
      <w:r w:rsidR="005F4451">
        <w:t>ndring</w:t>
      </w:r>
      <w:r>
        <w:t>ar</w:t>
      </w:r>
      <w:r w:rsidR="005F4451">
        <w:t xml:space="preserve"> i rätt riktning </w:t>
      </w:r>
      <w:r>
        <w:t>i fråga om åtalsrätten har nyligen företagits men det</w:t>
      </w:r>
      <w:r w:rsidR="005F4451">
        <w:t xml:space="preserve"> bör </w:t>
      </w:r>
      <w:r>
        <w:t xml:space="preserve">ändå </w:t>
      </w:r>
      <w:r w:rsidR="005F4451">
        <w:t>övervägas om alla brott mot den sexuella integriteten och självbestämmanderätten ska sättas under allmänt åtal.</w:t>
      </w:r>
      <w:r w:rsidRPr="008306A9">
        <w:t xml:space="preserve"> Sexuellt antastande, </w:t>
      </w:r>
      <w:r>
        <w:t xml:space="preserve">såsom kränkande fysisk beröring eller verbal kränkning, </w:t>
      </w:r>
      <w:r w:rsidRPr="008306A9">
        <w:t>SL 20 kap. 5a § är fortsättningsvis ett målsägandebrott om målsäganden fyllt 18 år. </w:t>
      </w:r>
      <w:r w:rsidR="005F4451">
        <w:tab/>
        <w:t>När ett brott inte faller under allmänt åtal innebär det nämligen att ett o</w:t>
      </w:r>
      <w:r w:rsidR="005F4451">
        <w:t>f</w:t>
      </w:r>
      <w:r w:rsidR="005F4451">
        <w:t>fer kan utöva sin “fria vilja” och be åklagaren att inte väcka åtal. Det här öppnar möjlighet för gärningsmannen och andra att utöva påtryckningar på offret för att förmå denne att be åklagaren att dra tillbaka åtalet. Åklag</w:t>
      </w:r>
      <w:r w:rsidR="005F4451">
        <w:t>a</w:t>
      </w:r>
      <w:r w:rsidR="005F4451">
        <w:t>ren har ingen möjlighet att bedöma huruvida brottsoffret verkligen agerar ut</w:t>
      </w:r>
      <w:r w:rsidR="005F4451">
        <w:t>i</w:t>
      </w:r>
      <w:r w:rsidR="005F4451">
        <w:t>från sin egen fria vilja. Att inte lägga ett brott under allmänt åtal ger också en signal om att ansvaret ligger hos brottsoffret och att det är upp till offret och inte sa</w:t>
      </w:r>
      <w:r w:rsidR="005F4451">
        <w:t>m</w:t>
      </w:r>
      <w:r w:rsidR="005F4451">
        <w:t xml:space="preserve">hället att avgöra om ett brott har begåtts eller inte. </w:t>
      </w:r>
    </w:p>
    <w:p w:rsidR="005F4451" w:rsidRDefault="005F4451">
      <w:pPr>
        <w:pStyle w:val="ANormal"/>
      </w:pPr>
    </w:p>
    <w:p w:rsidR="005F4451" w:rsidRDefault="005F4451">
      <w:pPr>
        <w:pStyle w:val="RubrikC"/>
      </w:pPr>
      <w:bookmarkStart w:id="13" w:name="_Toc5702030"/>
      <w:r>
        <w:t>Nya brott och definitioner</w:t>
      </w:r>
      <w:bookmarkEnd w:id="13"/>
    </w:p>
    <w:p w:rsidR="005F4451" w:rsidRDefault="005F4451">
      <w:pPr>
        <w:pStyle w:val="Rubrikmellanrum"/>
      </w:pPr>
    </w:p>
    <w:p w:rsidR="005F4451" w:rsidRDefault="005F4451">
      <w:pPr>
        <w:pStyle w:val="ANormal"/>
      </w:pPr>
      <w:r>
        <w:t xml:space="preserve">I samband med översynen bör också införandet av nya brott som </w:t>
      </w:r>
      <w:r>
        <w:rPr>
          <w:i/>
          <w:iCs/>
        </w:rPr>
        <w:t>ofredande</w:t>
      </w:r>
      <w:r>
        <w:t xml:space="preserve"> och </w:t>
      </w:r>
      <w:r>
        <w:rPr>
          <w:i/>
          <w:iCs/>
        </w:rPr>
        <w:t>sexuellt ofredande</w:t>
      </w:r>
      <w:r>
        <w:t xml:space="preserve"> övervägas så att det skulle bli lättare än för närv</w:t>
      </w:r>
      <w:r>
        <w:t>a</w:t>
      </w:r>
      <w:r>
        <w:t>rande att lagföra trakasserier. I takt med att synen på den sexuella integrit</w:t>
      </w:r>
      <w:r>
        <w:t>e</w:t>
      </w:r>
      <w:r>
        <w:t>ten har förändrats ser man också allvarligare på sexuella trakasserier än t</w:t>
      </w:r>
      <w:r>
        <w:t>i</w:t>
      </w:r>
      <w:r>
        <w:t>digare. Ingen ska längre anses behöva utstå kränkningar i ord eller handling t.ex. i form av sexuell jargong eller språkbruk, pornografiska bilder, ovä</w:t>
      </w:r>
      <w:r>
        <w:t>l</w:t>
      </w:r>
      <w:r>
        <w:t>komna sexuella anspelningar, blickar och gester, tafsande eller annan ovä</w:t>
      </w:r>
      <w:r>
        <w:t>l</w:t>
      </w:r>
      <w:r>
        <w:t>kommen beröring av sexuellt slag samt ovälkomna förslag eller krav på sexuella tjänster. Inte heller ska någon behöva utstå nedsättande komment</w:t>
      </w:r>
      <w:r>
        <w:t>a</w:t>
      </w:r>
      <w:r>
        <w:t xml:space="preserve">rer om utseende, klädsel och privatliv och nedsättande kommentarer med anknytning till kvinnor respektive män som grupp eller att bli osynliggjord, förlöjligad, utfryst eller motarbetad på grund av sin könstillhörighet eller sexuell läggning. </w:t>
      </w:r>
    </w:p>
    <w:p w:rsidR="005F4451" w:rsidRDefault="005F4451">
      <w:pPr>
        <w:pStyle w:val="ANormal"/>
      </w:pPr>
      <w:r>
        <w:tab/>
        <w:t>Internet och nya sociala medier har visat sig kunna utgöra instrument för olika former av trakasserier. Vid översynen bör uppmärksamhet också i ö</w:t>
      </w:r>
      <w:r>
        <w:t>v</w:t>
      </w:r>
      <w:r>
        <w:t>rigt ägnas åt att utreda om det föreligger behov av la</w:t>
      </w:r>
      <w:r>
        <w:t>g</w:t>
      </w:r>
      <w:r>
        <w:t>stiftnings- eller andra åtgärder till följd av den tekniska utvecklingen.</w:t>
      </w:r>
    </w:p>
    <w:p w:rsidR="005F4451" w:rsidRDefault="005F4451">
      <w:pPr>
        <w:pStyle w:val="ANormal"/>
      </w:pPr>
      <w:r>
        <w:tab/>
        <w:t xml:space="preserve">Det bör även övervägas om det finns skäl att införa oaktsamhetsbrott så att ärenden inte behöver </w:t>
      </w:r>
      <w:r>
        <w:rPr>
          <w:szCs w:val="18"/>
        </w:rPr>
        <w:t>läggas ner på grund av att man inte kunnat bevisa att gärning</w:t>
      </w:r>
      <w:r>
        <w:rPr>
          <w:szCs w:val="18"/>
        </w:rPr>
        <w:t>s</w:t>
      </w:r>
      <w:r>
        <w:rPr>
          <w:szCs w:val="18"/>
        </w:rPr>
        <w:t>mannen haft brottsligt uppsåt.</w:t>
      </w:r>
    </w:p>
    <w:p w:rsidR="005A2240" w:rsidRDefault="005F4451">
      <w:pPr>
        <w:pStyle w:val="ANormal"/>
      </w:pPr>
      <w:r>
        <w:tab/>
        <w:t xml:space="preserve">Vidare bör strafflagens 20 kapitel ses över. </w:t>
      </w:r>
      <w:r w:rsidR="005A2240" w:rsidRPr="005A2240">
        <w:t>En ändring så att ett fänge</w:t>
      </w:r>
      <w:r w:rsidR="005A2240" w:rsidRPr="005A2240">
        <w:t>l</w:t>
      </w:r>
      <w:r w:rsidR="005A2240" w:rsidRPr="005A2240">
        <w:t>sestraff för brott enligt strafflagens 20 kapitel kan förklaras villkorligt en</w:t>
      </w:r>
      <w:r w:rsidR="005A2240" w:rsidRPr="005A2240">
        <w:t>d</w:t>
      </w:r>
      <w:r w:rsidR="005A2240" w:rsidRPr="005A2240">
        <w:t>ast om det är högst sex månader långt och gärningspersonen fyllt 18 år då brottet begicks, bör övervägas. Likaså bör det övervägas en bestämmelse enligt vilken samhällstjänst inte ska kunna förordnas om straffet följer för brott mot 20 kapitlet i strafflagen.</w:t>
      </w:r>
      <w:r w:rsidR="000E73FB">
        <w:t xml:space="preserve"> </w:t>
      </w:r>
      <w:r w:rsidR="000E73FB" w:rsidRPr="000E73FB">
        <w:t>Det är uppenbart att en sådan påföljd e</w:t>
      </w:r>
      <w:r w:rsidR="000E73FB" w:rsidRPr="000E73FB">
        <w:t>n</w:t>
      </w:r>
      <w:r w:rsidR="000E73FB" w:rsidRPr="000E73FB">
        <w:t>ligt gängse uppfattning är för lindrig med beaktande av att ett sexualbrott ofta föro</w:t>
      </w:r>
      <w:r w:rsidR="000E73FB" w:rsidRPr="000E73FB">
        <w:t>r</w:t>
      </w:r>
      <w:r w:rsidR="000E73FB" w:rsidRPr="000E73FB">
        <w:t>sakar brottsoffret ett betydande psykiskt lidande som rent av kan vara livslångt. Även ett kortare fängelsestraff utgör en mycket obehaglig upplevelse för den dömde. Kunskapen om att påföljden för ett sexua</w:t>
      </w:r>
      <w:r w:rsidR="000E73FB" w:rsidRPr="000E73FB">
        <w:t>l</w:t>
      </w:r>
      <w:r w:rsidR="000E73FB" w:rsidRPr="000E73FB">
        <w:t>brott i regel är ett ovillkorligt fängelsestraff borde ha en betydande individualpr</w:t>
      </w:r>
      <w:r w:rsidR="000E73FB" w:rsidRPr="000E73FB">
        <w:t>e</w:t>
      </w:r>
      <w:r w:rsidR="000E73FB" w:rsidRPr="000E73FB">
        <w:t>ventiv inverkan mot att begå sådana brott.</w:t>
      </w:r>
    </w:p>
    <w:p w:rsidR="005F4451" w:rsidRDefault="005F4451">
      <w:pPr>
        <w:pStyle w:val="ANormal"/>
      </w:pPr>
      <w:r>
        <w:tab/>
      </w:r>
    </w:p>
    <w:p w:rsidR="005F4451" w:rsidRDefault="005F4451">
      <w:pPr>
        <w:pStyle w:val="RubrikC"/>
      </w:pPr>
      <w:bookmarkStart w:id="14" w:name="_Toc5702031"/>
      <w:r>
        <w:t>Kompletterande åtgärder</w:t>
      </w:r>
      <w:bookmarkEnd w:id="14"/>
    </w:p>
    <w:p w:rsidR="005F4451" w:rsidRDefault="005F4451">
      <w:pPr>
        <w:pStyle w:val="Rubrikmellanrum"/>
      </w:pPr>
    </w:p>
    <w:p w:rsidR="005F4451" w:rsidRDefault="005F4451">
      <w:pPr>
        <w:pStyle w:val="ANormal"/>
      </w:pPr>
      <w:r>
        <w:t>Ovan beskrivs vilka lagstiftningsändringar som bör övervägas. Minst lika viktigt är dock att lagstiftningen kompletteras med olika typer av opinion</w:t>
      </w:r>
      <w:r>
        <w:t>s</w:t>
      </w:r>
      <w:r>
        <w:t>bildande och förebyggande åtgärder samt utbildningsinsatser.</w:t>
      </w:r>
    </w:p>
    <w:p w:rsidR="005F4451" w:rsidRDefault="005F4451">
      <w:pPr>
        <w:pStyle w:val="ANormal"/>
      </w:pPr>
      <w:r>
        <w:lastRenderedPageBreak/>
        <w:tab/>
        <w:t>Utbildningsinsatserna bör främst rikta sig till bl.a. personal inom polis- och rättsväsendet samt sjukvården i syfte att öka medvetenheten om sex</w:t>
      </w:r>
      <w:r>
        <w:t>u</w:t>
      </w:r>
      <w:r>
        <w:t>albrotten och deras påverkan. Här är också kunskaper samt medvetenhet om genusperspektivet synnerligen viktiga så att de som blivit föremål för sexuella kränkningar möts med respekt och sakkunskap. Utbildnings- och informationsinsa</w:t>
      </w:r>
      <w:r>
        <w:t>t</w:t>
      </w:r>
      <w:r>
        <w:t>ser riktade till åklagare och domare är också viktiga med tanke på ovan nämnda behov av en för hela landet enhetlig tillämpning av strafflagens 20 kapitel.</w:t>
      </w:r>
    </w:p>
    <w:p w:rsidR="005F4451" w:rsidRDefault="005F4451">
      <w:pPr>
        <w:pStyle w:val="ANormal"/>
      </w:pPr>
      <w:r>
        <w:tab/>
        <w:t>Utbildnings- och informationssatsningar riktade till unga personer är en förutsättning för att skapa ett förändringsarbete som i förlängningen kan leda till mera jämställda attityder gentemot sexualitet och ömsesidighet. Genom att öppet börja diskutera vilka normer som ligger till grund för hur vi ser på och förstår såväl sex</w:t>
      </w:r>
      <w:r>
        <w:t>u</w:t>
      </w:r>
      <w:r>
        <w:t>ella handlingar som sexuella övergrepp kan attityder och värderingar förändras. Genom att sätta fokus på både se</w:t>
      </w:r>
      <w:r>
        <w:t>x</w:t>
      </w:r>
      <w:r>
        <w:t>uellt våld samt vikten av ömsesidighet och respekt kan unga få mera kunskaper och fakta för att förstå och förhålla sig till frågor rörande sexualitet. Ver</w:t>
      </w:r>
      <w:r>
        <w:t>k</w:t>
      </w:r>
      <w:r>
        <w:t>samheten bör riktas både till unga kvinnor och män för att de ska kunna utmana destruktiva sexuella mönster. Flickorna bör få ökad medvetenhet om sina rättigheter och pojkarna måste uppmärksammas så att de t.ex. inte ska känna sig tvingade att delta i övergrepp på grund av grupptryck.</w:t>
      </w:r>
    </w:p>
    <w:p w:rsidR="00526CBD" w:rsidRPr="00526CBD" w:rsidRDefault="00526CBD" w:rsidP="00526CBD">
      <w:pPr>
        <w:pStyle w:val="ANormal"/>
      </w:pPr>
      <w:r>
        <w:tab/>
      </w:r>
      <w:r w:rsidRPr="00526CBD">
        <w:t>Mål som rör sexualbrott förutsätter specialkompetens på många olika områden, inte minst på psykologins område. Som exempel kan nä</w:t>
      </w:r>
      <w:r w:rsidRPr="00526CBD">
        <w:t>m</w:t>
      </w:r>
      <w:r w:rsidRPr="00526CBD">
        <w:t>nas att ett brottsoffer till synes kan vara oberört av övergreppet medan det i ver</w:t>
      </w:r>
      <w:r w:rsidRPr="00526CBD">
        <w:t>k</w:t>
      </w:r>
      <w:r w:rsidRPr="00526CBD">
        <w:t>ligheten handlar om att offret har fått ett så svårt trauma att det inte går att binda känslor till händelserna. Domare, åklagare och polis måste därför hålla sig ajour både med litteraturen och den ständigt växande forskningen på området. Att offentligt redogöra för sexuella erfarenheter är någonting som de flesta i allmänhet undviker och att inför en domstol redogöra för s</w:t>
      </w:r>
      <w:r w:rsidRPr="00526CBD">
        <w:t>å</w:t>
      </w:r>
      <w:r w:rsidRPr="00526CBD">
        <w:t>dana negativt laddade erfarenheter som sexuella övergrepp är synnerligen obehagligt. En utredning jämte rättegång kan därför innebära en ny traum</w:t>
      </w:r>
      <w:r w:rsidRPr="00526CBD">
        <w:t>a</w:t>
      </w:r>
      <w:r w:rsidRPr="00526CBD">
        <w:t>tisering vilket resulterar i att många brottsoffer undviker en anmälan om brott. De offer som trots allt genomgår en rättegång kan mot denna ba</w:t>
      </w:r>
      <w:r w:rsidRPr="00526CBD">
        <w:t>k</w:t>
      </w:r>
      <w:r w:rsidRPr="00526CBD">
        <w:t>grund efteråt ångra sin anmälan, särskilt om gärningsmannens straff up</w:t>
      </w:r>
      <w:r w:rsidRPr="00526CBD">
        <w:t>p</w:t>
      </w:r>
      <w:r w:rsidRPr="00526CBD">
        <w:t>fattas som lindrigt. Speciella tekniker för utrednings- och förhörsverksa</w:t>
      </w:r>
      <w:r w:rsidRPr="00526CBD">
        <w:t>m</w:t>
      </w:r>
      <w:r w:rsidRPr="00526CBD">
        <w:t>heten bör därför utvecklas så att en ny traumatisering av of</w:t>
      </w:r>
      <w:r w:rsidRPr="00526CBD">
        <w:t>f</w:t>
      </w:r>
      <w:r w:rsidRPr="00526CBD">
        <w:t xml:space="preserve">ret så långt det är möjligt kan undvikas. </w:t>
      </w:r>
    </w:p>
    <w:p w:rsidR="00526CBD" w:rsidRPr="00526CBD" w:rsidRDefault="00526CBD" w:rsidP="00526CBD">
      <w:pPr>
        <w:pStyle w:val="ANormal"/>
      </w:pPr>
      <w:r>
        <w:tab/>
      </w:r>
      <w:r w:rsidRPr="00526CBD">
        <w:t>Metoder för att styra in rättegångarna till att handla enbart om sådant som är väsentligt för målet i fråga bör också utvecklas så att uppmärksa</w:t>
      </w:r>
      <w:r w:rsidRPr="00526CBD">
        <w:t>m</w:t>
      </w:r>
      <w:r w:rsidRPr="00526CBD">
        <w:t>het inte fästs vid t.ex. brottsoffrets bakgrund och familjeförhållanden. Det är också viktigt att säkerställa att det vid de allmänna tingsrätterna finns u</w:t>
      </w:r>
      <w:r w:rsidRPr="00526CBD">
        <w:t>t</w:t>
      </w:r>
      <w:r w:rsidRPr="00526CBD">
        <w:t>rymmen där brottsoffer och gärningsmän inte behöver konfront</w:t>
      </w:r>
      <w:r w:rsidRPr="00526CBD">
        <w:t>e</w:t>
      </w:r>
      <w:r w:rsidRPr="00526CBD">
        <w:t>ras.Behovet av specialkunskaper kräver enligt vår mening nytä</w:t>
      </w:r>
      <w:r w:rsidRPr="00526CBD">
        <w:t>n</w:t>
      </w:r>
      <w:r w:rsidRPr="00526CBD">
        <w:t>kande och nya lösningar inom rättsväsendet.</w:t>
      </w:r>
    </w:p>
    <w:p w:rsidR="00526CBD" w:rsidRDefault="00526CBD">
      <w:pPr>
        <w:pStyle w:val="ANormal"/>
      </w:pPr>
      <w:r>
        <w:tab/>
      </w:r>
      <w:r w:rsidRPr="00526CBD">
        <w:t>En ytterligare fråga som bör beaktas i samband med översynen av sex</w:t>
      </w:r>
      <w:r w:rsidRPr="00526CBD">
        <w:t>u</w:t>
      </w:r>
      <w:r w:rsidRPr="00526CBD">
        <w:t xml:space="preserve">albrottslagstiftningen är behandlingen av förövarna i syfte att nya offer inte ska bli föremål för sexuellt våld. På Åland som enda plats i Finland, finns ett behandlingserbjudande för män med aggressions- och våldsproblem gentemot sin partner. Behandlingsmodellen följer </w:t>
      </w:r>
      <w:r w:rsidR="00C0693C">
        <w:t xml:space="preserve">en norsk </w:t>
      </w:r>
      <w:r w:rsidRPr="00526CBD">
        <w:t>modell</w:t>
      </w:r>
      <w:r w:rsidR="00C0693C">
        <w:t xml:space="preserve"> och e</w:t>
      </w:r>
      <w:r w:rsidRPr="00526CBD">
        <w:t>rf</w:t>
      </w:r>
      <w:r w:rsidRPr="00526CBD">
        <w:t>a</w:t>
      </w:r>
      <w:r w:rsidRPr="00526CBD">
        <w:t>renheterna från Norge är positiva.</w:t>
      </w:r>
      <w:r>
        <w:t xml:space="preserve"> </w:t>
      </w:r>
      <w:r w:rsidRPr="00526CBD">
        <w:t>Det är viktigt att behandlingar erbjuds dem som döms för sexuella övergrepp oavsett påföljden i övrigt. Det bör även övervägas om strafflindring skulle ges för dem som frivilligt geno</w:t>
      </w:r>
      <w:r w:rsidRPr="00526CBD">
        <w:t>m</w:t>
      </w:r>
      <w:r w:rsidRPr="00526CBD">
        <w:t>går behandlin</w:t>
      </w:r>
      <w:r w:rsidRPr="00526CBD">
        <w:t>g</w:t>
      </w:r>
      <w:r w:rsidRPr="00526CBD">
        <w:t>en.</w:t>
      </w:r>
    </w:p>
    <w:p w:rsidR="005F4451" w:rsidRDefault="005F4451">
      <w:pPr>
        <w:pStyle w:val="ANormal"/>
      </w:pPr>
      <w:r>
        <w:tab/>
        <w:t>I samband med översynen bör ett omfattande utbildningsprogram och en modern upplysningskampanj därför genomföras i syfte att öka förståelsen för en förändrad och modern sexualbrottslagstiftning och behovet av en allmän förändring av synen på sexuella rättigheter och skyldigheter för att uppnå ökad sexuell jämställdhet i samhället.</w:t>
      </w:r>
    </w:p>
    <w:p w:rsidR="005F4451" w:rsidRDefault="005F4451">
      <w:pPr>
        <w:pStyle w:val="ANormal"/>
      </w:pPr>
    </w:p>
    <w:p w:rsidR="005F4451" w:rsidRDefault="00AF11EB" w:rsidP="00AF11EB">
      <w:pPr>
        <w:pStyle w:val="RubrikC"/>
      </w:pPr>
      <w:bookmarkStart w:id="15" w:name="_Toc5702032"/>
      <w:r>
        <w:t>Åland som försöksområde</w:t>
      </w:r>
      <w:bookmarkEnd w:id="15"/>
    </w:p>
    <w:p w:rsidR="00AF11EB" w:rsidRDefault="00AF11EB" w:rsidP="00AF11EB">
      <w:pPr>
        <w:pStyle w:val="Rubrikmellanrum"/>
      </w:pPr>
    </w:p>
    <w:p w:rsidR="0099293B" w:rsidRDefault="00B5069A" w:rsidP="00AF11EB">
      <w:pPr>
        <w:pStyle w:val="ANormal"/>
      </w:pPr>
      <w:r>
        <w:t>Det kan tyckas som om det inte vore ändamålsenligt med olika straffrätt</w:t>
      </w:r>
      <w:r>
        <w:t>s</w:t>
      </w:r>
      <w:r>
        <w:t xml:space="preserve">liga bestämmelser inom </w:t>
      </w:r>
      <w:r w:rsidR="0099293B">
        <w:t>ett och samma land</w:t>
      </w:r>
      <w:r>
        <w:t xml:space="preserve"> men vi vill påminna om att detta inte är något exceptionellt. </w:t>
      </w:r>
      <w:r w:rsidR="0099293B">
        <w:t xml:space="preserve">Enligt självstyrelselagens 18 § p. 25 hör </w:t>
      </w:r>
      <w:r w:rsidR="0099293B" w:rsidRPr="0099293B">
        <w:t xml:space="preserve">beläggande med straff och storleken av straff inom rättsområden som hör till landskapets lagstiftningsbehörighet nämligen till lagtingets behörighet vilket innebär att det redan </w:t>
      </w:r>
      <w:r w:rsidR="0099293B">
        <w:t xml:space="preserve">idag </w:t>
      </w:r>
      <w:r w:rsidR="0099293B" w:rsidRPr="0099293B">
        <w:t xml:space="preserve">finns olika straffbestämmelser i Finland och på Åland </w:t>
      </w:r>
      <w:r w:rsidR="0099293B">
        <w:t>utan att detta har förorsakat några problem.</w:t>
      </w:r>
    </w:p>
    <w:p w:rsidR="00B5069A" w:rsidRDefault="00B5069A" w:rsidP="00AF11EB">
      <w:pPr>
        <w:pStyle w:val="ANormal"/>
      </w:pPr>
      <w:r>
        <w:tab/>
      </w:r>
      <w:r w:rsidR="00A96CED">
        <w:t xml:space="preserve">Mot bakgrund av att synen i Finland på sexualbrott förefaller närma sig den syn som redan länge funnits på Åland hyser vi stora förhoppningar på att Finland inom kort ska få en modern uppdaterad lagstiftning på området. Om det mot förmodan skulle </w:t>
      </w:r>
      <w:r w:rsidR="00526CBD">
        <w:t>vara så</w:t>
      </w:r>
      <w:r w:rsidR="00A96CED">
        <w:t xml:space="preserve"> att </w:t>
      </w:r>
      <w:r w:rsidR="00AF11EB">
        <w:t>frågan om bristen på samtycke som grund för straffansvar</w:t>
      </w:r>
      <w:r w:rsidR="00A96CED">
        <w:t xml:space="preserve"> </w:t>
      </w:r>
      <w:r w:rsidR="00AF11EB">
        <w:t xml:space="preserve">inte anses helt oproblematisk </w:t>
      </w:r>
      <w:r w:rsidR="004C4979">
        <w:t xml:space="preserve">kan det vara lämpligt att införa </w:t>
      </w:r>
      <w:r w:rsidR="00526CBD">
        <w:t xml:space="preserve">sådan </w:t>
      </w:r>
      <w:r w:rsidR="004C4979">
        <w:t>lagstiftning på försök inom ett begränsat territorium som Åland.</w:t>
      </w:r>
      <w:r>
        <w:t xml:space="preserve"> </w:t>
      </w:r>
      <w:r>
        <w:tab/>
      </w:r>
    </w:p>
    <w:p w:rsidR="004C4979" w:rsidRPr="00AF11EB" w:rsidRDefault="004C4979" w:rsidP="00AF11EB">
      <w:pPr>
        <w:pStyle w:val="ANormal"/>
      </w:pPr>
    </w:p>
    <w:p w:rsidR="00AF11EB" w:rsidRDefault="00AF11EB">
      <w:pPr>
        <w:pStyle w:val="ANormal"/>
      </w:pPr>
    </w:p>
    <w:p w:rsidR="005F4451" w:rsidRDefault="005F4451">
      <w:pPr>
        <w:pStyle w:val="ANormal"/>
      </w:pPr>
      <w:r>
        <w:t>Med anledning av det ovanstående föreslår vi</w:t>
      </w:r>
    </w:p>
    <w:p w:rsidR="005F4451" w:rsidRDefault="005F4451">
      <w:pPr>
        <w:pStyle w:val="ANormal"/>
      </w:pPr>
    </w:p>
    <w:p w:rsidR="005F4451" w:rsidRDefault="005F4451">
      <w:pPr>
        <w:pStyle w:val="Klam"/>
      </w:pPr>
      <w:r>
        <w:t>att lagtinget hos riksdagen i enlighet med 22 § självstyrelselagen för Åland, hemställer om att riksdagen ger regeringen i uppdrag att företa en översyn i enlighet med motiveringen ovan av straf</w:t>
      </w:r>
      <w:r>
        <w:t>f</w:t>
      </w:r>
      <w:r>
        <w:t>lagens bestämmelser om sexualbrott för att bringa lagstiftningen</w:t>
      </w:r>
      <w:r w:rsidR="00B575C2">
        <w:t xml:space="preserve"> på Åland</w:t>
      </w:r>
      <w:r>
        <w:t xml:space="preserve"> i överensstämmelse med den allmänna rättsuppfattnin</w:t>
      </w:r>
      <w:r>
        <w:t>g</w:t>
      </w:r>
      <w:r>
        <w:t xml:space="preserve">en </w:t>
      </w:r>
      <w:r w:rsidR="00526CBD">
        <w:t xml:space="preserve">där </w:t>
      </w:r>
      <w:r>
        <w:t>samt att därefter vidta kompletterande åtgärder i enlighet med initiat</w:t>
      </w:r>
      <w:r>
        <w:t>i</w:t>
      </w:r>
      <w:r>
        <w:t>vet.</w:t>
      </w:r>
    </w:p>
    <w:p w:rsidR="005F4451" w:rsidRDefault="005F4451">
      <w:pPr>
        <w:pStyle w:val="ANormal"/>
      </w:pPr>
    </w:p>
    <w:p w:rsidR="005F4451" w:rsidRDefault="005F445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F4451">
        <w:trPr>
          <w:cantSplit/>
        </w:trPr>
        <w:tc>
          <w:tcPr>
            <w:tcW w:w="7931" w:type="dxa"/>
            <w:gridSpan w:val="2"/>
          </w:tcPr>
          <w:p w:rsidR="005F4451" w:rsidRDefault="005F4451" w:rsidP="00FA0DF8">
            <w:pPr>
              <w:pStyle w:val="ANormal"/>
              <w:keepNext/>
            </w:pPr>
            <w:r>
              <w:t>Mariehamn den</w:t>
            </w:r>
            <w:r w:rsidR="00FA0DF8">
              <w:t xml:space="preserve"> 29 maj</w:t>
            </w:r>
            <w:bookmarkStart w:id="16" w:name="_GoBack"/>
            <w:bookmarkEnd w:id="16"/>
            <w:r>
              <w:t xml:space="preserve"> 201</w:t>
            </w:r>
            <w:r w:rsidR="00B8340E">
              <w:t>9</w:t>
            </w:r>
          </w:p>
        </w:tc>
      </w:tr>
      <w:tr w:rsidR="005F4451">
        <w:tc>
          <w:tcPr>
            <w:tcW w:w="4454" w:type="dxa"/>
            <w:vAlign w:val="bottom"/>
          </w:tcPr>
          <w:p w:rsidR="005F4451" w:rsidRDefault="005F4451">
            <w:pPr>
              <w:pStyle w:val="ANormal"/>
            </w:pPr>
          </w:p>
          <w:p w:rsidR="005F4451" w:rsidRDefault="005F4451">
            <w:pPr>
              <w:pStyle w:val="ANormal"/>
            </w:pPr>
          </w:p>
          <w:p w:rsidR="005F4451" w:rsidRDefault="009823FF" w:rsidP="009823FF">
            <w:pPr>
              <w:pStyle w:val="ANormal"/>
            </w:pPr>
            <w:r>
              <w:t>Viveka Eriksson</w:t>
            </w:r>
            <w:r w:rsidR="005F4451">
              <w:t xml:space="preserve">  </w:t>
            </w:r>
          </w:p>
        </w:tc>
        <w:tc>
          <w:tcPr>
            <w:tcW w:w="3477" w:type="dxa"/>
            <w:vAlign w:val="bottom"/>
          </w:tcPr>
          <w:p w:rsidR="005F4451" w:rsidRDefault="005F4451">
            <w:pPr>
              <w:pStyle w:val="ANormal"/>
            </w:pPr>
          </w:p>
          <w:p w:rsidR="005F4451" w:rsidRDefault="005F4451">
            <w:pPr>
              <w:pStyle w:val="ANormal"/>
            </w:pPr>
          </w:p>
          <w:p w:rsidR="005F4451" w:rsidRDefault="005F4451">
            <w:pPr>
              <w:pStyle w:val="ANormal"/>
            </w:pPr>
            <w:r>
              <w:t>Harry Jansson</w:t>
            </w:r>
          </w:p>
        </w:tc>
      </w:tr>
      <w:tr w:rsidR="000D17EF" w:rsidTr="009652CC">
        <w:tc>
          <w:tcPr>
            <w:tcW w:w="4454" w:type="dxa"/>
            <w:vAlign w:val="bottom"/>
          </w:tcPr>
          <w:p w:rsidR="000D17EF" w:rsidRDefault="000D17EF" w:rsidP="009652CC">
            <w:pPr>
              <w:pStyle w:val="ANormal"/>
            </w:pPr>
          </w:p>
          <w:p w:rsidR="000D17EF" w:rsidRDefault="000D17EF" w:rsidP="009652CC">
            <w:pPr>
              <w:pStyle w:val="ANormal"/>
            </w:pPr>
          </w:p>
          <w:p w:rsidR="000D17EF" w:rsidRDefault="000D17EF" w:rsidP="009652CC">
            <w:pPr>
              <w:pStyle w:val="ANormal"/>
            </w:pPr>
            <w:r>
              <w:t xml:space="preserve">Annette Holmberg-Jansson  </w:t>
            </w:r>
          </w:p>
        </w:tc>
        <w:tc>
          <w:tcPr>
            <w:tcW w:w="3477" w:type="dxa"/>
            <w:vAlign w:val="bottom"/>
          </w:tcPr>
          <w:p w:rsidR="000D17EF" w:rsidRDefault="000D17EF" w:rsidP="009652CC">
            <w:pPr>
              <w:pStyle w:val="ANormal"/>
            </w:pPr>
          </w:p>
          <w:p w:rsidR="000D17EF" w:rsidRDefault="000D17EF" w:rsidP="009652CC">
            <w:pPr>
              <w:pStyle w:val="ANormal"/>
            </w:pPr>
          </w:p>
          <w:p w:rsidR="000D17EF" w:rsidRDefault="000D17EF" w:rsidP="009652CC">
            <w:pPr>
              <w:pStyle w:val="ANormal"/>
            </w:pPr>
            <w:r>
              <w:t>Sara Kemetter</w:t>
            </w:r>
          </w:p>
        </w:tc>
      </w:tr>
      <w:tr w:rsidR="000D17EF" w:rsidTr="009652CC">
        <w:tc>
          <w:tcPr>
            <w:tcW w:w="4454" w:type="dxa"/>
            <w:vAlign w:val="bottom"/>
          </w:tcPr>
          <w:p w:rsidR="000D17EF" w:rsidRDefault="000D17EF" w:rsidP="009652CC">
            <w:pPr>
              <w:pStyle w:val="ANormal"/>
            </w:pPr>
          </w:p>
          <w:p w:rsidR="000D17EF" w:rsidRDefault="000D17EF" w:rsidP="009652CC">
            <w:pPr>
              <w:pStyle w:val="ANormal"/>
            </w:pPr>
          </w:p>
          <w:p w:rsidR="000D17EF" w:rsidRDefault="000D17EF" w:rsidP="009652CC">
            <w:pPr>
              <w:pStyle w:val="ANormal"/>
            </w:pPr>
            <w:r>
              <w:t xml:space="preserve">Bert Häggblom </w:t>
            </w:r>
          </w:p>
        </w:tc>
        <w:tc>
          <w:tcPr>
            <w:tcW w:w="3477" w:type="dxa"/>
            <w:vAlign w:val="bottom"/>
          </w:tcPr>
          <w:p w:rsidR="000D17EF" w:rsidRDefault="000D17EF" w:rsidP="009652CC">
            <w:pPr>
              <w:pStyle w:val="ANormal"/>
            </w:pPr>
          </w:p>
          <w:p w:rsidR="000D17EF" w:rsidRDefault="000D17EF" w:rsidP="009652CC">
            <w:pPr>
              <w:pStyle w:val="ANormal"/>
            </w:pPr>
          </w:p>
          <w:p w:rsidR="000D17EF" w:rsidRDefault="000D17EF" w:rsidP="009652CC">
            <w:pPr>
              <w:pStyle w:val="ANormal"/>
            </w:pPr>
            <w:r>
              <w:t>Axel Jonsson</w:t>
            </w:r>
          </w:p>
        </w:tc>
      </w:tr>
      <w:tr w:rsidR="000D17EF" w:rsidTr="009652CC">
        <w:tc>
          <w:tcPr>
            <w:tcW w:w="4454" w:type="dxa"/>
            <w:vAlign w:val="bottom"/>
          </w:tcPr>
          <w:p w:rsidR="000D17EF" w:rsidRDefault="000D17EF" w:rsidP="009652CC">
            <w:pPr>
              <w:pStyle w:val="ANormal"/>
            </w:pPr>
          </w:p>
          <w:p w:rsidR="000D17EF" w:rsidRDefault="000D17EF" w:rsidP="009652CC">
            <w:pPr>
              <w:pStyle w:val="ANormal"/>
            </w:pPr>
          </w:p>
          <w:p w:rsidR="000D17EF" w:rsidRDefault="000D17EF" w:rsidP="009652CC">
            <w:pPr>
              <w:pStyle w:val="ANormal"/>
            </w:pPr>
            <w:r>
              <w:t xml:space="preserve">Stephan Toivonen  </w:t>
            </w:r>
          </w:p>
        </w:tc>
        <w:tc>
          <w:tcPr>
            <w:tcW w:w="3477" w:type="dxa"/>
            <w:vAlign w:val="bottom"/>
          </w:tcPr>
          <w:p w:rsidR="000D17EF" w:rsidRDefault="000D17EF" w:rsidP="009652CC">
            <w:pPr>
              <w:pStyle w:val="ANormal"/>
            </w:pPr>
          </w:p>
          <w:p w:rsidR="000D17EF" w:rsidRDefault="000D17EF" w:rsidP="009652CC">
            <w:pPr>
              <w:pStyle w:val="ANormal"/>
            </w:pPr>
          </w:p>
          <w:p w:rsidR="000D17EF" w:rsidRDefault="000D17EF" w:rsidP="009652CC">
            <w:pPr>
              <w:pStyle w:val="ANormal"/>
            </w:pPr>
          </w:p>
        </w:tc>
      </w:tr>
      <w:tr w:rsidR="000D17EF" w:rsidTr="009652CC">
        <w:tc>
          <w:tcPr>
            <w:tcW w:w="4454" w:type="dxa"/>
            <w:vAlign w:val="bottom"/>
          </w:tcPr>
          <w:p w:rsidR="000D17EF" w:rsidRDefault="000D17EF" w:rsidP="009652CC">
            <w:pPr>
              <w:pStyle w:val="ANormal"/>
            </w:pPr>
          </w:p>
        </w:tc>
        <w:tc>
          <w:tcPr>
            <w:tcW w:w="3477" w:type="dxa"/>
            <w:vAlign w:val="bottom"/>
          </w:tcPr>
          <w:p w:rsidR="000D17EF" w:rsidRDefault="000D17EF" w:rsidP="009652CC">
            <w:pPr>
              <w:pStyle w:val="ANormal"/>
            </w:pPr>
          </w:p>
        </w:tc>
      </w:tr>
      <w:tr w:rsidR="005F4451">
        <w:tc>
          <w:tcPr>
            <w:tcW w:w="4454" w:type="dxa"/>
            <w:vAlign w:val="bottom"/>
          </w:tcPr>
          <w:p w:rsidR="005F4451" w:rsidRDefault="005F4451" w:rsidP="009823FF">
            <w:pPr>
              <w:pStyle w:val="ANormal"/>
            </w:pPr>
          </w:p>
        </w:tc>
        <w:tc>
          <w:tcPr>
            <w:tcW w:w="3477" w:type="dxa"/>
            <w:vAlign w:val="bottom"/>
          </w:tcPr>
          <w:p w:rsidR="009823FF" w:rsidRDefault="009823FF">
            <w:pPr>
              <w:pStyle w:val="ANormal"/>
            </w:pPr>
          </w:p>
        </w:tc>
      </w:tr>
      <w:tr w:rsidR="005F4451">
        <w:tc>
          <w:tcPr>
            <w:tcW w:w="4454" w:type="dxa"/>
            <w:vAlign w:val="bottom"/>
          </w:tcPr>
          <w:p w:rsidR="005F4451" w:rsidRDefault="005F4451">
            <w:pPr>
              <w:pStyle w:val="ANormal"/>
            </w:pPr>
          </w:p>
        </w:tc>
        <w:tc>
          <w:tcPr>
            <w:tcW w:w="3477" w:type="dxa"/>
            <w:vAlign w:val="bottom"/>
          </w:tcPr>
          <w:p w:rsidR="005F4451" w:rsidRDefault="005F4451">
            <w:pPr>
              <w:pStyle w:val="ANormal"/>
            </w:pPr>
          </w:p>
        </w:tc>
      </w:tr>
    </w:tbl>
    <w:p w:rsidR="005F4451" w:rsidRDefault="005F4451">
      <w:pPr>
        <w:pStyle w:val="ANormal"/>
      </w:pPr>
    </w:p>
    <w:p w:rsidR="005F4451" w:rsidRDefault="005F4451">
      <w:pPr>
        <w:pStyle w:val="ANormal"/>
      </w:pPr>
    </w:p>
    <w:p w:rsidR="005F4451" w:rsidRDefault="005F4451">
      <w:pPr>
        <w:pStyle w:val="ANormal"/>
      </w:pPr>
    </w:p>
    <w:p w:rsidR="005F4451" w:rsidRDefault="005F4451">
      <w:pPr>
        <w:spacing w:after="10"/>
        <w:ind w:left="40" w:right="40"/>
        <w:rPr>
          <w:rFonts w:ascii="Tahoma" w:hAnsi="Tahoma" w:cs="Tahoma"/>
          <w:sz w:val="20"/>
          <w:szCs w:val="20"/>
        </w:rPr>
      </w:pPr>
      <w:r>
        <w:rPr>
          <w:rFonts w:ascii="Tahoma" w:hAnsi="Tahoma" w:cs="Tahoma"/>
          <w:sz w:val="20"/>
          <w:szCs w:val="20"/>
        </w:rPr>
        <w:t> </w:t>
      </w:r>
    </w:p>
    <w:p w:rsidR="005F4451" w:rsidRDefault="005F4451">
      <w:pPr>
        <w:spacing w:after="10"/>
        <w:ind w:left="40" w:right="40"/>
        <w:rPr>
          <w:rFonts w:ascii="Tahoma" w:hAnsi="Tahoma" w:cs="Tahoma"/>
          <w:sz w:val="20"/>
          <w:szCs w:val="20"/>
        </w:rPr>
      </w:pPr>
    </w:p>
    <w:p w:rsidR="005F4451" w:rsidRDefault="005F4451">
      <w:pPr>
        <w:spacing w:after="10"/>
        <w:ind w:left="40" w:right="40"/>
        <w:rPr>
          <w:rFonts w:ascii="Tahoma" w:hAnsi="Tahoma" w:cs="Tahoma"/>
          <w:sz w:val="20"/>
          <w:szCs w:val="20"/>
        </w:rPr>
      </w:pPr>
      <w:r>
        <w:rPr>
          <w:rFonts w:ascii="Tahoma" w:hAnsi="Tahoma" w:cs="Tahoma"/>
          <w:sz w:val="20"/>
          <w:szCs w:val="20"/>
        </w:rPr>
        <w:t> </w:t>
      </w:r>
    </w:p>
    <w:p w:rsidR="005F4451" w:rsidRDefault="005F4451">
      <w:pPr>
        <w:pStyle w:val="ANormal"/>
      </w:pPr>
    </w:p>
    <w:sectPr w:rsidR="005F4451">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0D" w:rsidRDefault="001E430D">
      <w:r>
        <w:separator/>
      </w:r>
    </w:p>
  </w:endnote>
  <w:endnote w:type="continuationSeparator" w:id="0">
    <w:p w:rsidR="001E430D" w:rsidRDefault="001E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rigGarmnd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79" w:rsidRDefault="004C497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79" w:rsidRDefault="004C4979">
    <w:pPr>
      <w:pStyle w:val="Sidfot"/>
      <w:rPr>
        <w:lang w:val="fi-FI"/>
      </w:rPr>
    </w:pPr>
    <w:r>
      <w:fldChar w:fldCharType="begin"/>
    </w:r>
    <w:r>
      <w:rPr>
        <w:lang w:val="fi-FI"/>
      </w:rPr>
      <w:instrText xml:space="preserve"> FILENAME  \* MERGEFORMAT </w:instrText>
    </w:r>
    <w:r>
      <w:fldChar w:fldCharType="separate"/>
    </w:r>
    <w:r w:rsidR="00FA0DF8">
      <w:rPr>
        <w:noProof/>
        <w:lang w:val="fi-FI"/>
      </w:rPr>
      <w:t>2019 Sexualbrott.DOC</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79" w:rsidRDefault="004C49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0D" w:rsidRDefault="001E430D">
      <w:r>
        <w:separator/>
      </w:r>
    </w:p>
  </w:footnote>
  <w:footnote w:type="continuationSeparator" w:id="0">
    <w:p w:rsidR="001E430D" w:rsidRDefault="001E430D">
      <w:r>
        <w:continuationSeparator/>
      </w:r>
    </w:p>
  </w:footnote>
  <w:footnote w:id="1">
    <w:p w:rsidR="00040C17" w:rsidRPr="00040C17" w:rsidRDefault="00040C17">
      <w:pPr>
        <w:pStyle w:val="Fotnotstext"/>
        <w:rPr>
          <w:lang w:val="sv-FI"/>
        </w:rPr>
      </w:pPr>
      <w:r>
        <w:rPr>
          <w:rStyle w:val="Fotnotsreferens"/>
        </w:rPr>
        <w:footnoteRef/>
      </w:r>
      <w:r>
        <w:t xml:space="preserve"> </w:t>
      </w:r>
      <w:r>
        <w:rPr>
          <w:lang w:val="sv-FI"/>
        </w:rPr>
        <w:t>Kaarlo Tuori, Rättens nivåer och dimensioner s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79" w:rsidRDefault="004C497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A0DF8">
      <w:rPr>
        <w:rStyle w:val="Sidnummer"/>
        <w:noProof/>
      </w:rPr>
      <w:t>8</w:t>
    </w:r>
    <w:r>
      <w:rPr>
        <w:rStyle w:val="Sidnummer"/>
      </w:rPr>
      <w:fldChar w:fldCharType="end"/>
    </w:r>
  </w:p>
  <w:p w:rsidR="004C4979" w:rsidRDefault="004C497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79" w:rsidRDefault="004C497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A0DF8">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29585087"/>
    <w:multiLevelType w:val="multilevel"/>
    <w:tmpl w:val="3E64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9E"/>
    <w:rsid w:val="00040C17"/>
    <w:rsid w:val="00057A39"/>
    <w:rsid w:val="000C1C24"/>
    <w:rsid w:val="000D17EF"/>
    <w:rsid w:val="000E73FB"/>
    <w:rsid w:val="00145EBD"/>
    <w:rsid w:val="001467A2"/>
    <w:rsid w:val="001E430D"/>
    <w:rsid w:val="001F7B38"/>
    <w:rsid w:val="002F2B68"/>
    <w:rsid w:val="0037129E"/>
    <w:rsid w:val="003D4BB8"/>
    <w:rsid w:val="003E54D9"/>
    <w:rsid w:val="0042231C"/>
    <w:rsid w:val="004C4979"/>
    <w:rsid w:val="005038A0"/>
    <w:rsid w:val="00526CBD"/>
    <w:rsid w:val="005343C0"/>
    <w:rsid w:val="00550484"/>
    <w:rsid w:val="00555817"/>
    <w:rsid w:val="005720E4"/>
    <w:rsid w:val="00574E77"/>
    <w:rsid w:val="005A2240"/>
    <w:rsid w:val="005A5E00"/>
    <w:rsid w:val="005F4451"/>
    <w:rsid w:val="00636383"/>
    <w:rsid w:val="00646473"/>
    <w:rsid w:val="00717FF5"/>
    <w:rsid w:val="007E6B9A"/>
    <w:rsid w:val="008306A9"/>
    <w:rsid w:val="0084387E"/>
    <w:rsid w:val="008F3D5D"/>
    <w:rsid w:val="009652CC"/>
    <w:rsid w:val="00980047"/>
    <w:rsid w:val="009823FF"/>
    <w:rsid w:val="0098799A"/>
    <w:rsid w:val="0099293B"/>
    <w:rsid w:val="00A15231"/>
    <w:rsid w:val="00A875BD"/>
    <w:rsid w:val="00A96CED"/>
    <w:rsid w:val="00AA2C01"/>
    <w:rsid w:val="00AC5D74"/>
    <w:rsid w:val="00AE7B41"/>
    <w:rsid w:val="00AF11EB"/>
    <w:rsid w:val="00B5069A"/>
    <w:rsid w:val="00B575C2"/>
    <w:rsid w:val="00B6673A"/>
    <w:rsid w:val="00B8340E"/>
    <w:rsid w:val="00C0693C"/>
    <w:rsid w:val="00C15EDE"/>
    <w:rsid w:val="00C37409"/>
    <w:rsid w:val="00C41023"/>
    <w:rsid w:val="00C41141"/>
    <w:rsid w:val="00C94ED4"/>
    <w:rsid w:val="00CA59EA"/>
    <w:rsid w:val="00CB1B96"/>
    <w:rsid w:val="00CB42E6"/>
    <w:rsid w:val="00CC2407"/>
    <w:rsid w:val="00CD0177"/>
    <w:rsid w:val="00CD4723"/>
    <w:rsid w:val="00D31D21"/>
    <w:rsid w:val="00E35DE0"/>
    <w:rsid w:val="00E65372"/>
    <w:rsid w:val="00EF042F"/>
    <w:rsid w:val="00F15519"/>
    <w:rsid w:val="00FA0DF8"/>
    <w:rsid w:val="00FC59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
      </w:numPr>
      <w:spacing w:before="240" w:after="60"/>
      <w:outlineLvl w:val="3"/>
    </w:pPr>
    <w:rPr>
      <w:b/>
      <w:bCs/>
      <w:sz w:val="28"/>
      <w:szCs w:val="28"/>
    </w:rPr>
  </w:style>
  <w:style w:type="paragraph" w:styleId="Rubrik5">
    <w:name w:val="heading 5"/>
    <w:basedOn w:val="Normal"/>
    <w:next w:val="Normal"/>
    <w:qFormat/>
    <w:pPr>
      <w:numPr>
        <w:ilvl w:val="4"/>
        <w:numId w:val="4"/>
      </w:numPr>
      <w:spacing w:before="240" w:after="60"/>
      <w:outlineLvl w:val="4"/>
    </w:pPr>
    <w:rPr>
      <w:b/>
      <w:bCs/>
      <w:i/>
      <w:iCs/>
      <w:sz w:val="26"/>
      <w:szCs w:val="26"/>
    </w:rPr>
  </w:style>
  <w:style w:type="paragraph" w:styleId="Rubrik6">
    <w:name w:val="heading 6"/>
    <w:basedOn w:val="Normal"/>
    <w:next w:val="Normal"/>
    <w:qFormat/>
    <w:pPr>
      <w:numPr>
        <w:ilvl w:val="5"/>
        <w:numId w:val="4"/>
      </w:numPr>
      <w:spacing w:before="240" w:after="60"/>
      <w:outlineLvl w:val="5"/>
    </w:pPr>
    <w:rPr>
      <w:b/>
      <w:bCs/>
      <w:sz w:val="22"/>
      <w:szCs w:val="22"/>
    </w:rPr>
  </w:style>
  <w:style w:type="paragraph" w:styleId="Rubrik7">
    <w:name w:val="heading 7"/>
    <w:basedOn w:val="Normal"/>
    <w:next w:val="Normal"/>
    <w:qFormat/>
    <w:pPr>
      <w:numPr>
        <w:ilvl w:val="6"/>
        <w:numId w:val="4"/>
      </w:numPr>
      <w:spacing w:before="240" w:after="60"/>
      <w:outlineLvl w:val="6"/>
    </w:pPr>
  </w:style>
  <w:style w:type="paragraph" w:styleId="Rubrik8">
    <w:name w:val="heading 8"/>
    <w:basedOn w:val="Normal"/>
    <w:next w:val="Normal"/>
    <w:qFormat/>
    <w:pPr>
      <w:numPr>
        <w:ilvl w:val="7"/>
        <w:numId w:val="4"/>
      </w:numPr>
      <w:spacing w:before="240" w:after="60"/>
      <w:outlineLvl w:val="7"/>
    </w:pPr>
    <w:rPr>
      <w:i/>
      <w:iCs/>
    </w:rPr>
  </w:style>
  <w:style w:type="paragraph" w:styleId="Rubrik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3"/>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pPr>
      <w:shd w:val="clear" w:color="auto" w:fill="000080"/>
    </w:pPr>
    <w:rPr>
      <w:rFonts w:ascii="Tahoma" w:hAnsi="Tahoma" w:cs="Tahoma"/>
    </w:rPr>
  </w:style>
  <w:style w:type="paragraph" w:customStyle="1" w:styleId="py">
    <w:name w:val="py"/>
    <w:basedOn w:val="Normal"/>
    <w:pPr>
      <w:spacing w:before="100" w:beforeAutospacing="1" w:after="100" w:afterAutospacing="1"/>
    </w:pPr>
    <w:rPr>
      <w:rFonts w:ascii="Arial Unicode MS" w:eastAsia="Arial Unicode MS" w:hAnsi="Arial Unicode MS" w:cs="Arial Unicode MS"/>
    </w:rPr>
  </w:style>
  <w:style w:type="character" w:styleId="Betoning">
    <w:name w:val="Emphasis"/>
    <w:qFormat/>
    <w:rPr>
      <w:i/>
      <w:iCs/>
    </w:rPr>
  </w:style>
  <w:style w:type="paragraph" w:styleId="Fotnotstext">
    <w:name w:val="footnote text"/>
    <w:basedOn w:val="Normal"/>
    <w:link w:val="FotnotstextChar"/>
    <w:rsid w:val="00040C17"/>
    <w:rPr>
      <w:sz w:val="20"/>
      <w:szCs w:val="20"/>
    </w:rPr>
  </w:style>
  <w:style w:type="character" w:customStyle="1" w:styleId="FotnotstextChar">
    <w:name w:val="Fotnotstext Char"/>
    <w:link w:val="Fotnotstext"/>
    <w:rsid w:val="00040C17"/>
    <w:rPr>
      <w:lang w:val="sv-SE" w:eastAsia="sv-SE"/>
    </w:rPr>
  </w:style>
  <w:style w:type="character" w:styleId="Fotnotsreferens">
    <w:name w:val="footnote reference"/>
    <w:rsid w:val="00040C17"/>
    <w:rPr>
      <w:vertAlign w:val="superscript"/>
    </w:rPr>
  </w:style>
  <w:style w:type="paragraph" w:styleId="Ballongtext">
    <w:name w:val="Balloon Text"/>
    <w:basedOn w:val="Normal"/>
    <w:link w:val="BallongtextChar"/>
    <w:rsid w:val="005A5E00"/>
    <w:rPr>
      <w:rFonts w:ascii="Tahoma" w:hAnsi="Tahoma" w:cs="Tahoma"/>
      <w:sz w:val="16"/>
      <w:szCs w:val="16"/>
    </w:rPr>
  </w:style>
  <w:style w:type="character" w:customStyle="1" w:styleId="BallongtextChar">
    <w:name w:val="Ballongtext Char"/>
    <w:link w:val="Ballongtext"/>
    <w:rsid w:val="005A5E00"/>
    <w:rPr>
      <w:rFonts w:ascii="Tahoma" w:hAnsi="Tahoma" w:cs="Tahoma"/>
      <w:sz w:val="16"/>
      <w:szCs w:val="16"/>
      <w:lang w:val="sv-SE" w:eastAsia="sv-SE"/>
    </w:rPr>
  </w:style>
  <w:style w:type="paragraph" w:styleId="Normalwebb">
    <w:name w:val="Normal (Web)"/>
    <w:basedOn w:val="Normal"/>
    <w:uiPriority w:val="99"/>
    <w:unhideWhenUsed/>
    <w:rsid w:val="00C15EDE"/>
    <w:pPr>
      <w:spacing w:before="100" w:beforeAutospacing="1" w:after="100" w:afterAutospacing="1"/>
    </w:pPr>
    <w:rPr>
      <w:lang w:val="sv-FI" w:eastAsia="sv-FI"/>
    </w:rPr>
  </w:style>
  <w:style w:type="character" w:styleId="Stark">
    <w:name w:val="Strong"/>
    <w:uiPriority w:val="22"/>
    <w:qFormat/>
    <w:rsid w:val="00C15EDE"/>
    <w:rPr>
      <w:b/>
      <w:bCs/>
    </w:rPr>
  </w:style>
  <w:style w:type="paragraph" w:customStyle="1" w:styleId="anormal0">
    <w:name w:val="anormal"/>
    <w:basedOn w:val="Normal"/>
    <w:rsid w:val="00526CBD"/>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
      </w:numPr>
      <w:spacing w:before="240" w:after="60"/>
      <w:outlineLvl w:val="3"/>
    </w:pPr>
    <w:rPr>
      <w:b/>
      <w:bCs/>
      <w:sz w:val="28"/>
      <w:szCs w:val="28"/>
    </w:rPr>
  </w:style>
  <w:style w:type="paragraph" w:styleId="Rubrik5">
    <w:name w:val="heading 5"/>
    <w:basedOn w:val="Normal"/>
    <w:next w:val="Normal"/>
    <w:qFormat/>
    <w:pPr>
      <w:numPr>
        <w:ilvl w:val="4"/>
        <w:numId w:val="4"/>
      </w:numPr>
      <w:spacing w:before="240" w:after="60"/>
      <w:outlineLvl w:val="4"/>
    </w:pPr>
    <w:rPr>
      <w:b/>
      <w:bCs/>
      <w:i/>
      <w:iCs/>
      <w:sz w:val="26"/>
      <w:szCs w:val="26"/>
    </w:rPr>
  </w:style>
  <w:style w:type="paragraph" w:styleId="Rubrik6">
    <w:name w:val="heading 6"/>
    <w:basedOn w:val="Normal"/>
    <w:next w:val="Normal"/>
    <w:qFormat/>
    <w:pPr>
      <w:numPr>
        <w:ilvl w:val="5"/>
        <w:numId w:val="4"/>
      </w:numPr>
      <w:spacing w:before="240" w:after="60"/>
      <w:outlineLvl w:val="5"/>
    </w:pPr>
    <w:rPr>
      <w:b/>
      <w:bCs/>
      <w:sz w:val="22"/>
      <w:szCs w:val="22"/>
    </w:rPr>
  </w:style>
  <w:style w:type="paragraph" w:styleId="Rubrik7">
    <w:name w:val="heading 7"/>
    <w:basedOn w:val="Normal"/>
    <w:next w:val="Normal"/>
    <w:qFormat/>
    <w:pPr>
      <w:numPr>
        <w:ilvl w:val="6"/>
        <w:numId w:val="4"/>
      </w:numPr>
      <w:spacing w:before="240" w:after="60"/>
      <w:outlineLvl w:val="6"/>
    </w:pPr>
  </w:style>
  <w:style w:type="paragraph" w:styleId="Rubrik8">
    <w:name w:val="heading 8"/>
    <w:basedOn w:val="Normal"/>
    <w:next w:val="Normal"/>
    <w:qFormat/>
    <w:pPr>
      <w:numPr>
        <w:ilvl w:val="7"/>
        <w:numId w:val="4"/>
      </w:numPr>
      <w:spacing w:before="240" w:after="60"/>
      <w:outlineLvl w:val="7"/>
    </w:pPr>
    <w:rPr>
      <w:i/>
      <w:iCs/>
    </w:rPr>
  </w:style>
  <w:style w:type="paragraph" w:styleId="Rubrik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3"/>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pPr>
      <w:shd w:val="clear" w:color="auto" w:fill="000080"/>
    </w:pPr>
    <w:rPr>
      <w:rFonts w:ascii="Tahoma" w:hAnsi="Tahoma" w:cs="Tahoma"/>
    </w:rPr>
  </w:style>
  <w:style w:type="paragraph" w:customStyle="1" w:styleId="py">
    <w:name w:val="py"/>
    <w:basedOn w:val="Normal"/>
    <w:pPr>
      <w:spacing w:before="100" w:beforeAutospacing="1" w:after="100" w:afterAutospacing="1"/>
    </w:pPr>
    <w:rPr>
      <w:rFonts w:ascii="Arial Unicode MS" w:eastAsia="Arial Unicode MS" w:hAnsi="Arial Unicode MS" w:cs="Arial Unicode MS"/>
    </w:rPr>
  </w:style>
  <w:style w:type="character" w:styleId="Betoning">
    <w:name w:val="Emphasis"/>
    <w:qFormat/>
    <w:rPr>
      <w:i/>
      <w:iCs/>
    </w:rPr>
  </w:style>
  <w:style w:type="paragraph" w:styleId="Fotnotstext">
    <w:name w:val="footnote text"/>
    <w:basedOn w:val="Normal"/>
    <w:link w:val="FotnotstextChar"/>
    <w:rsid w:val="00040C17"/>
    <w:rPr>
      <w:sz w:val="20"/>
      <w:szCs w:val="20"/>
    </w:rPr>
  </w:style>
  <w:style w:type="character" w:customStyle="1" w:styleId="FotnotstextChar">
    <w:name w:val="Fotnotstext Char"/>
    <w:link w:val="Fotnotstext"/>
    <w:rsid w:val="00040C17"/>
    <w:rPr>
      <w:lang w:val="sv-SE" w:eastAsia="sv-SE"/>
    </w:rPr>
  </w:style>
  <w:style w:type="character" w:styleId="Fotnotsreferens">
    <w:name w:val="footnote reference"/>
    <w:rsid w:val="00040C17"/>
    <w:rPr>
      <w:vertAlign w:val="superscript"/>
    </w:rPr>
  </w:style>
  <w:style w:type="paragraph" w:styleId="Ballongtext">
    <w:name w:val="Balloon Text"/>
    <w:basedOn w:val="Normal"/>
    <w:link w:val="BallongtextChar"/>
    <w:rsid w:val="005A5E00"/>
    <w:rPr>
      <w:rFonts w:ascii="Tahoma" w:hAnsi="Tahoma" w:cs="Tahoma"/>
      <w:sz w:val="16"/>
      <w:szCs w:val="16"/>
    </w:rPr>
  </w:style>
  <w:style w:type="character" w:customStyle="1" w:styleId="BallongtextChar">
    <w:name w:val="Ballongtext Char"/>
    <w:link w:val="Ballongtext"/>
    <w:rsid w:val="005A5E00"/>
    <w:rPr>
      <w:rFonts w:ascii="Tahoma" w:hAnsi="Tahoma" w:cs="Tahoma"/>
      <w:sz w:val="16"/>
      <w:szCs w:val="16"/>
      <w:lang w:val="sv-SE" w:eastAsia="sv-SE"/>
    </w:rPr>
  </w:style>
  <w:style w:type="paragraph" w:styleId="Normalwebb">
    <w:name w:val="Normal (Web)"/>
    <w:basedOn w:val="Normal"/>
    <w:uiPriority w:val="99"/>
    <w:unhideWhenUsed/>
    <w:rsid w:val="00C15EDE"/>
    <w:pPr>
      <w:spacing w:before="100" w:beforeAutospacing="1" w:after="100" w:afterAutospacing="1"/>
    </w:pPr>
    <w:rPr>
      <w:lang w:val="sv-FI" w:eastAsia="sv-FI"/>
    </w:rPr>
  </w:style>
  <w:style w:type="character" w:styleId="Stark">
    <w:name w:val="Strong"/>
    <w:uiPriority w:val="22"/>
    <w:qFormat/>
    <w:rsid w:val="00C15EDE"/>
    <w:rPr>
      <w:b/>
      <w:bCs/>
    </w:rPr>
  </w:style>
  <w:style w:type="paragraph" w:customStyle="1" w:styleId="anormal0">
    <w:name w:val="anormal"/>
    <w:basedOn w:val="Normal"/>
    <w:rsid w:val="00526CBD"/>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9532">
      <w:bodyDiv w:val="1"/>
      <w:marLeft w:val="0"/>
      <w:marRight w:val="0"/>
      <w:marTop w:val="0"/>
      <w:marBottom w:val="0"/>
      <w:divBdr>
        <w:top w:val="none" w:sz="0" w:space="0" w:color="auto"/>
        <w:left w:val="none" w:sz="0" w:space="0" w:color="auto"/>
        <w:bottom w:val="none" w:sz="0" w:space="0" w:color="auto"/>
        <w:right w:val="none" w:sz="0" w:space="0" w:color="auto"/>
      </w:divBdr>
    </w:div>
    <w:div w:id="1081027083">
      <w:bodyDiv w:val="1"/>
      <w:marLeft w:val="0"/>
      <w:marRight w:val="0"/>
      <w:marTop w:val="0"/>
      <w:marBottom w:val="0"/>
      <w:divBdr>
        <w:top w:val="none" w:sz="0" w:space="0" w:color="auto"/>
        <w:left w:val="none" w:sz="0" w:space="0" w:color="auto"/>
        <w:bottom w:val="none" w:sz="0" w:space="0" w:color="auto"/>
        <w:right w:val="none" w:sz="0" w:space="0" w:color="auto"/>
      </w:divBdr>
    </w:div>
    <w:div w:id="1591743680">
      <w:bodyDiv w:val="1"/>
      <w:marLeft w:val="0"/>
      <w:marRight w:val="0"/>
      <w:marTop w:val="0"/>
      <w:marBottom w:val="0"/>
      <w:divBdr>
        <w:top w:val="none" w:sz="0" w:space="0" w:color="auto"/>
        <w:left w:val="none" w:sz="0" w:space="0" w:color="auto"/>
        <w:bottom w:val="none" w:sz="0" w:space="0" w:color="auto"/>
        <w:right w:val="none" w:sz="0" w:space="0" w:color="auto"/>
      </w:divBdr>
      <w:divsChild>
        <w:div w:id="1345087874">
          <w:marLeft w:val="0"/>
          <w:marRight w:val="0"/>
          <w:marTop w:val="0"/>
          <w:marBottom w:val="0"/>
          <w:divBdr>
            <w:top w:val="none" w:sz="0" w:space="0" w:color="auto"/>
            <w:left w:val="none" w:sz="0" w:space="0" w:color="auto"/>
            <w:bottom w:val="none" w:sz="0" w:space="0" w:color="auto"/>
            <w:right w:val="none" w:sz="0" w:space="0" w:color="auto"/>
          </w:divBdr>
          <w:divsChild>
            <w:div w:id="354355820">
              <w:marLeft w:val="0"/>
              <w:marRight w:val="0"/>
              <w:marTop w:val="0"/>
              <w:marBottom w:val="0"/>
              <w:divBdr>
                <w:top w:val="none" w:sz="0" w:space="0" w:color="auto"/>
                <w:left w:val="none" w:sz="0" w:space="0" w:color="auto"/>
                <w:bottom w:val="none" w:sz="0" w:space="0" w:color="auto"/>
                <w:right w:val="none" w:sz="0" w:space="0" w:color="auto"/>
              </w:divBdr>
            </w:div>
          </w:divsChild>
        </w:div>
        <w:div w:id="1780754497">
          <w:marLeft w:val="0"/>
          <w:marRight w:val="0"/>
          <w:marTop w:val="0"/>
          <w:marBottom w:val="0"/>
          <w:divBdr>
            <w:top w:val="none" w:sz="0" w:space="0" w:color="auto"/>
            <w:left w:val="none" w:sz="0" w:space="0" w:color="auto"/>
            <w:bottom w:val="none" w:sz="0" w:space="0" w:color="auto"/>
            <w:right w:val="none" w:sz="0" w:space="0" w:color="auto"/>
          </w:divBdr>
          <w:divsChild>
            <w:div w:id="9914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L-Hemst&#228;llningsmoti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6DFC-F316-4274-AB74-0927395F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LTL-Hemställningsmotion.dot</Template>
  <TotalTime>1</TotalTime>
  <Pages>8</Pages>
  <Words>4253</Words>
  <Characters>22545</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Hemställningsmotion nr 11/2010-2011</vt:lpstr>
    </vt:vector>
  </TitlesOfParts>
  <Company>Ålands lagting</Company>
  <LinksUpToDate>false</LinksUpToDate>
  <CharactersWithSpaces>26745</CharactersWithSpaces>
  <SharedDoc>false</SharedDoc>
  <HLinks>
    <vt:vector size="90" baseType="variant">
      <vt:variant>
        <vt:i4>2162693</vt:i4>
      </vt:variant>
      <vt:variant>
        <vt:i4>86</vt:i4>
      </vt:variant>
      <vt:variant>
        <vt:i4>0</vt:i4>
      </vt:variant>
      <vt:variant>
        <vt:i4>5</vt:i4>
      </vt:variant>
      <vt:variant>
        <vt:lpwstr/>
      </vt:variant>
      <vt:variant>
        <vt:lpwstr>_Toc5702032</vt:lpwstr>
      </vt:variant>
      <vt:variant>
        <vt:i4>2162693</vt:i4>
      </vt:variant>
      <vt:variant>
        <vt:i4>80</vt:i4>
      </vt:variant>
      <vt:variant>
        <vt:i4>0</vt:i4>
      </vt:variant>
      <vt:variant>
        <vt:i4>5</vt:i4>
      </vt:variant>
      <vt:variant>
        <vt:lpwstr/>
      </vt:variant>
      <vt:variant>
        <vt:lpwstr>_Toc5702031</vt:lpwstr>
      </vt:variant>
      <vt:variant>
        <vt:i4>2162693</vt:i4>
      </vt:variant>
      <vt:variant>
        <vt:i4>74</vt:i4>
      </vt:variant>
      <vt:variant>
        <vt:i4>0</vt:i4>
      </vt:variant>
      <vt:variant>
        <vt:i4>5</vt:i4>
      </vt:variant>
      <vt:variant>
        <vt:lpwstr/>
      </vt:variant>
      <vt:variant>
        <vt:lpwstr>_Toc5702030</vt:lpwstr>
      </vt:variant>
      <vt:variant>
        <vt:i4>2097157</vt:i4>
      </vt:variant>
      <vt:variant>
        <vt:i4>68</vt:i4>
      </vt:variant>
      <vt:variant>
        <vt:i4>0</vt:i4>
      </vt:variant>
      <vt:variant>
        <vt:i4>5</vt:i4>
      </vt:variant>
      <vt:variant>
        <vt:lpwstr/>
      </vt:variant>
      <vt:variant>
        <vt:lpwstr>_Toc5702029</vt:lpwstr>
      </vt:variant>
      <vt:variant>
        <vt:i4>2097157</vt:i4>
      </vt:variant>
      <vt:variant>
        <vt:i4>62</vt:i4>
      </vt:variant>
      <vt:variant>
        <vt:i4>0</vt:i4>
      </vt:variant>
      <vt:variant>
        <vt:i4>5</vt:i4>
      </vt:variant>
      <vt:variant>
        <vt:lpwstr/>
      </vt:variant>
      <vt:variant>
        <vt:lpwstr>_Toc5702028</vt:lpwstr>
      </vt:variant>
      <vt:variant>
        <vt:i4>2097157</vt:i4>
      </vt:variant>
      <vt:variant>
        <vt:i4>56</vt:i4>
      </vt:variant>
      <vt:variant>
        <vt:i4>0</vt:i4>
      </vt:variant>
      <vt:variant>
        <vt:i4>5</vt:i4>
      </vt:variant>
      <vt:variant>
        <vt:lpwstr/>
      </vt:variant>
      <vt:variant>
        <vt:lpwstr>_Toc5702027</vt:lpwstr>
      </vt:variant>
      <vt:variant>
        <vt:i4>2097157</vt:i4>
      </vt:variant>
      <vt:variant>
        <vt:i4>50</vt:i4>
      </vt:variant>
      <vt:variant>
        <vt:i4>0</vt:i4>
      </vt:variant>
      <vt:variant>
        <vt:i4>5</vt:i4>
      </vt:variant>
      <vt:variant>
        <vt:lpwstr/>
      </vt:variant>
      <vt:variant>
        <vt:lpwstr>_Toc5702026</vt:lpwstr>
      </vt:variant>
      <vt:variant>
        <vt:i4>2097157</vt:i4>
      </vt:variant>
      <vt:variant>
        <vt:i4>44</vt:i4>
      </vt:variant>
      <vt:variant>
        <vt:i4>0</vt:i4>
      </vt:variant>
      <vt:variant>
        <vt:i4>5</vt:i4>
      </vt:variant>
      <vt:variant>
        <vt:lpwstr/>
      </vt:variant>
      <vt:variant>
        <vt:lpwstr>_Toc5702025</vt:lpwstr>
      </vt:variant>
      <vt:variant>
        <vt:i4>2097157</vt:i4>
      </vt:variant>
      <vt:variant>
        <vt:i4>38</vt:i4>
      </vt:variant>
      <vt:variant>
        <vt:i4>0</vt:i4>
      </vt:variant>
      <vt:variant>
        <vt:i4>5</vt:i4>
      </vt:variant>
      <vt:variant>
        <vt:lpwstr/>
      </vt:variant>
      <vt:variant>
        <vt:lpwstr>_Toc5702024</vt:lpwstr>
      </vt:variant>
      <vt:variant>
        <vt:i4>2097157</vt:i4>
      </vt:variant>
      <vt:variant>
        <vt:i4>32</vt:i4>
      </vt:variant>
      <vt:variant>
        <vt:i4>0</vt:i4>
      </vt:variant>
      <vt:variant>
        <vt:i4>5</vt:i4>
      </vt:variant>
      <vt:variant>
        <vt:lpwstr/>
      </vt:variant>
      <vt:variant>
        <vt:lpwstr>_Toc5702023</vt:lpwstr>
      </vt:variant>
      <vt:variant>
        <vt:i4>2097157</vt:i4>
      </vt:variant>
      <vt:variant>
        <vt:i4>26</vt:i4>
      </vt:variant>
      <vt:variant>
        <vt:i4>0</vt:i4>
      </vt:variant>
      <vt:variant>
        <vt:i4>5</vt:i4>
      </vt:variant>
      <vt:variant>
        <vt:lpwstr/>
      </vt:variant>
      <vt:variant>
        <vt:lpwstr>_Toc5702022</vt:lpwstr>
      </vt:variant>
      <vt:variant>
        <vt:i4>2097157</vt:i4>
      </vt:variant>
      <vt:variant>
        <vt:i4>20</vt:i4>
      </vt:variant>
      <vt:variant>
        <vt:i4>0</vt:i4>
      </vt:variant>
      <vt:variant>
        <vt:i4>5</vt:i4>
      </vt:variant>
      <vt:variant>
        <vt:lpwstr/>
      </vt:variant>
      <vt:variant>
        <vt:lpwstr>_Toc5702021</vt:lpwstr>
      </vt:variant>
      <vt:variant>
        <vt:i4>2097157</vt:i4>
      </vt:variant>
      <vt:variant>
        <vt:i4>14</vt:i4>
      </vt:variant>
      <vt:variant>
        <vt:i4>0</vt:i4>
      </vt:variant>
      <vt:variant>
        <vt:i4>5</vt:i4>
      </vt:variant>
      <vt:variant>
        <vt:lpwstr/>
      </vt:variant>
      <vt:variant>
        <vt:lpwstr>_Toc5702020</vt:lpwstr>
      </vt:variant>
      <vt:variant>
        <vt:i4>2293765</vt:i4>
      </vt:variant>
      <vt:variant>
        <vt:i4>8</vt:i4>
      </vt:variant>
      <vt:variant>
        <vt:i4>0</vt:i4>
      </vt:variant>
      <vt:variant>
        <vt:i4>5</vt:i4>
      </vt:variant>
      <vt:variant>
        <vt:lpwstr/>
      </vt:variant>
      <vt:variant>
        <vt:lpwstr>_Toc5702019</vt:lpwstr>
      </vt:variant>
      <vt:variant>
        <vt:i4>2293765</vt:i4>
      </vt:variant>
      <vt:variant>
        <vt:i4>2</vt:i4>
      </vt:variant>
      <vt:variant>
        <vt:i4>0</vt:i4>
      </vt:variant>
      <vt:variant>
        <vt:i4>5</vt:i4>
      </vt:variant>
      <vt:variant>
        <vt:lpwstr/>
      </vt:variant>
      <vt:variant>
        <vt:lpwstr>_Toc5702018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Hemställningsmotion nr 8/2018-2019</dc:title>
  <dc:creator>LT</dc:creator>
  <cp:lastModifiedBy>Jessica Laaksonen</cp:lastModifiedBy>
  <cp:revision>2</cp:revision>
  <cp:lastPrinted>2019-05-29T11:53:00Z</cp:lastPrinted>
  <dcterms:created xsi:type="dcterms:W3CDTF">2019-05-29T11:56:00Z</dcterms:created>
  <dcterms:modified xsi:type="dcterms:W3CDTF">2019-05-29T11:56:00Z</dcterms:modified>
</cp:coreProperties>
</file>