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314E6D">
            <w:pPr>
              <w:pStyle w:val="xLedtext"/>
              <w:keepNext/>
              <w:rPr>
                <w:noProof/>
              </w:rPr>
            </w:pPr>
            <w:bookmarkStart w:id="0" w:name="_GoBack"/>
            <w:bookmarkEnd w:id="0"/>
            <w:r>
              <w:rPr>
                <w:noProof/>
                <w:sz w:val="20"/>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314E6D">
            <w:pPr>
              <w:pStyle w:val="xMellanrum"/>
            </w:pPr>
            <w:r>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314E6D">
            <w:pPr>
              <w:pStyle w:val="xDokTypNr"/>
            </w:pPr>
            <w:r>
              <w:t>LAGFÖRSLAG</w:t>
            </w:r>
            <w:r w:rsidR="00AF3004">
              <w:t xml:space="preserve"> nr </w:t>
            </w:r>
            <w:r w:rsidR="00D86EB3">
              <w:t>16</w:t>
            </w:r>
            <w:r w:rsidR="00AF3004">
              <w:t>/20</w:t>
            </w:r>
            <w:r>
              <w:t>18</w:t>
            </w:r>
            <w:r w:rsidR="00AF3004">
              <w:t>-20</w:t>
            </w:r>
            <w:r>
              <w:t>19</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314E6D">
              <w:rPr>
                <w:lang w:val="de-DE"/>
              </w:rPr>
              <w:t>19</w:t>
            </w:r>
            <w:r>
              <w:rPr>
                <w:lang w:val="de-DE"/>
              </w:rPr>
              <w:t>-</w:t>
            </w:r>
            <w:r w:rsidR="00314E6D">
              <w:rPr>
                <w:lang w:val="de-DE"/>
              </w:rPr>
              <w:t>04</w:t>
            </w:r>
            <w:r>
              <w:rPr>
                <w:lang w:val="de-DE"/>
              </w:rPr>
              <w:t>-</w:t>
            </w:r>
            <w:r w:rsidR="00D86EB3">
              <w:rPr>
                <w:lang w:val="de-DE"/>
              </w:rPr>
              <w:t>04</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1" w:name="_top"/>
            <w:bookmarkEnd w:id="1"/>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rsidR="00AF3004" w:rsidRDefault="00314E6D">
      <w:pPr>
        <w:pStyle w:val="ArendeRubrik"/>
      </w:pPr>
      <w:r w:rsidRPr="002C5063">
        <w:lastRenderedPageBreak/>
        <w:t>Fördelning av kompensation till kommunerna</w:t>
      </w:r>
      <w:r>
        <w:t xml:space="preserve"> 2019</w:t>
      </w:r>
    </w:p>
    <w:p w:rsidR="00AF3004" w:rsidRDefault="00AF3004">
      <w:pPr>
        <w:pStyle w:val="ANormal"/>
      </w:pPr>
    </w:p>
    <w:p w:rsidR="00AF3004" w:rsidRDefault="00AF3004">
      <w:pPr>
        <w:pStyle w:val="ANormal"/>
      </w:pPr>
    </w:p>
    <w:p w:rsidR="00AF3004" w:rsidRDefault="00AF3004">
      <w:pPr>
        <w:pStyle w:val="RubrikA"/>
      </w:pPr>
      <w:bookmarkStart w:id="2" w:name="_Toc5198306"/>
      <w:r>
        <w:t>Huvudsakligt innehåll</w:t>
      </w:r>
      <w:bookmarkEnd w:id="2"/>
    </w:p>
    <w:p w:rsidR="00AF3004" w:rsidRDefault="00AF3004">
      <w:pPr>
        <w:pStyle w:val="Rubrikmellanrum"/>
      </w:pPr>
    </w:p>
    <w:p w:rsidR="00AF3004" w:rsidRDefault="00314E6D">
      <w:pPr>
        <w:pStyle w:val="ANormal"/>
      </w:pPr>
      <w:r>
        <w:t>Landskapsregeringen föreslår att en lag antas om vissa kompensationer till kommunerna finansåret 2019. De kompensationer det är frågan om är dels kompensation för statens så kallade konkurrenskraftspaket och dels ko</w:t>
      </w:r>
      <w:r>
        <w:t>m</w:t>
      </w:r>
      <w:r>
        <w:t>pensation för skatteåtgärder som vidtagits för skatteåret 2019. Fördelningen av kompensationerna mellan de enskilda kommunerna är densamma som tillämpades för motsvarande kompensationer finansåret 2018.</w:t>
      </w:r>
    </w:p>
    <w:p w:rsidR="00AF3004" w:rsidRDefault="00AF3004">
      <w:pPr>
        <w:pStyle w:val="ANormal"/>
      </w:pPr>
    </w:p>
    <w:p w:rsidR="00AF3004" w:rsidRDefault="009E3278">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314E6D"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198306" w:history="1">
        <w:r w:rsidR="00314E6D" w:rsidRPr="00EA06C8">
          <w:rPr>
            <w:rStyle w:val="Hyperlnk"/>
          </w:rPr>
          <w:t>Huvudsakligt innehåll</w:t>
        </w:r>
        <w:r w:rsidR="00314E6D">
          <w:rPr>
            <w:webHidden/>
          </w:rPr>
          <w:tab/>
        </w:r>
        <w:r w:rsidR="00314E6D">
          <w:rPr>
            <w:webHidden/>
          </w:rPr>
          <w:fldChar w:fldCharType="begin"/>
        </w:r>
        <w:r w:rsidR="00314E6D">
          <w:rPr>
            <w:webHidden/>
          </w:rPr>
          <w:instrText xml:space="preserve"> PAGEREF _Toc5198306 \h </w:instrText>
        </w:r>
        <w:r w:rsidR="00314E6D">
          <w:rPr>
            <w:webHidden/>
          </w:rPr>
        </w:r>
        <w:r w:rsidR="00314E6D">
          <w:rPr>
            <w:webHidden/>
          </w:rPr>
          <w:fldChar w:fldCharType="separate"/>
        </w:r>
        <w:r w:rsidR="00314E6D">
          <w:rPr>
            <w:webHidden/>
          </w:rPr>
          <w:t>1</w:t>
        </w:r>
        <w:r w:rsidR="00314E6D">
          <w:rPr>
            <w:webHidden/>
          </w:rPr>
          <w:fldChar w:fldCharType="end"/>
        </w:r>
      </w:hyperlink>
    </w:p>
    <w:p w:rsidR="00314E6D" w:rsidRDefault="009E3278">
      <w:pPr>
        <w:pStyle w:val="Innehll1"/>
        <w:rPr>
          <w:rFonts w:asciiTheme="minorHAnsi" w:eastAsiaTheme="minorEastAsia" w:hAnsiTheme="minorHAnsi" w:cstheme="minorBidi"/>
          <w:sz w:val="22"/>
          <w:szCs w:val="22"/>
          <w:lang w:val="sv-FI" w:eastAsia="sv-FI"/>
        </w:rPr>
      </w:pPr>
      <w:hyperlink w:anchor="_Toc5198307" w:history="1">
        <w:r w:rsidR="00314E6D" w:rsidRPr="00EA06C8">
          <w:rPr>
            <w:rStyle w:val="Hyperlnk"/>
          </w:rPr>
          <w:t>Motivering</w:t>
        </w:r>
        <w:r w:rsidR="00314E6D">
          <w:rPr>
            <w:webHidden/>
          </w:rPr>
          <w:tab/>
        </w:r>
        <w:r w:rsidR="00314E6D">
          <w:rPr>
            <w:webHidden/>
          </w:rPr>
          <w:fldChar w:fldCharType="begin"/>
        </w:r>
        <w:r w:rsidR="00314E6D">
          <w:rPr>
            <w:webHidden/>
          </w:rPr>
          <w:instrText xml:space="preserve"> PAGEREF _Toc5198307 \h </w:instrText>
        </w:r>
        <w:r w:rsidR="00314E6D">
          <w:rPr>
            <w:webHidden/>
          </w:rPr>
        </w:r>
        <w:r w:rsidR="00314E6D">
          <w:rPr>
            <w:webHidden/>
          </w:rPr>
          <w:fldChar w:fldCharType="separate"/>
        </w:r>
        <w:r w:rsidR="00314E6D">
          <w:rPr>
            <w:webHidden/>
          </w:rPr>
          <w:t>3</w:t>
        </w:r>
        <w:r w:rsidR="00314E6D">
          <w:rPr>
            <w:webHidden/>
          </w:rPr>
          <w:fldChar w:fldCharType="end"/>
        </w:r>
      </w:hyperlink>
    </w:p>
    <w:p w:rsidR="00314E6D" w:rsidRDefault="009E3278">
      <w:pPr>
        <w:pStyle w:val="Innehll2"/>
        <w:rPr>
          <w:rFonts w:asciiTheme="minorHAnsi" w:eastAsiaTheme="minorEastAsia" w:hAnsiTheme="minorHAnsi" w:cstheme="minorBidi"/>
          <w:sz w:val="22"/>
          <w:szCs w:val="22"/>
          <w:lang w:val="sv-FI" w:eastAsia="sv-FI"/>
        </w:rPr>
      </w:pPr>
      <w:hyperlink w:anchor="_Toc5198308" w:history="1">
        <w:r w:rsidR="00314E6D" w:rsidRPr="00EA06C8">
          <w:rPr>
            <w:rStyle w:val="Hyperlnk"/>
          </w:rPr>
          <w:t>1. Bakgrund</w:t>
        </w:r>
        <w:r w:rsidR="00314E6D">
          <w:rPr>
            <w:webHidden/>
          </w:rPr>
          <w:tab/>
        </w:r>
        <w:r w:rsidR="00314E6D">
          <w:rPr>
            <w:webHidden/>
          </w:rPr>
          <w:fldChar w:fldCharType="begin"/>
        </w:r>
        <w:r w:rsidR="00314E6D">
          <w:rPr>
            <w:webHidden/>
          </w:rPr>
          <w:instrText xml:space="preserve"> PAGEREF _Toc5198308 \h </w:instrText>
        </w:r>
        <w:r w:rsidR="00314E6D">
          <w:rPr>
            <w:webHidden/>
          </w:rPr>
        </w:r>
        <w:r w:rsidR="00314E6D">
          <w:rPr>
            <w:webHidden/>
          </w:rPr>
          <w:fldChar w:fldCharType="separate"/>
        </w:r>
        <w:r w:rsidR="00314E6D">
          <w:rPr>
            <w:webHidden/>
          </w:rPr>
          <w:t>3</w:t>
        </w:r>
        <w:r w:rsidR="00314E6D">
          <w:rPr>
            <w:webHidden/>
          </w:rPr>
          <w:fldChar w:fldCharType="end"/>
        </w:r>
      </w:hyperlink>
    </w:p>
    <w:p w:rsidR="00314E6D" w:rsidRDefault="009E3278">
      <w:pPr>
        <w:pStyle w:val="Innehll2"/>
        <w:rPr>
          <w:rFonts w:asciiTheme="minorHAnsi" w:eastAsiaTheme="minorEastAsia" w:hAnsiTheme="minorHAnsi" w:cstheme="minorBidi"/>
          <w:sz w:val="22"/>
          <w:szCs w:val="22"/>
          <w:lang w:val="sv-FI" w:eastAsia="sv-FI"/>
        </w:rPr>
      </w:pPr>
      <w:hyperlink w:anchor="_Toc5198309" w:history="1">
        <w:r w:rsidR="00314E6D" w:rsidRPr="00EA06C8">
          <w:rPr>
            <w:rStyle w:val="Hyperlnk"/>
          </w:rPr>
          <w:t>2. Landskapsregeringens förslag</w:t>
        </w:r>
        <w:r w:rsidR="00314E6D">
          <w:rPr>
            <w:webHidden/>
          </w:rPr>
          <w:tab/>
        </w:r>
        <w:r w:rsidR="00314E6D">
          <w:rPr>
            <w:webHidden/>
          </w:rPr>
          <w:fldChar w:fldCharType="begin"/>
        </w:r>
        <w:r w:rsidR="00314E6D">
          <w:rPr>
            <w:webHidden/>
          </w:rPr>
          <w:instrText xml:space="preserve"> PAGEREF _Toc5198309 \h </w:instrText>
        </w:r>
        <w:r w:rsidR="00314E6D">
          <w:rPr>
            <w:webHidden/>
          </w:rPr>
        </w:r>
        <w:r w:rsidR="00314E6D">
          <w:rPr>
            <w:webHidden/>
          </w:rPr>
          <w:fldChar w:fldCharType="separate"/>
        </w:r>
        <w:r w:rsidR="00314E6D">
          <w:rPr>
            <w:webHidden/>
          </w:rPr>
          <w:t>3</w:t>
        </w:r>
        <w:r w:rsidR="00314E6D">
          <w:rPr>
            <w:webHidden/>
          </w:rPr>
          <w:fldChar w:fldCharType="end"/>
        </w:r>
      </w:hyperlink>
    </w:p>
    <w:p w:rsidR="00314E6D" w:rsidRDefault="009E3278">
      <w:pPr>
        <w:pStyle w:val="Innehll2"/>
        <w:rPr>
          <w:rFonts w:asciiTheme="minorHAnsi" w:eastAsiaTheme="minorEastAsia" w:hAnsiTheme="minorHAnsi" w:cstheme="minorBidi"/>
          <w:sz w:val="22"/>
          <w:szCs w:val="22"/>
          <w:lang w:val="sv-FI" w:eastAsia="sv-FI"/>
        </w:rPr>
      </w:pPr>
      <w:hyperlink w:anchor="_Toc5198310" w:history="1">
        <w:r w:rsidR="00314E6D" w:rsidRPr="00EA06C8">
          <w:rPr>
            <w:rStyle w:val="Hyperlnk"/>
          </w:rPr>
          <w:t>3. Förslagets effekter, beredning och ikraftträdande</w:t>
        </w:r>
        <w:r w:rsidR="00314E6D">
          <w:rPr>
            <w:webHidden/>
          </w:rPr>
          <w:tab/>
        </w:r>
        <w:r w:rsidR="00314E6D">
          <w:rPr>
            <w:webHidden/>
          </w:rPr>
          <w:fldChar w:fldCharType="begin"/>
        </w:r>
        <w:r w:rsidR="00314E6D">
          <w:rPr>
            <w:webHidden/>
          </w:rPr>
          <w:instrText xml:space="preserve"> PAGEREF _Toc5198310 \h </w:instrText>
        </w:r>
        <w:r w:rsidR="00314E6D">
          <w:rPr>
            <w:webHidden/>
          </w:rPr>
        </w:r>
        <w:r w:rsidR="00314E6D">
          <w:rPr>
            <w:webHidden/>
          </w:rPr>
          <w:fldChar w:fldCharType="separate"/>
        </w:r>
        <w:r w:rsidR="00314E6D">
          <w:rPr>
            <w:webHidden/>
          </w:rPr>
          <w:t>4</w:t>
        </w:r>
        <w:r w:rsidR="00314E6D">
          <w:rPr>
            <w:webHidden/>
          </w:rPr>
          <w:fldChar w:fldCharType="end"/>
        </w:r>
      </w:hyperlink>
    </w:p>
    <w:p w:rsidR="00314E6D" w:rsidRDefault="009E3278">
      <w:pPr>
        <w:pStyle w:val="Innehll1"/>
        <w:rPr>
          <w:rFonts w:asciiTheme="minorHAnsi" w:eastAsiaTheme="minorEastAsia" w:hAnsiTheme="minorHAnsi" w:cstheme="minorBidi"/>
          <w:sz w:val="22"/>
          <w:szCs w:val="22"/>
          <w:lang w:val="sv-FI" w:eastAsia="sv-FI"/>
        </w:rPr>
      </w:pPr>
      <w:hyperlink w:anchor="_Toc5198311" w:history="1">
        <w:r w:rsidR="00314E6D" w:rsidRPr="00EA06C8">
          <w:rPr>
            <w:rStyle w:val="Hyperlnk"/>
          </w:rPr>
          <w:t>Lagtext</w:t>
        </w:r>
        <w:r w:rsidR="00314E6D">
          <w:rPr>
            <w:webHidden/>
          </w:rPr>
          <w:tab/>
        </w:r>
        <w:r w:rsidR="00314E6D">
          <w:rPr>
            <w:webHidden/>
          </w:rPr>
          <w:fldChar w:fldCharType="begin"/>
        </w:r>
        <w:r w:rsidR="00314E6D">
          <w:rPr>
            <w:webHidden/>
          </w:rPr>
          <w:instrText xml:space="preserve"> PAGEREF _Toc5198311 \h </w:instrText>
        </w:r>
        <w:r w:rsidR="00314E6D">
          <w:rPr>
            <w:webHidden/>
          </w:rPr>
        </w:r>
        <w:r w:rsidR="00314E6D">
          <w:rPr>
            <w:webHidden/>
          </w:rPr>
          <w:fldChar w:fldCharType="separate"/>
        </w:r>
        <w:r w:rsidR="00314E6D">
          <w:rPr>
            <w:webHidden/>
          </w:rPr>
          <w:t>5</w:t>
        </w:r>
        <w:r w:rsidR="00314E6D">
          <w:rPr>
            <w:webHidden/>
          </w:rPr>
          <w:fldChar w:fldCharType="end"/>
        </w:r>
      </w:hyperlink>
    </w:p>
    <w:p w:rsidR="00314E6D" w:rsidRDefault="009E3278">
      <w:pPr>
        <w:pStyle w:val="Innehll2"/>
        <w:rPr>
          <w:rFonts w:asciiTheme="minorHAnsi" w:eastAsiaTheme="minorEastAsia" w:hAnsiTheme="minorHAnsi" w:cstheme="minorBidi"/>
          <w:sz w:val="22"/>
          <w:szCs w:val="22"/>
          <w:lang w:val="sv-FI" w:eastAsia="sv-FI"/>
        </w:rPr>
      </w:pPr>
      <w:hyperlink w:anchor="_Toc5198312" w:history="1">
        <w:r w:rsidR="00314E6D" w:rsidRPr="00EA06C8">
          <w:rPr>
            <w:rStyle w:val="Hyperlnk"/>
            <w:lang w:val="en-GB"/>
          </w:rPr>
          <w:t xml:space="preserve">L A N D S K A P S L A G </w:t>
        </w:r>
        <w:r w:rsidR="00314E6D" w:rsidRPr="00EA06C8">
          <w:rPr>
            <w:rStyle w:val="Hyperlnk"/>
          </w:rPr>
          <w:t>om vissa kompensationer till kommunerna finansåret 2019</w:t>
        </w:r>
        <w:r w:rsidR="00314E6D">
          <w:rPr>
            <w:webHidden/>
          </w:rPr>
          <w:tab/>
        </w:r>
        <w:r w:rsidR="00314E6D">
          <w:rPr>
            <w:webHidden/>
          </w:rPr>
          <w:fldChar w:fldCharType="begin"/>
        </w:r>
        <w:r w:rsidR="00314E6D">
          <w:rPr>
            <w:webHidden/>
          </w:rPr>
          <w:instrText xml:space="preserve"> PAGEREF _Toc5198312 \h </w:instrText>
        </w:r>
        <w:r w:rsidR="00314E6D">
          <w:rPr>
            <w:webHidden/>
          </w:rPr>
        </w:r>
        <w:r w:rsidR="00314E6D">
          <w:rPr>
            <w:webHidden/>
          </w:rPr>
          <w:fldChar w:fldCharType="separate"/>
        </w:r>
        <w:r w:rsidR="00314E6D">
          <w:rPr>
            <w:webHidden/>
          </w:rPr>
          <w:t>5</w:t>
        </w:r>
        <w:r w:rsidR="00314E6D">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314E6D">
      <w:pPr>
        <w:pStyle w:val="RubrikA"/>
      </w:pPr>
      <w:bookmarkStart w:id="3" w:name="_Toc5198307"/>
      <w:r>
        <w:lastRenderedPageBreak/>
        <w:t>M</w:t>
      </w:r>
      <w:r w:rsidR="00AF3004">
        <w:t>otivering</w:t>
      </w:r>
      <w:bookmarkEnd w:id="3"/>
    </w:p>
    <w:p w:rsidR="00AF3004" w:rsidRDefault="00AF3004">
      <w:pPr>
        <w:pStyle w:val="Rubrikmellanrum"/>
      </w:pPr>
    </w:p>
    <w:p w:rsidR="00AF3004" w:rsidRDefault="00AF3004">
      <w:pPr>
        <w:pStyle w:val="RubrikB"/>
      </w:pPr>
      <w:bookmarkStart w:id="4" w:name="_Toc5198308"/>
      <w:r>
        <w:t>1. Bakgrund</w:t>
      </w:r>
      <w:bookmarkEnd w:id="4"/>
    </w:p>
    <w:p w:rsidR="00AF3004" w:rsidRDefault="00AF3004">
      <w:pPr>
        <w:pStyle w:val="Rubrikmellanrum"/>
      </w:pPr>
    </w:p>
    <w:p w:rsidR="00314E6D" w:rsidRDefault="00314E6D" w:rsidP="00314E6D">
      <w:pPr>
        <w:pStyle w:val="ANormal"/>
      </w:pPr>
      <w:r>
        <w:t>I landskapets budget för 2019 ingår anslag för kompensation till komm</w:t>
      </w:r>
      <w:r>
        <w:t>u</w:t>
      </w:r>
      <w:r>
        <w:t>nerna, bland annat för effekterna av statens konkurrenskraftspaket samt för skatteåtgärder som vidtogs för skatteåret 2019.</w:t>
      </w:r>
    </w:p>
    <w:p w:rsidR="00314E6D" w:rsidRDefault="00314E6D" w:rsidP="00314E6D">
      <w:pPr>
        <w:pStyle w:val="ANormal"/>
      </w:pPr>
      <w:r>
        <w:tab/>
        <w:t>Statens så kallade konkurrenskraftspaket gäller under åren 2017–2019. Enligt en överenskommelse mellan landskapsregeringen å ena sidan och Ålands kommunförbund och Mariehamns stad å andra sidan, kompenseras kommunerna under åren 2018 och 2019 för det intäktsbortfall som orsakas av konkurrenskraftspaketet och de skatteåtgärder som är kopplade till det. Enligt landskapets budget uppgår kompensationen för 2019 till totalt 1 300 000 euro.</w:t>
      </w:r>
    </w:p>
    <w:p w:rsidR="00314E6D" w:rsidRDefault="00314E6D" w:rsidP="00314E6D">
      <w:pPr>
        <w:pStyle w:val="ANormal"/>
      </w:pPr>
      <w:r>
        <w:tab/>
        <w:t>I statsbeskattningen har flera åtgärder vidtagits, som påverkar komm</w:t>
      </w:r>
      <w:r>
        <w:t>u</w:t>
      </w:r>
      <w:r>
        <w:t>nerna ekonomiskt. Bland annat har arbetsinkomstavdraget och pensionsi</w:t>
      </w:r>
      <w:r>
        <w:t>n</w:t>
      </w:r>
      <w:r>
        <w:t>komstavdraget i statsbeskattningen höjts. Sammantaget beräknas ändrin</w:t>
      </w:r>
      <w:r>
        <w:t>g</w:t>
      </w:r>
      <w:r>
        <w:t>arna i statsbeskattningen sänka kommunernas skatteinkomster med totalt 695 000 euro. Enligt landskapets budget för 2019 ska kommunerna kom</w:t>
      </w:r>
      <w:r>
        <w:t>p</w:t>
      </w:r>
      <w:r>
        <w:t>enseras med 500 000 euro för dessa ändringar. Av denna kompensation r</w:t>
      </w:r>
      <w:r>
        <w:t>e</w:t>
      </w:r>
      <w:r>
        <w:t>serveras 300 000 euro för ett ökat samarbetsstöd för it-tjänster, vilket bet</w:t>
      </w:r>
      <w:r>
        <w:t>y</w:t>
      </w:r>
      <w:r>
        <w:t>der att 200 000 euro fördelas mellan kommunerna som direkt kompensa</w:t>
      </w:r>
      <w:r>
        <w:t>t</w:t>
      </w:r>
      <w:r>
        <w:t>ion. Bestämmelserna om samarbetsstödet föreslås bli ändrade genom ett separat lagförslag.</w:t>
      </w:r>
    </w:p>
    <w:p w:rsidR="00314E6D" w:rsidRDefault="00314E6D" w:rsidP="00314E6D">
      <w:pPr>
        <w:pStyle w:val="ANormal"/>
      </w:pPr>
    </w:p>
    <w:p w:rsidR="00314E6D" w:rsidRDefault="00314E6D" w:rsidP="00314E6D">
      <w:pPr>
        <w:pStyle w:val="RubrikB"/>
      </w:pPr>
      <w:bookmarkStart w:id="5" w:name="_Toc536715081"/>
      <w:bookmarkStart w:id="6" w:name="_Toc5198309"/>
      <w:r>
        <w:t>2. Landskapsregeringens förslag</w:t>
      </w:r>
      <w:bookmarkEnd w:id="5"/>
      <w:bookmarkEnd w:id="6"/>
    </w:p>
    <w:p w:rsidR="00314E6D" w:rsidRDefault="00314E6D" w:rsidP="00314E6D">
      <w:pPr>
        <w:pStyle w:val="Rubrikmellanrum"/>
      </w:pPr>
    </w:p>
    <w:p w:rsidR="00314E6D" w:rsidRDefault="00314E6D" w:rsidP="00314E6D">
      <w:pPr>
        <w:pStyle w:val="ANormal"/>
      </w:pPr>
      <w:r>
        <w:t>I landskapets budget för 2018</w:t>
      </w:r>
      <w:r w:rsidRPr="006C45B5">
        <w:t xml:space="preserve"> </w:t>
      </w:r>
      <w:r>
        <w:t>ingick på motsvarande sätt kompensationer till kommunerna. För att fördela dem mellan kommunerna tillsattes en a</w:t>
      </w:r>
      <w:r>
        <w:t>r</w:t>
      </w:r>
      <w:r>
        <w:t>betsgrupp med representanter för landskapsregeringen, Ålands kommu</w:t>
      </w:r>
      <w:r>
        <w:t>n</w:t>
      </w:r>
      <w:r>
        <w:t>förbund och Mariehamns stad med uppdrag att konstruera ett system för fördelningen. Landskapsregeringen konstaterade då i lagförslaget (LF 4/2017–2018) att beräkningen av de ekonomiska effekterna av en skatteå</w:t>
      </w:r>
      <w:r>
        <w:t>t</w:t>
      </w:r>
      <w:r>
        <w:t>gärd alltid innebär ett visst mått av osäkerhet, särskilt om det är frågan om höjning eller sänkning av ett befintligt avdrag. De kalkyler som då finns att tillgå avser i allmänhet landskapet som helhet. Kalkylerna som visar effe</w:t>
      </w:r>
      <w:r>
        <w:t>k</w:t>
      </w:r>
      <w:r>
        <w:t>terna för de enskilda kommunerna är oftast så osäkra att de inte är särskilt användbara. Detta gäller både de prognoser som görs på förhand och de b</w:t>
      </w:r>
      <w:r>
        <w:t>e</w:t>
      </w:r>
      <w:r>
        <w:t>räkningar som görs på basen av debiterad skatt. Därför är det väldigt svårt att fördela kompensation mellan kommunerna på ett sätt som motsvarar de verkliga effekterna av en skatteåtgärd.</w:t>
      </w:r>
    </w:p>
    <w:p w:rsidR="00314E6D" w:rsidRDefault="00314E6D" w:rsidP="00314E6D">
      <w:pPr>
        <w:pStyle w:val="ANormal"/>
      </w:pPr>
      <w:r>
        <w:tab/>
        <w:t>Svårigheterna med att få fram ett rättvisande underlag för fördelningen av kompensationen för 2018 ledde till att landskapslagen (2018:101) om vissa kompensationer till kommunerna finansåret 2018 och därmed också utbetalningen till kommunerna försenades. För att undvika att samma sit</w:t>
      </w:r>
      <w:r>
        <w:t>u</w:t>
      </w:r>
      <w:r>
        <w:t>ation uppstår 2019 föreslår landskapsregeringen att kompensationen för detta år fördelas på samma grunder som 2018.</w:t>
      </w:r>
    </w:p>
    <w:p w:rsidR="00314E6D" w:rsidRDefault="00314E6D" w:rsidP="00314E6D">
      <w:pPr>
        <w:pStyle w:val="ANormal"/>
      </w:pPr>
    </w:p>
    <w:p w:rsidR="00314E6D" w:rsidRDefault="00314E6D" w:rsidP="00314E6D">
      <w:pPr>
        <w:pStyle w:val="RubrikB"/>
      </w:pPr>
      <w:bookmarkStart w:id="7" w:name="_Toc536715082"/>
      <w:bookmarkStart w:id="8" w:name="_Toc5198310"/>
      <w:r>
        <w:t>3. Förslagets effekter, beredning och ikraftträdande</w:t>
      </w:r>
      <w:bookmarkEnd w:id="7"/>
      <w:bookmarkEnd w:id="8"/>
    </w:p>
    <w:p w:rsidR="00314E6D" w:rsidRDefault="00314E6D" w:rsidP="00314E6D">
      <w:pPr>
        <w:pStyle w:val="Rubrikmellanrum"/>
      </w:pPr>
    </w:p>
    <w:p w:rsidR="00314E6D" w:rsidRDefault="00314E6D" w:rsidP="00314E6D">
      <w:pPr>
        <w:pStyle w:val="ANormal"/>
      </w:pPr>
      <w:r>
        <w:t>De båda kompensationer som avses i detta förslag finns upptagna i lan</w:t>
      </w:r>
      <w:r>
        <w:t>d</w:t>
      </w:r>
      <w:r>
        <w:t>skapets budget för 2019, som en del av anslaget 33000 Landskapsandelar och stöd till kommunerna. Den totala kostnaden för landskapet blir 1,5 mi</w:t>
      </w:r>
      <w:r>
        <w:t>l</w:t>
      </w:r>
      <w:r>
        <w:t>joner euro.</w:t>
      </w:r>
    </w:p>
    <w:p w:rsidR="00314E6D" w:rsidRDefault="00314E6D" w:rsidP="00314E6D">
      <w:pPr>
        <w:pStyle w:val="ANormal"/>
      </w:pPr>
      <w:r>
        <w:tab/>
        <w:t>De fördelningsmodeller som ingår i lagförslaget är desamma som ti</w:t>
      </w:r>
      <w:r>
        <w:t>l</w:t>
      </w:r>
      <w:r>
        <w:t>lämpades för motsvarande kompensationer 2018, och som utarbetades av den arbetsgrupp som då tillsattes. Lagförslagets ekonomiska effekter för de enskilda kommunerna framgår av följande tabell:</w:t>
      </w:r>
    </w:p>
    <w:p w:rsidR="00314E6D" w:rsidRDefault="00314E6D" w:rsidP="00314E6D">
      <w:pPr>
        <w:pStyle w:val="ANormal"/>
      </w:pPr>
    </w:p>
    <w:tbl>
      <w:tblPr>
        <w:tblStyle w:val="Tabellrutnt"/>
        <w:tblW w:w="0" w:type="auto"/>
        <w:tblLook w:val="04A0" w:firstRow="1" w:lastRow="0" w:firstColumn="1" w:lastColumn="0" w:noHBand="0" w:noVBand="1"/>
      </w:tblPr>
      <w:tblGrid>
        <w:gridCol w:w="1482"/>
        <w:gridCol w:w="1585"/>
        <w:gridCol w:w="2347"/>
        <w:gridCol w:w="1492"/>
      </w:tblGrid>
      <w:tr w:rsidR="00314E6D" w:rsidTr="009F2FFB">
        <w:trPr>
          <w:trHeight w:val="451"/>
        </w:trPr>
        <w:tc>
          <w:tcPr>
            <w:tcW w:w="1670" w:type="dxa"/>
          </w:tcPr>
          <w:p w:rsidR="00314E6D" w:rsidRPr="00F33FCC" w:rsidRDefault="00314E6D" w:rsidP="009F2FFB">
            <w:pPr>
              <w:pStyle w:val="Tabelltext"/>
              <w:rPr>
                <w:b/>
              </w:rPr>
            </w:pPr>
          </w:p>
        </w:tc>
        <w:tc>
          <w:tcPr>
            <w:tcW w:w="5010" w:type="dxa"/>
            <w:gridSpan w:val="3"/>
            <w:vAlign w:val="center"/>
          </w:tcPr>
          <w:p w:rsidR="00314E6D" w:rsidRPr="00F33FCC" w:rsidRDefault="00314E6D" w:rsidP="009F2FFB">
            <w:pPr>
              <w:pStyle w:val="Tabelltext"/>
              <w:jc w:val="center"/>
              <w:rPr>
                <w:b/>
              </w:rPr>
            </w:pPr>
            <w:r w:rsidRPr="00F33FCC">
              <w:rPr>
                <w:b/>
              </w:rPr>
              <w:t>Kompensationer</w:t>
            </w:r>
          </w:p>
        </w:tc>
      </w:tr>
      <w:tr w:rsidR="00314E6D" w:rsidTr="009F2FFB">
        <w:tc>
          <w:tcPr>
            <w:tcW w:w="1670" w:type="dxa"/>
            <w:vAlign w:val="center"/>
          </w:tcPr>
          <w:p w:rsidR="00314E6D" w:rsidRPr="00F33FCC" w:rsidRDefault="00314E6D" w:rsidP="009F2FFB">
            <w:pPr>
              <w:pStyle w:val="Tabelltext"/>
              <w:jc w:val="center"/>
              <w:rPr>
                <w:b/>
              </w:rPr>
            </w:pPr>
            <w:r w:rsidRPr="00F33FCC">
              <w:rPr>
                <w:b/>
              </w:rPr>
              <w:t>Kommun</w:t>
            </w:r>
          </w:p>
        </w:tc>
        <w:tc>
          <w:tcPr>
            <w:tcW w:w="1670" w:type="dxa"/>
            <w:tcBorders>
              <w:bottom w:val="single" w:sz="4" w:space="0" w:color="auto"/>
            </w:tcBorders>
            <w:vAlign w:val="center"/>
          </w:tcPr>
          <w:p w:rsidR="00314E6D" w:rsidRPr="00F33FCC" w:rsidRDefault="00314E6D" w:rsidP="009F2FFB">
            <w:pPr>
              <w:pStyle w:val="Tabelltext"/>
              <w:jc w:val="center"/>
              <w:rPr>
                <w:b/>
              </w:rPr>
            </w:pPr>
            <w:r w:rsidRPr="00F33FCC">
              <w:rPr>
                <w:b/>
              </w:rPr>
              <w:t>Skatteåtgärder</w:t>
            </w:r>
          </w:p>
        </w:tc>
        <w:tc>
          <w:tcPr>
            <w:tcW w:w="1670" w:type="dxa"/>
            <w:tcBorders>
              <w:bottom w:val="single" w:sz="4" w:space="0" w:color="auto"/>
            </w:tcBorders>
            <w:vAlign w:val="center"/>
          </w:tcPr>
          <w:p w:rsidR="00314E6D" w:rsidRPr="00F33FCC" w:rsidRDefault="00314E6D" w:rsidP="009F2FFB">
            <w:pPr>
              <w:pStyle w:val="Tabelltext"/>
              <w:jc w:val="center"/>
              <w:rPr>
                <w:b/>
              </w:rPr>
            </w:pPr>
            <w:r w:rsidRPr="00F33FCC">
              <w:rPr>
                <w:b/>
              </w:rPr>
              <w:t>Konkurrenskraftspaketet</w:t>
            </w:r>
          </w:p>
        </w:tc>
        <w:tc>
          <w:tcPr>
            <w:tcW w:w="1670" w:type="dxa"/>
            <w:tcBorders>
              <w:bottom w:val="single" w:sz="4" w:space="0" w:color="auto"/>
            </w:tcBorders>
            <w:vAlign w:val="center"/>
          </w:tcPr>
          <w:p w:rsidR="00314E6D" w:rsidRPr="00F33FCC" w:rsidRDefault="00314E6D" w:rsidP="009F2FFB">
            <w:pPr>
              <w:pStyle w:val="Tabelltext"/>
              <w:jc w:val="center"/>
              <w:rPr>
                <w:b/>
              </w:rPr>
            </w:pPr>
            <w:r w:rsidRPr="00F33FCC">
              <w:rPr>
                <w:b/>
              </w:rPr>
              <w:t>Totalt</w:t>
            </w:r>
          </w:p>
        </w:tc>
      </w:tr>
      <w:tr w:rsidR="00314E6D" w:rsidTr="009F2FFB">
        <w:trPr>
          <w:trHeight w:val="247"/>
        </w:trPr>
        <w:tc>
          <w:tcPr>
            <w:tcW w:w="1670" w:type="dxa"/>
            <w:vAlign w:val="center"/>
          </w:tcPr>
          <w:p w:rsidR="00314E6D" w:rsidRDefault="00314E6D" w:rsidP="009F2FFB">
            <w:pPr>
              <w:pStyle w:val="Tabelltext"/>
            </w:pPr>
            <w:r>
              <w:t>Brändö</w:t>
            </w:r>
          </w:p>
        </w:tc>
        <w:tc>
          <w:tcPr>
            <w:tcW w:w="1670" w:type="dxa"/>
            <w:tcBorders>
              <w:top w:val="single" w:sz="4" w:space="0" w:color="auto"/>
              <w:left w:val="nil"/>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lang w:val="sv-FI" w:eastAsia="sv-FI"/>
              </w:rPr>
            </w:pPr>
            <w:r w:rsidRPr="006C3B98">
              <w:rPr>
                <w:rFonts w:ascii="Arial" w:hAnsi="Arial" w:cs="Arial"/>
                <w:sz w:val="18"/>
                <w:szCs w:val="18"/>
              </w:rPr>
              <w:t>3</w:t>
            </w:r>
            <w:r>
              <w:rPr>
                <w:rFonts w:ascii="Arial" w:hAnsi="Arial" w:cs="Arial"/>
                <w:sz w:val="18"/>
                <w:szCs w:val="18"/>
              </w:rPr>
              <w:t> </w:t>
            </w:r>
            <w:r w:rsidRPr="006C3B98">
              <w:rPr>
                <w:rFonts w:ascii="Arial" w:hAnsi="Arial" w:cs="Arial"/>
                <w:sz w:val="18"/>
                <w:szCs w:val="18"/>
              </w:rPr>
              <w:t>236,60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lang w:val="sv-FI" w:eastAsia="sv-FI"/>
              </w:rPr>
            </w:pPr>
            <w:r w:rsidRPr="006C3B98">
              <w:rPr>
                <w:rFonts w:ascii="Arial" w:hAnsi="Arial" w:cs="Arial"/>
                <w:sz w:val="18"/>
                <w:szCs w:val="18"/>
              </w:rPr>
              <w:t>30</w:t>
            </w:r>
            <w:r>
              <w:rPr>
                <w:rFonts w:ascii="Arial" w:hAnsi="Arial" w:cs="Arial"/>
                <w:sz w:val="18"/>
                <w:szCs w:val="18"/>
              </w:rPr>
              <w:t> </w:t>
            </w:r>
            <w:r w:rsidRPr="006C3B98">
              <w:rPr>
                <w:rFonts w:ascii="Arial" w:hAnsi="Arial" w:cs="Arial"/>
                <w:sz w:val="18"/>
                <w:szCs w:val="18"/>
              </w:rPr>
              <w:t>744,98</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lang w:val="sv-FI" w:eastAsia="sv-FI"/>
              </w:rPr>
            </w:pPr>
            <w:r w:rsidRPr="006C3B98">
              <w:rPr>
                <w:rFonts w:ascii="Arial" w:hAnsi="Arial" w:cs="Arial"/>
                <w:sz w:val="18"/>
                <w:szCs w:val="18"/>
              </w:rPr>
              <w:t>33</w:t>
            </w:r>
            <w:r>
              <w:rPr>
                <w:rFonts w:ascii="Arial" w:hAnsi="Arial" w:cs="Arial"/>
                <w:sz w:val="18"/>
                <w:szCs w:val="18"/>
              </w:rPr>
              <w:t> </w:t>
            </w:r>
            <w:r w:rsidRPr="006C3B98">
              <w:rPr>
                <w:rFonts w:ascii="Arial" w:hAnsi="Arial" w:cs="Arial"/>
                <w:sz w:val="18"/>
                <w:szCs w:val="18"/>
              </w:rPr>
              <w:t>981,58</w:t>
            </w:r>
          </w:p>
        </w:tc>
      </w:tr>
      <w:tr w:rsidR="00314E6D" w:rsidTr="009F2FFB">
        <w:trPr>
          <w:trHeight w:val="247"/>
        </w:trPr>
        <w:tc>
          <w:tcPr>
            <w:tcW w:w="1670" w:type="dxa"/>
            <w:vAlign w:val="center"/>
          </w:tcPr>
          <w:p w:rsidR="00314E6D" w:rsidRDefault="00314E6D" w:rsidP="009F2FFB">
            <w:pPr>
              <w:pStyle w:val="Tabelltext"/>
            </w:pPr>
            <w:r>
              <w:t>Eckerö</w:t>
            </w:r>
          </w:p>
        </w:tc>
        <w:tc>
          <w:tcPr>
            <w:tcW w:w="1670" w:type="dxa"/>
            <w:tcBorders>
              <w:top w:val="single" w:sz="4" w:space="0" w:color="auto"/>
              <w:left w:val="nil"/>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10</w:t>
            </w:r>
            <w:r>
              <w:rPr>
                <w:rFonts w:ascii="Arial" w:hAnsi="Arial" w:cs="Arial"/>
                <w:sz w:val="18"/>
                <w:szCs w:val="18"/>
              </w:rPr>
              <w:t> </w:t>
            </w:r>
            <w:r w:rsidRPr="006C3B98">
              <w:rPr>
                <w:rFonts w:ascii="Arial" w:hAnsi="Arial" w:cs="Arial"/>
                <w:sz w:val="18"/>
                <w:szCs w:val="18"/>
              </w:rPr>
              <w:t>732,04</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52</w:t>
            </w:r>
            <w:r>
              <w:rPr>
                <w:rFonts w:ascii="Arial" w:hAnsi="Arial" w:cs="Arial"/>
                <w:sz w:val="18"/>
                <w:szCs w:val="18"/>
              </w:rPr>
              <w:t> </w:t>
            </w:r>
            <w:r w:rsidRPr="006C3B98">
              <w:rPr>
                <w:rFonts w:ascii="Arial" w:hAnsi="Arial" w:cs="Arial"/>
                <w:sz w:val="18"/>
                <w:szCs w:val="18"/>
              </w:rPr>
              <w:t>795,04</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63</w:t>
            </w:r>
            <w:r>
              <w:rPr>
                <w:rFonts w:ascii="Arial" w:hAnsi="Arial" w:cs="Arial"/>
                <w:sz w:val="18"/>
                <w:szCs w:val="18"/>
              </w:rPr>
              <w:t> </w:t>
            </w:r>
            <w:r w:rsidRPr="006C3B98">
              <w:rPr>
                <w:rFonts w:ascii="Arial" w:hAnsi="Arial" w:cs="Arial"/>
                <w:sz w:val="18"/>
                <w:szCs w:val="18"/>
              </w:rPr>
              <w:t>527,08</w:t>
            </w:r>
          </w:p>
        </w:tc>
      </w:tr>
      <w:tr w:rsidR="00314E6D" w:rsidTr="009F2FFB">
        <w:trPr>
          <w:trHeight w:val="247"/>
        </w:trPr>
        <w:tc>
          <w:tcPr>
            <w:tcW w:w="1670" w:type="dxa"/>
            <w:vAlign w:val="center"/>
          </w:tcPr>
          <w:p w:rsidR="00314E6D" w:rsidRDefault="00314E6D" w:rsidP="009F2FFB">
            <w:pPr>
              <w:pStyle w:val="Tabelltext"/>
            </w:pPr>
            <w:r>
              <w:t>Finström</w:t>
            </w:r>
          </w:p>
        </w:tc>
        <w:tc>
          <w:tcPr>
            <w:tcW w:w="1670" w:type="dxa"/>
            <w:tcBorders>
              <w:top w:val="single" w:sz="4" w:space="0" w:color="auto"/>
              <w:left w:val="nil"/>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22</w:t>
            </w:r>
            <w:r>
              <w:rPr>
                <w:rFonts w:ascii="Arial" w:hAnsi="Arial" w:cs="Arial"/>
                <w:sz w:val="18"/>
                <w:szCs w:val="18"/>
              </w:rPr>
              <w:t> </w:t>
            </w:r>
            <w:r w:rsidRPr="006C3B98">
              <w:rPr>
                <w:rFonts w:ascii="Arial" w:hAnsi="Arial" w:cs="Arial"/>
                <w:sz w:val="18"/>
                <w:szCs w:val="18"/>
              </w:rPr>
              <w:t>757,33</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158</w:t>
            </w:r>
            <w:r>
              <w:rPr>
                <w:rFonts w:ascii="Arial" w:hAnsi="Arial" w:cs="Arial"/>
                <w:sz w:val="18"/>
                <w:szCs w:val="18"/>
              </w:rPr>
              <w:t> </w:t>
            </w:r>
            <w:r w:rsidRPr="006C3B98">
              <w:rPr>
                <w:rFonts w:ascii="Arial" w:hAnsi="Arial" w:cs="Arial"/>
                <w:sz w:val="18"/>
                <w:szCs w:val="18"/>
              </w:rPr>
              <w:t>925,01</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181</w:t>
            </w:r>
            <w:r>
              <w:rPr>
                <w:rFonts w:ascii="Arial" w:hAnsi="Arial" w:cs="Arial"/>
                <w:sz w:val="18"/>
                <w:szCs w:val="18"/>
              </w:rPr>
              <w:t> </w:t>
            </w:r>
            <w:r w:rsidRPr="006C3B98">
              <w:rPr>
                <w:rFonts w:ascii="Arial" w:hAnsi="Arial" w:cs="Arial"/>
                <w:sz w:val="18"/>
                <w:szCs w:val="18"/>
              </w:rPr>
              <w:t>682,34</w:t>
            </w:r>
          </w:p>
        </w:tc>
      </w:tr>
      <w:tr w:rsidR="00314E6D" w:rsidTr="009F2FFB">
        <w:trPr>
          <w:trHeight w:val="247"/>
        </w:trPr>
        <w:tc>
          <w:tcPr>
            <w:tcW w:w="1670" w:type="dxa"/>
            <w:vAlign w:val="center"/>
          </w:tcPr>
          <w:p w:rsidR="00314E6D" w:rsidRDefault="00314E6D" w:rsidP="009F2FFB">
            <w:pPr>
              <w:pStyle w:val="Tabelltext"/>
            </w:pPr>
            <w:r>
              <w:t>Föglö</w:t>
            </w:r>
          </w:p>
        </w:tc>
        <w:tc>
          <w:tcPr>
            <w:tcW w:w="1670" w:type="dxa"/>
            <w:tcBorders>
              <w:top w:val="single" w:sz="4" w:space="0" w:color="auto"/>
              <w:left w:val="nil"/>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2</w:t>
            </w:r>
            <w:r>
              <w:rPr>
                <w:rFonts w:ascii="Arial" w:hAnsi="Arial" w:cs="Arial"/>
                <w:sz w:val="18"/>
                <w:szCs w:val="18"/>
              </w:rPr>
              <w:t> </w:t>
            </w:r>
            <w:r w:rsidRPr="006C3B98">
              <w:rPr>
                <w:rFonts w:ascii="Arial" w:hAnsi="Arial" w:cs="Arial"/>
                <w:sz w:val="18"/>
                <w:szCs w:val="18"/>
              </w:rPr>
              <w:t>456,83</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18</w:t>
            </w:r>
            <w:r>
              <w:rPr>
                <w:rFonts w:ascii="Arial" w:hAnsi="Arial" w:cs="Arial"/>
                <w:sz w:val="18"/>
                <w:szCs w:val="18"/>
              </w:rPr>
              <w:t> </w:t>
            </w:r>
            <w:r w:rsidRPr="006C3B98">
              <w:rPr>
                <w:rFonts w:ascii="Arial" w:hAnsi="Arial" w:cs="Arial"/>
                <w:sz w:val="18"/>
                <w:szCs w:val="18"/>
              </w:rPr>
              <w:t>652,41</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21</w:t>
            </w:r>
            <w:r>
              <w:rPr>
                <w:rFonts w:ascii="Arial" w:hAnsi="Arial" w:cs="Arial"/>
                <w:sz w:val="18"/>
                <w:szCs w:val="18"/>
              </w:rPr>
              <w:t> </w:t>
            </w:r>
            <w:r w:rsidRPr="006C3B98">
              <w:rPr>
                <w:rFonts w:ascii="Arial" w:hAnsi="Arial" w:cs="Arial"/>
                <w:sz w:val="18"/>
                <w:szCs w:val="18"/>
              </w:rPr>
              <w:t>109,24</w:t>
            </w:r>
          </w:p>
        </w:tc>
      </w:tr>
      <w:tr w:rsidR="00314E6D" w:rsidTr="009F2FFB">
        <w:trPr>
          <w:trHeight w:val="247"/>
        </w:trPr>
        <w:tc>
          <w:tcPr>
            <w:tcW w:w="1670" w:type="dxa"/>
            <w:vAlign w:val="center"/>
          </w:tcPr>
          <w:p w:rsidR="00314E6D" w:rsidRDefault="00314E6D" w:rsidP="009F2FFB">
            <w:pPr>
              <w:pStyle w:val="Tabelltext"/>
            </w:pPr>
            <w:r>
              <w:t>Geta</w:t>
            </w:r>
          </w:p>
        </w:tc>
        <w:tc>
          <w:tcPr>
            <w:tcW w:w="1670" w:type="dxa"/>
            <w:tcBorders>
              <w:top w:val="single" w:sz="4" w:space="0" w:color="auto"/>
              <w:left w:val="nil"/>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6</w:t>
            </w:r>
            <w:r>
              <w:rPr>
                <w:rFonts w:ascii="Arial" w:hAnsi="Arial" w:cs="Arial"/>
                <w:sz w:val="18"/>
                <w:szCs w:val="18"/>
              </w:rPr>
              <w:t> </w:t>
            </w:r>
            <w:r w:rsidRPr="006C3B98">
              <w:rPr>
                <w:rFonts w:ascii="Arial" w:hAnsi="Arial" w:cs="Arial"/>
                <w:sz w:val="18"/>
                <w:szCs w:val="18"/>
              </w:rPr>
              <w:t>032,49</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22</w:t>
            </w:r>
            <w:r>
              <w:rPr>
                <w:rFonts w:ascii="Arial" w:hAnsi="Arial" w:cs="Arial"/>
                <w:sz w:val="18"/>
                <w:szCs w:val="18"/>
              </w:rPr>
              <w:t> </w:t>
            </w:r>
            <w:r w:rsidRPr="006C3B98">
              <w:rPr>
                <w:rFonts w:ascii="Arial" w:hAnsi="Arial" w:cs="Arial"/>
                <w:sz w:val="18"/>
                <w:szCs w:val="18"/>
              </w:rPr>
              <w:t>042,10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28</w:t>
            </w:r>
            <w:r>
              <w:rPr>
                <w:rFonts w:ascii="Arial" w:hAnsi="Arial" w:cs="Arial"/>
                <w:sz w:val="18"/>
                <w:szCs w:val="18"/>
              </w:rPr>
              <w:t> </w:t>
            </w:r>
            <w:r w:rsidRPr="006C3B98">
              <w:rPr>
                <w:rFonts w:ascii="Arial" w:hAnsi="Arial" w:cs="Arial"/>
                <w:sz w:val="18"/>
                <w:szCs w:val="18"/>
              </w:rPr>
              <w:t>074,59</w:t>
            </w:r>
          </w:p>
        </w:tc>
      </w:tr>
      <w:tr w:rsidR="00314E6D" w:rsidTr="009F2FFB">
        <w:trPr>
          <w:trHeight w:val="247"/>
        </w:trPr>
        <w:tc>
          <w:tcPr>
            <w:tcW w:w="1670" w:type="dxa"/>
            <w:vAlign w:val="center"/>
          </w:tcPr>
          <w:p w:rsidR="00314E6D" w:rsidRDefault="00314E6D" w:rsidP="009F2FFB">
            <w:pPr>
              <w:pStyle w:val="Tabelltext"/>
            </w:pPr>
            <w:r>
              <w:t>Hammarland</w:t>
            </w:r>
          </w:p>
        </w:tc>
        <w:tc>
          <w:tcPr>
            <w:tcW w:w="1670" w:type="dxa"/>
            <w:tcBorders>
              <w:top w:val="single" w:sz="4" w:space="0" w:color="auto"/>
              <w:left w:val="nil"/>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15</w:t>
            </w:r>
            <w:r>
              <w:rPr>
                <w:rFonts w:ascii="Arial" w:hAnsi="Arial" w:cs="Arial"/>
                <w:sz w:val="18"/>
                <w:szCs w:val="18"/>
              </w:rPr>
              <w:t> </w:t>
            </w:r>
            <w:r w:rsidRPr="006C3B98">
              <w:rPr>
                <w:rFonts w:ascii="Arial" w:hAnsi="Arial" w:cs="Arial"/>
                <w:sz w:val="18"/>
                <w:szCs w:val="18"/>
              </w:rPr>
              <w:t>963,65</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91</w:t>
            </w:r>
            <w:r>
              <w:rPr>
                <w:rFonts w:ascii="Arial" w:hAnsi="Arial" w:cs="Arial"/>
                <w:sz w:val="18"/>
                <w:szCs w:val="18"/>
              </w:rPr>
              <w:t> </w:t>
            </w:r>
            <w:r w:rsidRPr="006C3B98">
              <w:rPr>
                <w:rFonts w:ascii="Arial" w:hAnsi="Arial" w:cs="Arial"/>
                <w:sz w:val="18"/>
                <w:szCs w:val="18"/>
              </w:rPr>
              <w:t>907,56</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107</w:t>
            </w:r>
            <w:r>
              <w:rPr>
                <w:rFonts w:ascii="Arial" w:hAnsi="Arial" w:cs="Arial"/>
                <w:sz w:val="18"/>
                <w:szCs w:val="18"/>
              </w:rPr>
              <w:t> </w:t>
            </w:r>
            <w:r w:rsidRPr="006C3B98">
              <w:rPr>
                <w:rFonts w:ascii="Arial" w:hAnsi="Arial" w:cs="Arial"/>
                <w:sz w:val="18"/>
                <w:szCs w:val="18"/>
              </w:rPr>
              <w:t>871,21</w:t>
            </w:r>
          </w:p>
        </w:tc>
      </w:tr>
      <w:tr w:rsidR="00314E6D" w:rsidTr="009F2FFB">
        <w:trPr>
          <w:trHeight w:val="247"/>
        </w:trPr>
        <w:tc>
          <w:tcPr>
            <w:tcW w:w="1670" w:type="dxa"/>
            <w:vAlign w:val="center"/>
          </w:tcPr>
          <w:p w:rsidR="00314E6D" w:rsidRDefault="00314E6D" w:rsidP="009F2FFB">
            <w:pPr>
              <w:pStyle w:val="Tabelltext"/>
            </w:pPr>
            <w:r>
              <w:t>Jomala</w:t>
            </w:r>
          </w:p>
        </w:tc>
        <w:tc>
          <w:tcPr>
            <w:tcW w:w="1670" w:type="dxa"/>
            <w:tcBorders>
              <w:top w:val="single" w:sz="4" w:space="0" w:color="auto"/>
              <w:left w:val="nil"/>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30</w:t>
            </w:r>
            <w:r>
              <w:rPr>
                <w:rFonts w:ascii="Arial" w:hAnsi="Arial" w:cs="Arial"/>
                <w:sz w:val="18"/>
                <w:szCs w:val="18"/>
              </w:rPr>
              <w:t> </w:t>
            </w:r>
            <w:r w:rsidRPr="006C3B98">
              <w:rPr>
                <w:rFonts w:ascii="Arial" w:hAnsi="Arial" w:cs="Arial"/>
                <w:sz w:val="18"/>
                <w:szCs w:val="18"/>
              </w:rPr>
              <w:t>687,83</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157</w:t>
            </w:r>
            <w:r>
              <w:rPr>
                <w:rFonts w:ascii="Arial" w:hAnsi="Arial" w:cs="Arial"/>
                <w:sz w:val="18"/>
                <w:szCs w:val="18"/>
              </w:rPr>
              <w:t> </w:t>
            </w:r>
            <w:r w:rsidRPr="006C3B98">
              <w:rPr>
                <w:rFonts w:ascii="Arial" w:hAnsi="Arial" w:cs="Arial"/>
                <w:sz w:val="18"/>
                <w:szCs w:val="18"/>
              </w:rPr>
              <w:t>809,52</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188</w:t>
            </w:r>
            <w:r>
              <w:rPr>
                <w:rFonts w:ascii="Arial" w:hAnsi="Arial" w:cs="Arial"/>
                <w:sz w:val="18"/>
                <w:szCs w:val="18"/>
              </w:rPr>
              <w:t> </w:t>
            </w:r>
            <w:r w:rsidRPr="006C3B98">
              <w:rPr>
                <w:rFonts w:ascii="Arial" w:hAnsi="Arial" w:cs="Arial"/>
                <w:sz w:val="18"/>
                <w:szCs w:val="18"/>
              </w:rPr>
              <w:t>497,35</w:t>
            </w:r>
          </w:p>
        </w:tc>
      </w:tr>
      <w:tr w:rsidR="00314E6D" w:rsidTr="009F2FFB">
        <w:trPr>
          <w:trHeight w:val="247"/>
        </w:trPr>
        <w:tc>
          <w:tcPr>
            <w:tcW w:w="1670" w:type="dxa"/>
            <w:vAlign w:val="center"/>
          </w:tcPr>
          <w:p w:rsidR="00314E6D" w:rsidRDefault="00314E6D" w:rsidP="009F2FFB">
            <w:pPr>
              <w:pStyle w:val="Tabelltext"/>
            </w:pPr>
            <w:r>
              <w:t>Kumlinge</w:t>
            </w:r>
          </w:p>
        </w:tc>
        <w:tc>
          <w:tcPr>
            <w:tcW w:w="1670" w:type="dxa"/>
            <w:tcBorders>
              <w:top w:val="single" w:sz="4" w:space="0" w:color="auto"/>
              <w:left w:val="nil"/>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3</w:t>
            </w:r>
            <w:r>
              <w:rPr>
                <w:rFonts w:ascii="Arial" w:hAnsi="Arial" w:cs="Arial"/>
                <w:sz w:val="18"/>
                <w:szCs w:val="18"/>
              </w:rPr>
              <w:t> </w:t>
            </w:r>
            <w:r w:rsidRPr="006C3B98">
              <w:rPr>
                <w:rFonts w:ascii="Arial" w:hAnsi="Arial" w:cs="Arial"/>
                <w:sz w:val="18"/>
                <w:szCs w:val="18"/>
              </w:rPr>
              <w:t>388,05</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16</w:t>
            </w:r>
            <w:r>
              <w:rPr>
                <w:rFonts w:ascii="Arial" w:hAnsi="Arial" w:cs="Arial"/>
                <w:sz w:val="18"/>
                <w:szCs w:val="18"/>
              </w:rPr>
              <w:t> </w:t>
            </w:r>
            <w:r w:rsidRPr="006C3B98">
              <w:rPr>
                <w:rFonts w:ascii="Arial" w:hAnsi="Arial" w:cs="Arial"/>
                <w:sz w:val="18"/>
                <w:szCs w:val="18"/>
              </w:rPr>
              <w:t>055,97</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19</w:t>
            </w:r>
            <w:r>
              <w:rPr>
                <w:rFonts w:ascii="Arial" w:hAnsi="Arial" w:cs="Arial"/>
                <w:sz w:val="18"/>
                <w:szCs w:val="18"/>
              </w:rPr>
              <w:t> </w:t>
            </w:r>
            <w:r w:rsidRPr="006C3B98">
              <w:rPr>
                <w:rFonts w:ascii="Arial" w:hAnsi="Arial" w:cs="Arial"/>
                <w:sz w:val="18"/>
                <w:szCs w:val="18"/>
              </w:rPr>
              <w:t>444,02</w:t>
            </w:r>
          </w:p>
        </w:tc>
      </w:tr>
      <w:tr w:rsidR="00314E6D" w:rsidTr="009F2FFB">
        <w:trPr>
          <w:trHeight w:val="247"/>
        </w:trPr>
        <w:tc>
          <w:tcPr>
            <w:tcW w:w="1670" w:type="dxa"/>
            <w:vAlign w:val="center"/>
          </w:tcPr>
          <w:p w:rsidR="00314E6D" w:rsidRDefault="00314E6D" w:rsidP="009F2FFB">
            <w:pPr>
              <w:pStyle w:val="Tabelltext"/>
            </w:pPr>
            <w:r>
              <w:t>Kökar</w:t>
            </w:r>
          </w:p>
        </w:tc>
        <w:tc>
          <w:tcPr>
            <w:tcW w:w="1670" w:type="dxa"/>
            <w:tcBorders>
              <w:top w:val="single" w:sz="4" w:space="0" w:color="auto"/>
              <w:left w:val="nil"/>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2</w:t>
            </w:r>
            <w:r>
              <w:rPr>
                <w:rFonts w:ascii="Arial" w:hAnsi="Arial" w:cs="Arial"/>
                <w:sz w:val="18"/>
                <w:szCs w:val="18"/>
              </w:rPr>
              <w:t> </w:t>
            </w:r>
            <w:r w:rsidRPr="006C3B98">
              <w:rPr>
                <w:rFonts w:ascii="Arial" w:hAnsi="Arial" w:cs="Arial"/>
                <w:sz w:val="18"/>
                <w:szCs w:val="18"/>
              </w:rPr>
              <w:t>411,11</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7</w:t>
            </w:r>
            <w:r>
              <w:rPr>
                <w:rFonts w:ascii="Arial" w:hAnsi="Arial" w:cs="Arial"/>
                <w:sz w:val="18"/>
                <w:szCs w:val="18"/>
              </w:rPr>
              <w:t> </w:t>
            </w:r>
            <w:r w:rsidRPr="006C3B98">
              <w:rPr>
                <w:rFonts w:ascii="Arial" w:hAnsi="Arial" w:cs="Arial"/>
                <w:sz w:val="18"/>
                <w:szCs w:val="18"/>
              </w:rPr>
              <w:t>211,90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9</w:t>
            </w:r>
            <w:r>
              <w:rPr>
                <w:rFonts w:ascii="Arial" w:hAnsi="Arial" w:cs="Arial"/>
                <w:sz w:val="18"/>
                <w:szCs w:val="18"/>
              </w:rPr>
              <w:t> </w:t>
            </w:r>
            <w:r w:rsidRPr="006C3B98">
              <w:rPr>
                <w:rFonts w:ascii="Arial" w:hAnsi="Arial" w:cs="Arial"/>
                <w:sz w:val="18"/>
                <w:szCs w:val="18"/>
              </w:rPr>
              <w:t>623,01</w:t>
            </w:r>
          </w:p>
        </w:tc>
      </w:tr>
      <w:tr w:rsidR="00314E6D" w:rsidTr="009F2FFB">
        <w:trPr>
          <w:trHeight w:val="247"/>
        </w:trPr>
        <w:tc>
          <w:tcPr>
            <w:tcW w:w="1670" w:type="dxa"/>
            <w:vAlign w:val="center"/>
          </w:tcPr>
          <w:p w:rsidR="00314E6D" w:rsidRDefault="00314E6D" w:rsidP="009F2FFB">
            <w:pPr>
              <w:pStyle w:val="Tabelltext"/>
            </w:pPr>
            <w:r>
              <w:t>Lemland</w:t>
            </w:r>
          </w:p>
        </w:tc>
        <w:tc>
          <w:tcPr>
            <w:tcW w:w="1670" w:type="dxa"/>
            <w:tcBorders>
              <w:top w:val="single" w:sz="4" w:space="0" w:color="auto"/>
              <w:left w:val="nil"/>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19</w:t>
            </w:r>
            <w:r>
              <w:rPr>
                <w:rFonts w:ascii="Arial" w:hAnsi="Arial" w:cs="Arial"/>
                <w:sz w:val="18"/>
                <w:szCs w:val="18"/>
              </w:rPr>
              <w:t> </w:t>
            </w:r>
            <w:r w:rsidRPr="006C3B98">
              <w:rPr>
                <w:rFonts w:ascii="Arial" w:hAnsi="Arial" w:cs="Arial"/>
                <w:sz w:val="18"/>
                <w:szCs w:val="18"/>
              </w:rPr>
              <w:t>183,95</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68</w:t>
            </w:r>
            <w:r>
              <w:rPr>
                <w:rFonts w:ascii="Arial" w:hAnsi="Arial" w:cs="Arial"/>
                <w:sz w:val="18"/>
                <w:szCs w:val="18"/>
              </w:rPr>
              <w:t> </w:t>
            </w:r>
            <w:r w:rsidRPr="006C3B98">
              <w:rPr>
                <w:rFonts w:ascii="Arial" w:hAnsi="Arial" w:cs="Arial"/>
                <w:sz w:val="18"/>
                <w:szCs w:val="18"/>
              </w:rPr>
              <w:t>263,74</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87</w:t>
            </w:r>
            <w:r>
              <w:rPr>
                <w:rFonts w:ascii="Arial" w:hAnsi="Arial" w:cs="Arial"/>
                <w:sz w:val="18"/>
                <w:szCs w:val="18"/>
              </w:rPr>
              <w:t> </w:t>
            </w:r>
            <w:r w:rsidRPr="006C3B98">
              <w:rPr>
                <w:rFonts w:ascii="Arial" w:hAnsi="Arial" w:cs="Arial"/>
                <w:sz w:val="18"/>
                <w:szCs w:val="18"/>
              </w:rPr>
              <w:t>447,69</w:t>
            </w:r>
          </w:p>
        </w:tc>
      </w:tr>
      <w:tr w:rsidR="00314E6D" w:rsidTr="009F2FFB">
        <w:trPr>
          <w:trHeight w:val="247"/>
        </w:trPr>
        <w:tc>
          <w:tcPr>
            <w:tcW w:w="1670" w:type="dxa"/>
            <w:vAlign w:val="center"/>
          </w:tcPr>
          <w:p w:rsidR="00314E6D" w:rsidRDefault="00314E6D" w:rsidP="009F2FFB">
            <w:pPr>
              <w:pStyle w:val="Tabelltext"/>
            </w:pPr>
            <w:r>
              <w:t>Lumparland</w:t>
            </w:r>
          </w:p>
        </w:tc>
        <w:tc>
          <w:tcPr>
            <w:tcW w:w="1670" w:type="dxa"/>
            <w:tcBorders>
              <w:top w:val="single" w:sz="4" w:space="0" w:color="auto"/>
              <w:left w:val="nil"/>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3</w:t>
            </w:r>
            <w:r>
              <w:rPr>
                <w:rFonts w:ascii="Arial" w:hAnsi="Arial" w:cs="Arial"/>
                <w:sz w:val="18"/>
                <w:szCs w:val="18"/>
              </w:rPr>
              <w:t> </w:t>
            </w:r>
            <w:r w:rsidRPr="006C3B98">
              <w:rPr>
                <w:rFonts w:ascii="Arial" w:hAnsi="Arial" w:cs="Arial"/>
                <w:sz w:val="18"/>
                <w:szCs w:val="18"/>
              </w:rPr>
              <w:t>677,92</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26</w:t>
            </w:r>
            <w:r>
              <w:rPr>
                <w:rFonts w:ascii="Arial" w:hAnsi="Arial" w:cs="Arial"/>
                <w:sz w:val="18"/>
                <w:szCs w:val="18"/>
              </w:rPr>
              <w:t> </w:t>
            </w:r>
            <w:r w:rsidRPr="006C3B98">
              <w:rPr>
                <w:rFonts w:ascii="Arial" w:hAnsi="Arial" w:cs="Arial"/>
                <w:sz w:val="18"/>
                <w:szCs w:val="18"/>
              </w:rPr>
              <w:t>267,59</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29</w:t>
            </w:r>
            <w:r>
              <w:rPr>
                <w:rFonts w:ascii="Arial" w:hAnsi="Arial" w:cs="Arial"/>
                <w:sz w:val="18"/>
                <w:szCs w:val="18"/>
              </w:rPr>
              <w:t> </w:t>
            </w:r>
            <w:r w:rsidRPr="006C3B98">
              <w:rPr>
                <w:rFonts w:ascii="Arial" w:hAnsi="Arial" w:cs="Arial"/>
                <w:sz w:val="18"/>
                <w:szCs w:val="18"/>
              </w:rPr>
              <w:t>945,51</w:t>
            </w:r>
          </w:p>
        </w:tc>
      </w:tr>
      <w:tr w:rsidR="00314E6D" w:rsidTr="009F2FFB">
        <w:trPr>
          <w:trHeight w:val="247"/>
        </w:trPr>
        <w:tc>
          <w:tcPr>
            <w:tcW w:w="1670" w:type="dxa"/>
            <w:vAlign w:val="center"/>
          </w:tcPr>
          <w:p w:rsidR="00314E6D" w:rsidRDefault="00314E6D" w:rsidP="009F2FFB">
            <w:pPr>
              <w:pStyle w:val="Tabelltext"/>
            </w:pPr>
            <w:r>
              <w:t>Saltvik</w:t>
            </w:r>
          </w:p>
        </w:tc>
        <w:tc>
          <w:tcPr>
            <w:tcW w:w="1670" w:type="dxa"/>
            <w:tcBorders>
              <w:top w:val="single" w:sz="4" w:space="0" w:color="auto"/>
              <w:left w:val="nil"/>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7</w:t>
            </w:r>
            <w:r>
              <w:rPr>
                <w:rFonts w:ascii="Arial" w:hAnsi="Arial" w:cs="Arial"/>
                <w:sz w:val="18"/>
                <w:szCs w:val="18"/>
              </w:rPr>
              <w:t> </w:t>
            </w:r>
            <w:r w:rsidRPr="006C3B98">
              <w:rPr>
                <w:rFonts w:ascii="Arial" w:hAnsi="Arial" w:cs="Arial"/>
                <w:sz w:val="18"/>
                <w:szCs w:val="18"/>
              </w:rPr>
              <w:t>039,14</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89</w:t>
            </w:r>
            <w:r>
              <w:rPr>
                <w:rFonts w:ascii="Arial" w:hAnsi="Arial" w:cs="Arial"/>
                <w:sz w:val="18"/>
                <w:szCs w:val="18"/>
              </w:rPr>
              <w:t> </w:t>
            </w:r>
            <w:r w:rsidRPr="006C3B98">
              <w:rPr>
                <w:rFonts w:ascii="Arial" w:hAnsi="Arial" w:cs="Arial"/>
                <w:sz w:val="18"/>
                <w:szCs w:val="18"/>
              </w:rPr>
              <w:t>401,33</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96</w:t>
            </w:r>
            <w:r>
              <w:rPr>
                <w:rFonts w:ascii="Arial" w:hAnsi="Arial" w:cs="Arial"/>
                <w:sz w:val="18"/>
                <w:szCs w:val="18"/>
              </w:rPr>
              <w:t> </w:t>
            </w:r>
            <w:r w:rsidRPr="006C3B98">
              <w:rPr>
                <w:rFonts w:ascii="Arial" w:hAnsi="Arial" w:cs="Arial"/>
                <w:sz w:val="18"/>
                <w:szCs w:val="18"/>
              </w:rPr>
              <w:t>440,47</w:t>
            </w:r>
          </w:p>
        </w:tc>
      </w:tr>
      <w:tr w:rsidR="00314E6D" w:rsidTr="009F2FFB">
        <w:trPr>
          <w:trHeight w:val="247"/>
        </w:trPr>
        <w:tc>
          <w:tcPr>
            <w:tcW w:w="1670" w:type="dxa"/>
            <w:vAlign w:val="center"/>
          </w:tcPr>
          <w:p w:rsidR="00314E6D" w:rsidRDefault="00314E6D" w:rsidP="009F2FFB">
            <w:pPr>
              <w:pStyle w:val="Tabelltext"/>
            </w:pPr>
            <w:r>
              <w:t>Sottunga</w:t>
            </w:r>
          </w:p>
        </w:tc>
        <w:tc>
          <w:tcPr>
            <w:tcW w:w="1670" w:type="dxa"/>
            <w:tcBorders>
              <w:top w:val="single" w:sz="4" w:space="0" w:color="auto"/>
              <w:left w:val="nil"/>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775,60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5</w:t>
            </w:r>
            <w:r>
              <w:rPr>
                <w:rFonts w:ascii="Arial" w:hAnsi="Arial" w:cs="Arial"/>
                <w:sz w:val="18"/>
                <w:szCs w:val="18"/>
              </w:rPr>
              <w:t> </w:t>
            </w:r>
            <w:r w:rsidRPr="006C3B98">
              <w:rPr>
                <w:rFonts w:ascii="Arial" w:hAnsi="Arial" w:cs="Arial"/>
                <w:sz w:val="18"/>
                <w:szCs w:val="18"/>
              </w:rPr>
              <w:t>017,68</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5</w:t>
            </w:r>
            <w:r>
              <w:rPr>
                <w:rFonts w:ascii="Arial" w:hAnsi="Arial" w:cs="Arial"/>
                <w:sz w:val="18"/>
                <w:szCs w:val="18"/>
              </w:rPr>
              <w:t> </w:t>
            </w:r>
            <w:r w:rsidRPr="006C3B98">
              <w:rPr>
                <w:rFonts w:ascii="Arial" w:hAnsi="Arial" w:cs="Arial"/>
                <w:sz w:val="18"/>
                <w:szCs w:val="18"/>
              </w:rPr>
              <w:t>793,28</w:t>
            </w:r>
          </w:p>
        </w:tc>
      </w:tr>
      <w:tr w:rsidR="00314E6D" w:rsidTr="009F2FFB">
        <w:trPr>
          <w:trHeight w:val="247"/>
        </w:trPr>
        <w:tc>
          <w:tcPr>
            <w:tcW w:w="1670" w:type="dxa"/>
            <w:vAlign w:val="center"/>
          </w:tcPr>
          <w:p w:rsidR="00314E6D" w:rsidRDefault="00314E6D" w:rsidP="009F2FFB">
            <w:pPr>
              <w:pStyle w:val="Tabelltext"/>
            </w:pPr>
            <w:r>
              <w:t>Sund</w:t>
            </w:r>
          </w:p>
        </w:tc>
        <w:tc>
          <w:tcPr>
            <w:tcW w:w="1670" w:type="dxa"/>
            <w:tcBorders>
              <w:top w:val="single" w:sz="4" w:space="0" w:color="auto"/>
              <w:left w:val="nil"/>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11</w:t>
            </w:r>
            <w:r>
              <w:rPr>
                <w:rFonts w:ascii="Arial" w:hAnsi="Arial" w:cs="Arial"/>
                <w:sz w:val="18"/>
                <w:szCs w:val="18"/>
              </w:rPr>
              <w:t> </w:t>
            </w:r>
            <w:r w:rsidRPr="006C3B98">
              <w:rPr>
                <w:rFonts w:ascii="Arial" w:hAnsi="Arial" w:cs="Arial"/>
                <w:sz w:val="18"/>
                <w:szCs w:val="18"/>
              </w:rPr>
              <w:t>670,29</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64</w:t>
            </w:r>
            <w:r>
              <w:rPr>
                <w:rFonts w:ascii="Arial" w:hAnsi="Arial" w:cs="Arial"/>
                <w:sz w:val="18"/>
                <w:szCs w:val="18"/>
              </w:rPr>
              <w:t> </w:t>
            </w:r>
            <w:r w:rsidRPr="006C3B98">
              <w:rPr>
                <w:rFonts w:ascii="Arial" w:hAnsi="Arial" w:cs="Arial"/>
                <w:sz w:val="18"/>
                <w:szCs w:val="18"/>
              </w:rPr>
              <w:t>700,19</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76</w:t>
            </w:r>
            <w:r>
              <w:rPr>
                <w:rFonts w:ascii="Arial" w:hAnsi="Arial" w:cs="Arial"/>
                <w:sz w:val="18"/>
                <w:szCs w:val="18"/>
              </w:rPr>
              <w:t> </w:t>
            </w:r>
            <w:r w:rsidRPr="006C3B98">
              <w:rPr>
                <w:rFonts w:ascii="Arial" w:hAnsi="Arial" w:cs="Arial"/>
                <w:sz w:val="18"/>
                <w:szCs w:val="18"/>
              </w:rPr>
              <w:t>370,48</w:t>
            </w:r>
          </w:p>
        </w:tc>
      </w:tr>
      <w:tr w:rsidR="00314E6D" w:rsidTr="009F2FFB">
        <w:trPr>
          <w:trHeight w:val="247"/>
        </w:trPr>
        <w:tc>
          <w:tcPr>
            <w:tcW w:w="1670" w:type="dxa"/>
            <w:vAlign w:val="center"/>
          </w:tcPr>
          <w:p w:rsidR="00314E6D" w:rsidRDefault="00314E6D" w:rsidP="009F2FFB">
            <w:pPr>
              <w:pStyle w:val="Tabelltext"/>
            </w:pPr>
            <w:r>
              <w:t>Vårdö</w:t>
            </w:r>
          </w:p>
        </w:tc>
        <w:tc>
          <w:tcPr>
            <w:tcW w:w="1670" w:type="dxa"/>
            <w:tcBorders>
              <w:top w:val="single" w:sz="4" w:space="0" w:color="auto"/>
              <w:left w:val="nil"/>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4</w:t>
            </w:r>
            <w:r>
              <w:rPr>
                <w:rFonts w:ascii="Arial" w:hAnsi="Arial" w:cs="Arial"/>
                <w:sz w:val="18"/>
                <w:szCs w:val="18"/>
              </w:rPr>
              <w:t> </w:t>
            </w:r>
            <w:r w:rsidRPr="006C3B98">
              <w:rPr>
                <w:rFonts w:ascii="Arial" w:hAnsi="Arial" w:cs="Arial"/>
                <w:sz w:val="18"/>
                <w:szCs w:val="18"/>
              </w:rPr>
              <w:t>837,71</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24</w:t>
            </w:r>
            <w:r>
              <w:rPr>
                <w:rFonts w:ascii="Arial" w:hAnsi="Arial" w:cs="Arial"/>
                <w:sz w:val="18"/>
                <w:szCs w:val="18"/>
              </w:rPr>
              <w:t> </w:t>
            </w:r>
            <w:r w:rsidRPr="006C3B98">
              <w:rPr>
                <w:rFonts w:ascii="Arial" w:hAnsi="Arial" w:cs="Arial"/>
                <w:sz w:val="18"/>
                <w:szCs w:val="18"/>
              </w:rPr>
              <w:t>792,76</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29</w:t>
            </w:r>
            <w:r>
              <w:rPr>
                <w:rFonts w:ascii="Arial" w:hAnsi="Arial" w:cs="Arial"/>
                <w:sz w:val="18"/>
                <w:szCs w:val="18"/>
              </w:rPr>
              <w:t> </w:t>
            </w:r>
            <w:r w:rsidRPr="006C3B98">
              <w:rPr>
                <w:rFonts w:ascii="Arial" w:hAnsi="Arial" w:cs="Arial"/>
                <w:sz w:val="18"/>
                <w:szCs w:val="18"/>
              </w:rPr>
              <w:t>630,47</w:t>
            </w:r>
          </w:p>
        </w:tc>
      </w:tr>
      <w:tr w:rsidR="00314E6D" w:rsidTr="009F2FFB">
        <w:trPr>
          <w:trHeight w:val="247"/>
        </w:trPr>
        <w:tc>
          <w:tcPr>
            <w:tcW w:w="1670" w:type="dxa"/>
            <w:vAlign w:val="center"/>
          </w:tcPr>
          <w:p w:rsidR="00314E6D" w:rsidRDefault="00314E6D" w:rsidP="009F2FFB">
            <w:pPr>
              <w:pStyle w:val="Tabelltext"/>
            </w:pPr>
          </w:p>
        </w:tc>
        <w:tc>
          <w:tcPr>
            <w:tcW w:w="1670" w:type="dxa"/>
            <w:tcBorders>
              <w:top w:val="single" w:sz="4" w:space="0" w:color="auto"/>
              <w:left w:val="nil"/>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p>
        </w:tc>
      </w:tr>
      <w:tr w:rsidR="00314E6D" w:rsidTr="009F2FFB">
        <w:trPr>
          <w:trHeight w:val="247"/>
        </w:trPr>
        <w:tc>
          <w:tcPr>
            <w:tcW w:w="1670" w:type="dxa"/>
            <w:vAlign w:val="center"/>
          </w:tcPr>
          <w:p w:rsidR="00314E6D" w:rsidRDefault="00314E6D" w:rsidP="009F2FFB">
            <w:pPr>
              <w:pStyle w:val="Tabelltext"/>
            </w:pPr>
            <w:r>
              <w:t>Mariehamn</w:t>
            </w:r>
          </w:p>
        </w:tc>
        <w:tc>
          <w:tcPr>
            <w:tcW w:w="1670" w:type="dxa"/>
            <w:tcBorders>
              <w:top w:val="single" w:sz="4" w:space="0" w:color="auto"/>
              <w:left w:val="nil"/>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55</w:t>
            </w:r>
            <w:r>
              <w:rPr>
                <w:rFonts w:ascii="Arial" w:hAnsi="Arial" w:cs="Arial"/>
                <w:sz w:val="18"/>
                <w:szCs w:val="18"/>
              </w:rPr>
              <w:t> </w:t>
            </w:r>
            <w:r w:rsidRPr="006C3B98">
              <w:rPr>
                <w:rFonts w:ascii="Arial" w:hAnsi="Arial" w:cs="Arial"/>
                <w:sz w:val="18"/>
                <w:szCs w:val="18"/>
              </w:rPr>
              <w:t>149,4</w:t>
            </w:r>
            <w:r>
              <w:rPr>
                <w:rFonts w:ascii="Arial" w:hAnsi="Arial" w:cs="Arial"/>
                <w:sz w:val="18"/>
                <w:szCs w:val="18"/>
              </w:rPr>
              <w:t>6</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465</w:t>
            </w:r>
            <w:r>
              <w:rPr>
                <w:rFonts w:ascii="Arial" w:hAnsi="Arial" w:cs="Arial"/>
                <w:sz w:val="18"/>
                <w:szCs w:val="18"/>
              </w:rPr>
              <w:t> </w:t>
            </w:r>
            <w:r w:rsidRPr="006C3B98">
              <w:rPr>
                <w:rFonts w:ascii="Arial" w:hAnsi="Arial" w:cs="Arial"/>
                <w:sz w:val="18"/>
                <w:szCs w:val="18"/>
              </w:rPr>
              <w:t>412,2</w:t>
            </w:r>
            <w:r>
              <w:rPr>
                <w:rFonts w:ascii="Arial" w:hAnsi="Arial" w:cs="Arial"/>
                <w:sz w:val="18"/>
                <w:szCs w:val="18"/>
              </w:rPr>
              <w:t>2</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sz w:val="18"/>
                <w:szCs w:val="18"/>
              </w:rPr>
            </w:pPr>
            <w:r w:rsidRPr="006C3B98">
              <w:rPr>
                <w:rFonts w:ascii="Arial" w:hAnsi="Arial" w:cs="Arial"/>
                <w:sz w:val="18"/>
                <w:szCs w:val="18"/>
              </w:rPr>
              <w:t>520</w:t>
            </w:r>
            <w:r>
              <w:rPr>
                <w:rFonts w:ascii="Arial" w:hAnsi="Arial" w:cs="Arial"/>
                <w:sz w:val="18"/>
                <w:szCs w:val="18"/>
              </w:rPr>
              <w:t> </w:t>
            </w:r>
            <w:r w:rsidRPr="006C3B98">
              <w:rPr>
                <w:rFonts w:ascii="Arial" w:hAnsi="Arial" w:cs="Arial"/>
                <w:sz w:val="18"/>
                <w:szCs w:val="18"/>
              </w:rPr>
              <w:t>561,68</w:t>
            </w:r>
          </w:p>
        </w:tc>
      </w:tr>
      <w:tr w:rsidR="00314E6D" w:rsidTr="009F2FFB">
        <w:trPr>
          <w:trHeight w:val="260"/>
        </w:trPr>
        <w:tc>
          <w:tcPr>
            <w:tcW w:w="1670" w:type="dxa"/>
            <w:vAlign w:val="bottom"/>
          </w:tcPr>
          <w:p w:rsidR="00314E6D" w:rsidRPr="00F33FCC" w:rsidRDefault="00314E6D" w:rsidP="009F2FFB">
            <w:pPr>
              <w:pStyle w:val="Tabelltext"/>
              <w:rPr>
                <w:b/>
              </w:rPr>
            </w:pPr>
            <w:r w:rsidRPr="00F33FCC">
              <w:rPr>
                <w:b/>
              </w:rPr>
              <w:t>TOTALT</w:t>
            </w:r>
          </w:p>
        </w:tc>
        <w:tc>
          <w:tcPr>
            <w:tcW w:w="1670" w:type="dxa"/>
            <w:tcBorders>
              <w:top w:val="single" w:sz="4" w:space="0" w:color="auto"/>
              <w:left w:val="nil"/>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b/>
                <w:bCs/>
                <w:sz w:val="18"/>
                <w:szCs w:val="18"/>
              </w:rPr>
            </w:pPr>
            <w:r w:rsidRPr="006C3B98">
              <w:rPr>
                <w:rFonts w:ascii="Arial" w:hAnsi="Arial" w:cs="Arial"/>
                <w:b/>
                <w:bCs/>
                <w:sz w:val="18"/>
                <w:szCs w:val="18"/>
              </w:rPr>
              <w:t>200</w:t>
            </w:r>
            <w:r>
              <w:rPr>
                <w:rFonts w:ascii="Arial" w:hAnsi="Arial" w:cs="Arial"/>
                <w:b/>
                <w:bCs/>
                <w:sz w:val="18"/>
                <w:szCs w:val="18"/>
              </w:rPr>
              <w:t> </w:t>
            </w:r>
            <w:r w:rsidRPr="006C3B98">
              <w:rPr>
                <w:rFonts w:ascii="Arial" w:hAnsi="Arial" w:cs="Arial"/>
                <w:b/>
                <w:bCs/>
                <w:sz w:val="18"/>
                <w:szCs w:val="18"/>
              </w:rPr>
              <w:t>000,0</w:t>
            </w:r>
            <w:r>
              <w:rPr>
                <w:rFonts w:ascii="Arial" w:hAnsi="Arial" w:cs="Arial"/>
                <w:b/>
                <w:bCs/>
                <w:sz w:val="18"/>
                <w:szCs w:val="18"/>
              </w:rPr>
              <w:t>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b/>
                <w:bCs/>
                <w:color w:val="000000"/>
                <w:sz w:val="18"/>
                <w:szCs w:val="18"/>
              </w:rPr>
            </w:pPr>
            <w:r w:rsidRPr="006C3B98">
              <w:rPr>
                <w:rFonts w:ascii="Arial" w:hAnsi="Arial" w:cs="Arial"/>
                <w:b/>
                <w:bCs/>
                <w:color w:val="000000"/>
                <w:sz w:val="18"/>
                <w:szCs w:val="18"/>
              </w:rPr>
              <w:t>1</w:t>
            </w:r>
            <w:r>
              <w:rPr>
                <w:rFonts w:ascii="Arial" w:hAnsi="Arial" w:cs="Arial"/>
                <w:b/>
                <w:bCs/>
                <w:color w:val="000000"/>
                <w:sz w:val="18"/>
                <w:szCs w:val="18"/>
              </w:rPr>
              <w:t> </w:t>
            </w:r>
            <w:r w:rsidRPr="006C3B98">
              <w:rPr>
                <w:rFonts w:ascii="Arial" w:hAnsi="Arial" w:cs="Arial"/>
                <w:b/>
                <w:bCs/>
                <w:color w:val="000000"/>
                <w:sz w:val="18"/>
                <w:szCs w:val="18"/>
              </w:rPr>
              <w:t>300</w:t>
            </w:r>
            <w:r>
              <w:rPr>
                <w:rFonts w:ascii="Arial" w:hAnsi="Arial" w:cs="Arial"/>
                <w:b/>
                <w:bCs/>
                <w:color w:val="000000"/>
                <w:sz w:val="18"/>
                <w:szCs w:val="18"/>
              </w:rPr>
              <w:t> </w:t>
            </w:r>
            <w:r w:rsidRPr="006C3B98">
              <w:rPr>
                <w:rFonts w:ascii="Arial" w:hAnsi="Arial" w:cs="Arial"/>
                <w:b/>
                <w:bCs/>
                <w:color w:val="000000"/>
                <w:sz w:val="18"/>
                <w:szCs w:val="18"/>
              </w:rPr>
              <w:t>000,00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6C3B98" w:rsidRDefault="00314E6D" w:rsidP="009F2FFB">
            <w:pPr>
              <w:jc w:val="right"/>
              <w:rPr>
                <w:rFonts w:ascii="Arial" w:hAnsi="Arial" w:cs="Arial"/>
                <w:b/>
                <w:bCs/>
                <w:sz w:val="18"/>
                <w:szCs w:val="18"/>
              </w:rPr>
            </w:pPr>
            <w:r w:rsidRPr="006C3B98">
              <w:rPr>
                <w:rFonts w:ascii="Arial" w:hAnsi="Arial" w:cs="Arial"/>
                <w:b/>
                <w:bCs/>
                <w:sz w:val="18"/>
                <w:szCs w:val="18"/>
              </w:rPr>
              <w:t>1</w:t>
            </w:r>
            <w:r>
              <w:rPr>
                <w:rFonts w:ascii="Arial" w:hAnsi="Arial" w:cs="Arial"/>
                <w:b/>
                <w:bCs/>
                <w:sz w:val="18"/>
                <w:szCs w:val="18"/>
              </w:rPr>
              <w:t> </w:t>
            </w:r>
            <w:r w:rsidRPr="006C3B98">
              <w:rPr>
                <w:rFonts w:ascii="Arial" w:hAnsi="Arial" w:cs="Arial"/>
                <w:b/>
                <w:bCs/>
                <w:sz w:val="18"/>
                <w:szCs w:val="18"/>
              </w:rPr>
              <w:t>500</w:t>
            </w:r>
            <w:r>
              <w:rPr>
                <w:rFonts w:ascii="Arial" w:hAnsi="Arial" w:cs="Arial"/>
                <w:b/>
                <w:bCs/>
                <w:sz w:val="18"/>
                <w:szCs w:val="18"/>
              </w:rPr>
              <w:t> </w:t>
            </w:r>
            <w:r w:rsidRPr="006C3B98">
              <w:rPr>
                <w:rFonts w:ascii="Arial" w:hAnsi="Arial" w:cs="Arial"/>
                <w:b/>
                <w:bCs/>
                <w:sz w:val="18"/>
                <w:szCs w:val="18"/>
              </w:rPr>
              <w:t>000,00</w:t>
            </w:r>
          </w:p>
        </w:tc>
      </w:tr>
    </w:tbl>
    <w:p w:rsidR="00314E6D" w:rsidRDefault="00314E6D" w:rsidP="00314E6D">
      <w:pPr>
        <w:pStyle w:val="ANormal"/>
      </w:pPr>
    </w:p>
    <w:p w:rsidR="00314E6D" w:rsidRDefault="00314E6D" w:rsidP="00314E6D">
      <w:pPr>
        <w:pStyle w:val="ANormal"/>
      </w:pPr>
      <w:r>
        <w:tab/>
        <w:t>Förslaget har beretts vid lagberedningen och skickats på remiss till kommunerna och Ålands kommunförbund. Av dessa har tolv kommuner inkommit med yttranden. Överlag är kommunerna i sina yttranden negativa till nivån på kompensationen för de skatteåtgärder som vidtagits för 2019. De flesta anser att kommunerna ska kompenseras fullt ut för förlusten av skatteintäkter, samt att det inte är skäligt att en del av kompensationen har överförts till anslaget för samarbetsstöd i landskapets budget. När det gäller kompensationen för konkurrenskraftspaketets effekter framförs inga direkta synpunkter, förutom att en kommun ifrågasätter totalbeloppet med hänvi</w:t>
      </w:r>
      <w:r>
        <w:t>s</w:t>
      </w:r>
      <w:r>
        <w:t>ning till att man kom överens om det i budgetprocessen för 2018 när effe</w:t>
      </w:r>
      <w:r>
        <w:t>k</w:t>
      </w:r>
      <w:r>
        <w:t>terna inte var till fullo kända.</w:t>
      </w:r>
    </w:p>
    <w:p w:rsidR="00AF3004" w:rsidRDefault="00314E6D" w:rsidP="00314E6D">
      <w:pPr>
        <w:pStyle w:val="ANormal"/>
      </w:pPr>
      <w:r>
        <w:tab/>
        <w:t>Den föreslagna lagen bör träda i kraft så snart som möjligt så att ko</w:t>
      </w:r>
      <w:r>
        <w:t>m</w:t>
      </w:r>
      <w:r>
        <w:t>pensationerna kan betalas ut till kommunerna. Landskapsregeringen för</w:t>
      </w:r>
      <w:r>
        <w:t>e</w:t>
      </w:r>
      <w:r>
        <w:t>slår därför att tidpunkten för ikraftträdande lämnas öppen.</w:t>
      </w:r>
    </w:p>
    <w:p w:rsidR="00AF3004" w:rsidRDefault="00AF3004">
      <w:pPr>
        <w:pStyle w:val="ANormal"/>
      </w:pPr>
    </w:p>
    <w:p w:rsidR="00AF3004" w:rsidRDefault="00AF3004">
      <w:pPr>
        <w:pStyle w:val="RubrikA"/>
      </w:pPr>
      <w:r>
        <w:br w:type="page"/>
      </w:r>
      <w:bookmarkStart w:id="9" w:name="_Toc5198311"/>
      <w:r>
        <w:lastRenderedPageBreak/>
        <w:t>Lagtext</w:t>
      </w:r>
      <w:bookmarkEnd w:id="9"/>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AF3004" w:rsidRDefault="00AF3004">
      <w:pPr>
        <w:pStyle w:val="LagHuvRubr"/>
        <w:rPr>
          <w:lang w:val="en-GB"/>
        </w:rPr>
      </w:pPr>
      <w:bookmarkStart w:id="10" w:name="_Toc5198312"/>
      <w:r>
        <w:rPr>
          <w:lang w:val="en-GB"/>
        </w:rPr>
        <w:t>L A N D S K A P S L A G</w:t>
      </w:r>
      <w:r>
        <w:rPr>
          <w:lang w:val="en-GB"/>
        </w:rPr>
        <w:br/>
      </w:r>
      <w:r w:rsidRPr="00314E6D">
        <w:t>om</w:t>
      </w:r>
      <w:r w:rsidR="00314E6D" w:rsidRPr="00314E6D">
        <w:t xml:space="preserve"> vissa kompensationer till kommunerna finansåret 2019</w:t>
      </w:r>
      <w:bookmarkEnd w:id="10"/>
    </w:p>
    <w:p w:rsidR="00AF3004" w:rsidRDefault="00AF3004">
      <w:pPr>
        <w:pStyle w:val="ANormal"/>
        <w:rPr>
          <w:lang w:val="en-GB"/>
        </w:rPr>
      </w:pPr>
    </w:p>
    <w:p w:rsidR="00AF3004" w:rsidRDefault="00AF3004">
      <w:pPr>
        <w:pStyle w:val="ANormal"/>
      </w:pPr>
      <w:r>
        <w:tab/>
        <w:t>I enlighet med lagtingets beslut föreskrivs:</w:t>
      </w:r>
    </w:p>
    <w:p w:rsidR="00AF3004" w:rsidRDefault="00AF3004">
      <w:pPr>
        <w:pStyle w:val="ANormal"/>
      </w:pPr>
    </w:p>
    <w:p w:rsidR="00314E6D" w:rsidRDefault="00314E6D" w:rsidP="00314E6D">
      <w:pPr>
        <w:pStyle w:val="LagParagraf"/>
      </w:pPr>
      <w:r w:rsidRPr="002C5063">
        <w:t>1</w:t>
      </w:r>
      <w:r>
        <w:t> </w:t>
      </w:r>
      <w:r w:rsidRPr="002C5063">
        <w:t>§</w:t>
      </w:r>
    </w:p>
    <w:p w:rsidR="00314E6D" w:rsidRDefault="00314E6D" w:rsidP="00314E6D">
      <w:pPr>
        <w:pStyle w:val="ANormal"/>
      </w:pPr>
      <w:r>
        <w:tab/>
        <w:t>För att dämpa de ekonomiska effekterna av det avtal som 2017 slöts mellan arbetsmarknadens centralorganisationer i riket (konkurrenskraftsa</w:t>
      </w:r>
      <w:r>
        <w:t>v</w:t>
      </w:r>
      <w:r>
        <w:t>talet) och de skatteåtgärder som vidtogs i samband med det, betalar lan</w:t>
      </w:r>
      <w:r>
        <w:t>d</w:t>
      </w:r>
      <w:r>
        <w:t>skapsregeringen 1 300 000 euro i kompensation till kommunerna finansåret 2019. Beloppet fördelas mellan kommunerna enligt följande:</w:t>
      </w:r>
    </w:p>
    <w:p w:rsidR="00314E6D" w:rsidRPr="002C5063" w:rsidRDefault="00314E6D" w:rsidP="00314E6D">
      <w:pPr>
        <w:pStyle w:val="ANormal"/>
      </w:pPr>
    </w:p>
    <w:tbl>
      <w:tblPr>
        <w:tblStyle w:val="Tabellrutnt"/>
        <w:tblW w:w="0" w:type="auto"/>
        <w:tblInd w:w="1838" w:type="dxa"/>
        <w:tblLook w:val="04A0" w:firstRow="1" w:lastRow="0" w:firstColumn="1" w:lastColumn="0" w:noHBand="0" w:noVBand="1"/>
      </w:tblPr>
      <w:tblGrid>
        <w:gridCol w:w="1701"/>
        <w:gridCol w:w="1701"/>
      </w:tblGrid>
      <w:tr w:rsidR="00314E6D" w:rsidRPr="004D1F12" w:rsidTr="009F2FFB">
        <w:trPr>
          <w:trHeight w:val="425"/>
        </w:trPr>
        <w:tc>
          <w:tcPr>
            <w:tcW w:w="1701" w:type="dxa"/>
            <w:tcBorders>
              <w:bottom w:val="single" w:sz="4" w:space="0" w:color="auto"/>
            </w:tcBorders>
            <w:vAlign w:val="center"/>
          </w:tcPr>
          <w:p w:rsidR="00314E6D" w:rsidRPr="004D1F12" w:rsidRDefault="00314E6D" w:rsidP="009F2FFB">
            <w:pPr>
              <w:pStyle w:val="Tabelltext"/>
              <w:jc w:val="center"/>
              <w:rPr>
                <w:b/>
              </w:rPr>
            </w:pPr>
            <w:bookmarkStart w:id="11" w:name="_Hlk526342119"/>
            <w:r w:rsidRPr="004D1F12">
              <w:rPr>
                <w:b/>
              </w:rPr>
              <w:t>Kommun</w:t>
            </w:r>
          </w:p>
        </w:tc>
        <w:tc>
          <w:tcPr>
            <w:tcW w:w="1701" w:type="dxa"/>
            <w:tcBorders>
              <w:bottom w:val="single" w:sz="4" w:space="0" w:color="auto"/>
            </w:tcBorders>
            <w:vAlign w:val="center"/>
          </w:tcPr>
          <w:p w:rsidR="00314E6D" w:rsidRPr="004D1F12" w:rsidRDefault="00314E6D" w:rsidP="009F2FFB">
            <w:pPr>
              <w:pStyle w:val="Tabelltext"/>
              <w:jc w:val="center"/>
              <w:rPr>
                <w:b/>
              </w:rPr>
            </w:pPr>
            <w:r>
              <w:rPr>
                <w:b/>
              </w:rPr>
              <w:t>Belopp, euro</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9F2FFB">
            <w:pPr>
              <w:pStyle w:val="Tabelltext"/>
              <w:rPr>
                <w:sz w:val="20"/>
                <w:lang w:val="sv-FI" w:eastAsia="sv-FI"/>
              </w:rPr>
            </w:pPr>
            <w:r>
              <w:rPr>
                <w:sz w:val="20"/>
              </w:rPr>
              <w:t>Brändö</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A35402" w:rsidRDefault="00314E6D" w:rsidP="009F2FFB">
            <w:pPr>
              <w:jc w:val="right"/>
              <w:rPr>
                <w:rFonts w:ascii="Arial" w:hAnsi="Arial" w:cs="Arial"/>
                <w:sz w:val="20"/>
                <w:szCs w:val="20"/>
                <w:lang w:val="sv-FI" w:eastAsia="sv-FI"/>
              </w:rPr>
            </w:pPr>
            <w:r w:rsidRPr="00A35402">
              <w:rPr>
                <w:rFonts w:ascii="Arial" w:hAnsi="Arial" w:cs="Arial"/>
                <w:sz w:val="20"/>
                <w:szCs w:val="20"/>
              </w:rPr>
              <w:t>30</w:t>
            </w:r>
            <w:r>
              <w:rPr>
                <w:rFonts w:ascii="Arial" w:hAnsi="Arial" w:cs="Arial"/>
                <w:sz w:val="20"/>
                <w:szCs w:val="20"/>
              </w:rPr>
              <w:t> </w:t>
            </w:r>
            <w:r w:rsidRPr="00A35402">
              <w:rPr>
                <w:rFonts w:ascii="Arial" w:hAnsi="Arial" w:cs="Arial"/>
                <w:sz w:val="20"/>
                <w:szCs w:val="20"/>
              </w:rPr>
              <w:t>744,98</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9F2FFB">
            <w:pPr>
              <w:pStyle w:val="Tabelltext"/>
              <w:rPr>
                <w:sz w:val="20"/>
              </w:rPr>
            </w:pPr>
            <w:r>
              <w:rPr>
                <w:sz w:val="20"/>
              </w:rPr>
              <w:t>Eckerö</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A35402" w:rsidRDefault="00314E6D" w:rsidP="009F2FFB">
            <w:pPr>
              <w:jc w:val="right"/>
              <w:rPr>
                <w:rFonts w:ascii="Arial" w:hAnsi="Arial" w:cs="Arial"/>
                <w:sz w:val="20"/>
                <w:szCs w:val="20"/>
              </w:rPr>
            </w:pPr>
            <w:r w:rsidRPr="00A35402">
              <w:rPr>
                <w:rFonts w:ascii="Arial" w:hAnsi="Arial" w:cs="Arial"/>
                <w:sz w:val="20"/>
                <w:szCs w:val="20"/>
              </w:rPr>
              <w:t>52</w:t>
            </w:r>
            <w:r>
              <w:rPr>
                <w:rFonts w:ascii="Arial" w:hAnsi="Arial" w:cs="Arial"/>
                <w:sz w:val="20"/>
                <w:szCs w:val="20"/>
              </w:rPr>
              <w:t> </w:t>
            </w:r>
            <w:r w:rsidRPr="00A35402">
              <w:rPr>
                <w:rFonts w:ascii="Arial" w:hAnsi="Arial" w:cs="Arial"/>
                <w:sz w:val="20"/>
                <w:szCs w:val="20"/>
              </w:rPr>
              <w:t>795,04</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9F2FFB">
            <w:pPr>
              <w:pStyle w:val="Tabelltext"/>
              <w:rPr>
                <w:sz w:val="20"/>
              </w:rPr>
            </w:pPr>
            <w:r>
              <w:rPr>
                <w:sz w:val="20"/>
              </w:rPr>
              <w:t>Finström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A35402" w:rsidRDefault="00314E6D" w:rsidP="009F2FFB">
            <w:pPr>
              <w:jc w:val="right"/>
              <w:rPr>
                <w:rFonts w:ascii="Arial" w:hAnsi="Arial" w:cs="Arial"/>
                <w:sz w:val="20"/>
                <w:szCs w:val="20"/>
              </w:rPr>
            </w:pPr>
            <w:r w:rsidRPr="00A35402">
              <w:rPr>
                <w:rFonts w:ascii="Arial" w:hAnsi="Arial" w:cs="Arial"/>
                <w:sz w:val="20"/>
                <w:szCs w:val="20"/>
              </w:rPr>
              <w:t>158</w:t>
            </w:r>
            <w:r>
              <w:rPr>
                <w:rFonts w:ascii="Arial" w:hAnsi="Arial" w:cs="Arial"/>
                <w:sz w:val="20"/>
                <w:szCs w:val="20"/>
              </w:rPr>
              <w:t> </w:t>
            </w:r>
            <w:r w:rsidRPr="00A35402">
              <w:rPr>
                <w:rFonts w:ascii="Arial" w:hAnsi="Arial" w:cs="Arial"/>
                <w:sz w:val="20"/>
                <w:szCs w:val="20"/>
              </w:rPr>
              <w:t>925,01</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9F2FFB">
            <w:pPr>
              <w:pStyle w:val="Tabelltext"/>
              <w:rPr>
                <w:sz w:val="20"/>
              </w:rPr>
            </w:pPr>
            <w:r>
              <w:rPr>
                <w:sz w:val="20"/>
              </w:rPr>
              <w:t>Föglö</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A35402" w:rsidRDefault="00314E6D" w:rsidP="009F2FFB">
            <w:pPr>
              <w:jc w:val="right"/>
              <w:rPr>
                <w:rFonts w:ascii="Arial" w:hAnsi="Arial" w:cs="Arial"/>
                <w:sz w:val="20"/>
                <w:szCs w:val="20"/>
              </w:rPr>
            </w:pPr>
            <w:r w:rsidRPr="00A35402">
              <w:rPr>
                <w:rFonts w:ascii="Arial" w:hAnsi="Arial" w:cs="Arial"/>
                <w:sz w:val="20"/>
                <w:szCs w:val="20"/>
              </w:rPr>
              <w:t>18</w:t>
            </w:r>
            <w:r>
              <w:rPr>
                <w:rFonts w:ascii="Arial" w:hAnsi="Arial" w:cs="Arial"/>
                <w:sz w:val="20"/>
                <w:szCs w:val="20"/>
              </w:rPr>
              <w:t> </w:t>
            </w:r>
            <w:r w:rsidRPr="00A35402">
              <w:rPr>
                <w:rFonts w:ascii="Arial" w:hAnsi="Arial" w:cs="Arial"/>
                <w:sz w:val="20"/>
                <w:szCs w:val="20"/>
              </w:rPr>
              <w:t>652,41</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9F2FFB">
            <w:pPr>
              <w:pStyle w:val="Tabelltext"/>
              <w:rPr>
                <w:sz w:val="20"/>
              </w:rPr>
            </w:pPr>
            <w:r>
              <w:rPr>
                <w:sz w:val="20"/>
              </w:rPr>
              <w:t>Geta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A35402" w:rsidRDefault="00314E6D" w:rsidP="009F2FFB">
            <w:pPr>
              <w:jc w:val="right"/>
              <w:rPr>
                <w:rFonts w:ascii="Arial" w:hAnsi="Arial" w:cs="Arial"/>
                <w:sz w:val="20"/>
                <w:szCs w:val="20"/>
              </w:rPr>
            </w:pPr>
            <w:r w:rsidRPr="00A35402">
              <w:rPr>
                <w:rFonts w:ascii="Arial" w:hAnsi="Arial" w:cs="Arial"/>
                <w:sz w:val="20"/>
                <w:szCs w:val="20"/>
              </w:rPr>
              <w:t>22</w:t>
            </w:r>
            <w:r>
              <w:rPr>
                <w:rFonts w:ascii="Arial" w:hAnsi="Arial" w:cs="Arial"/>
                <w:sz w:val="20"/>
                <w:szCs w:val="20"/>
              </w:rPr>
              <w:t> </w:t>
            </w:r>
            <w:r w:rsidRPr="00A35402">
              <w:rPr>
                <w:rFonts w:ascii="Arial" w:hAnsi="Arial" w:cs="Arial"/>
                <w:sz w:val="20"/>
                <w:szCs w:val="20"/>
              </w:rPr>
              <w:t>042,10</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9F2FFB">
            <w:pPr>
              <w:pStyle w:val="Tabelltext"/>
              <w:rPr>
                <w:sz w:val="20"/>
              </w:rPr>
            </w:pPr>
            <w:r>
              <w:rPr>
                <w:sz w:val="20"/>
              </w:rPr>
              <w:t>Hammarland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A35402" w:rsidRDefault="00314E6D" w:rsidP="009F2FFB">
            <w:pPr>
              <w:jc w:val="right"/>
              <w:rPr>
                <w:rFonts w:ascii="Arial" w:hAnsi="Arial" w:cs="Arial"/>
                <w:sz w:val="20"/>
                <w:szCs w:val="20"/>
              </w:rPr>
            </w:pPr>
            <w:r w:rsidRPr="00A35402">
              <w:rPr>
                <w:rFonts w:ascii="Arial" w:hAnsi="Arial" w:cs="Arial"/>
                <w:sz w:val="20"/>
                <w:szCs w:val="20"/>
              </w:rPr>
              <w:t>91</w:t>
            </w:r>
            <w:r>
              <w:rPr>
                <w:rFonts w:ascii="Arial" w:hAnsi="Arial" w:cs="Arial"/>
                <w:sz w:val="20"/>
                <w:szCs w:val="20"/>
              </w:rPr>
              <w:t> </w:t>
            </w:r>
            <w:r w:rsidRPr="00A35402">
              <w:rPr>
                <w:rFonts w:ascii="Arial" w:hAnsi="Arial" w:cs="Arial"/>
                <w:sz w:val="20"/>
                <w:szCs w:val="20"/>
              </w:rPr>
              <w:t>907,56</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9F2FFB">
            <w:pPr>
              <w:pStyle w:val="Tabelltext"/>
              <w:rPr>
                <w:sz w:val="20"/>
              </w:rPr>
            </w:pPr>
            <w:r>
              <w:rPr>
                <w:sz w:val="20"/>
              </w:rPr>
              <w:t>Jomala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A35402" w:rsidRDefault="00314E6D" w:rsidP="009F2FFB">
            <w:pPr>
              <w:jc w:val="right"/>
              <w:rPr>
                <w:rFonts w:ascii="Arial" w:hAnsi="Arial" w:cs="Arial"/>
                <w:sz w:val="20"/>
                <w:szCs w:val="20"/>
              </w:rPr>
            </w:pPr>
            <w:r w:rsidRPr="00A35402">
              <w:rPr>
                <w:rFonts w:ascii="Arial" w:hAnsi="Arial" w:cs="Arial"/>
                <w:sz w:val="20"/>
                <w:szCs w:val="20"/>
              </w:rPr>
              <w:t>157</w:t>
            </w:r>
            <w:r>
              <w:rPr>
                <w:rFonts w:ascii="Arial" w:hAnsi="Arial" w:cs="Arial"/>
                <w:sz w:val="20"/>
                <w:szCs w:val="20"/>
              </w:rPr>
              <w:t> </w:t>
            </w:r>
            <w:r w:rsidRPr="00A35402">
              <w:rPr>
                <w:rFonts w:ascii="Arial" w:hAnsi="Arial" w:cs="Arial"/>
                <w:sz w:val="20"/>
                <w:szCs w:val="20"/>
              </w:rPr>
              <w:t>809,52</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9F2FFB">
            <w:pPr>
              <w:pStyle w:val="Tabelltext"/>
              <w:rPr>
                <w:sz w:val="20"/>
              </w:rPr>
            </w:pPr>
            <w:r>
              <w:rPr>
                <w:sz w:val="20"/>
              </w:rPr>
              <w:t>Kumlinge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A35402" w:rsidRDefault="00314E6D" w:rsidP="009F2FFB">
            <w:pPr>
              <w:jc w:val="right"/>
              <w:rPr>
                <w:rFonts w:ascii="Arial" w:hAnsi="Arial" w:cs="Arial"/>
                <w:sz w:val="20"/>
                <w:szCs w:val="20"/>
              </w:rPr>
            </w:pPr>
            <w:r w:rsidRPr="00A35402">
              <w:rPr>
                <w:rFonts w:ascii="Arial" w:hAnsi="Arial" w:cs="Arial"/>
                <w:sz w:val="20"/>
                <w:szCs w:val="20"/>
              </w:rPr>
              <w:t>16</w:t>
            </w:r>
            <w:r>
              <w:rPr>
                <w:rFonts w:ascii="Arial" w:hAnsi="Arial" w:cs="Arial"/>
                <w:sz w:val="20"/>
                <w:szCs w:val="20"/>
              </w:rPr>
              <w:t> </w:t>
            </w:r>
            <w:r w:rsidRPr="00A35402">
              <w:rPr>
                <w:rFonts w:ascii="Arial" w:hAnsi="Arial" w:cs="Arial"/>
                <w:sz w:val="20"/>
                <w:szCs w:val="20"/>
              </w:rPr>
              <w:t>055,97</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9F2FFB">
            <w:pPr>
              <w:pStyle w:val="Tabelltext"/>
              <w:rPr>
                <w:sz w:val="20"/>
              </w:rPr>
            </w:pPr>
            <w:r>
              <w:rPr>
                <w:sz w:val="20"/>
              </w:rPr>
              <w:t>Kökar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A35402" w:rsidRDefault="00314E6D" w:rsidP="009F2FFB">
            <w:pPr>
              <w:jc w:val="right"/>
              <w:rPr>
                <w:rFonts w:ascii="Arial" w:hAnsi="Arial" w:cs="Arial"/>
                <w:sz w:val="20"/>
                <w:szCs w:val="20"/>
              </w:rPr>
            </w:pPr>
            <w:r w:rsidRPr="00A35402">
              <w:rPr>
                <w:rFonts w:ascii="Arial" w:hAnsi="Arial" w:cs="Arial"/>
                <w:sz w:val="20"/>
                <w:szCs w:val="20"/>
              </w:rPr>
              <w:t>7</w:t>
            </w:r>
            <w:r>
              <w:rPr>
                <w:rFonts w:ascii="Arial" w:hAnsi="Arial" w:cs="Arial"/>
                <w:sz w:val="20"/>
                <w:szCs w:val="20"/>
              </w:rPr>
              <w:t> </w:t>
            </w:r>
            <w:r w:rsidRPr="00A35402">
              <w:rPr>
                <w:rFonts w:ascii="Arial" w:hAnsi="Arial" w:cs="Arial"/>
                <w:sz w:val="20"/>
                <w:szCs w:val="20"/>
              </w:rPr>
              <w:t>211,90</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9F2FFB">
            <w:pPr>
              <w:pStyle w:val="Tabelltext"/>
              <w:rPr>
                <w:sz w:val="20"/>
              </w:rPr>
            </w:pPr>
            <w:r>
              <w:rPr>
                <w:sz w:val="20"/>
              </w:rPr>
              <w:t>Lemland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A35402" w:rsidRDefault="00314E6D" w:rsidP="009F2FFB">
            <w:pPr>
              <w:jc w:val="right"/>
              <w:rPr>
                <w:rFonts w:ascii="Arial" w:hAnsi="Arial" w:cs="Arial"/>
                <w:sz w:val="20"/>
                <w:szCs w:val="20"/>
              </w:rPr>
            </w:pPr>
            <w:r w:rsidRPr="00A35402">
              <w:rPr>
                <w:rFonts w:ascii="Arial" w:hAnsi="Arial" w:cs="Arial"/>
                <w:sz w:val="20"/>
                <w:szCs w:val="20"/>
              </w:rPr>
              <w:t>68</w:t>
            </w:r>
            <w:r>
              <w:rPr>
                <w:rFonts w:ascii="Arial" w:hAnsi="Arial" w:cs="Arial"/>
                <w:sz w:val="20"/>
                <w:szCs w:val="20"/>
              </w:rPr>
              <w:t> </w:t>
            </w:r>
            <w:r w:rsidRPr="00A35402">
              <w:rPr>
                <w:rFonts w:ascii="Arial" w:hAnsi="Arial" w:cs="Arial"/>
                <w:sz w:val="20"/>
                <w:szCs w:val="20"/>
              </w:rPr>
              <w:t>263,74</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9F2FFB">
            <w:pPr>
              <w:pStyle w:val="Tabelltext"/>
              <w:rPr>
                <w:sz w:val="20"/>
              </w:rPr>
            </w:pPr>
            <w:r>
              <w:rPr>
                <w:sz w:val="20"/>
              </w:rPr>
              <w:t>Lumparland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A35402" w:rsidRDefault="00314E6D" w:rsidP="009F2FFB">
            <w:pPr>
              <w:jc w:val="right"/>
              <w:rPr>
                <w:rFonts w:ascii="Arial" w:hAnsi="Arial" w:cs="Arial"/>
                <w:sz w:val="20"/>
                <w:szCs w:val="20"/>
              </w:rPr>
            </w:pPr>
            <w:r w:rsidRPr="00A35402">
              <w:rPr>
                <w:rFonts w:ascii="Arial" w:hAnsi="Arial" w:cs="Arial"/>
                <w:sz w:val="20"/>
                <w:szCs w:val="20"/>
              </w:rPr>
              <w:t>26</w:t>
            </w:r>
            <w:r>
              <w:rPr>
                <w:rFonts w:ascii="Arial" w:hAnsi="Arial" w:cs="Arial"/>
                <w:sz w:val="20"/>
                <w:szCs w:val="20"/>
              </w:rPr>
              <w:t> </w:t>
            </w:r>
            <w:r w:rsidRPr="00A35402">
              <w:rPr>
                <w:rFonts w:ascii="Arial" w:hAnsi="Arial" w:cs="Arial"/>
                <w:sz w:val="20"/>
                <w:szCs w:val="20"/>
              </w:rPr>
              <w:t>267,59</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9F2FFB">
            <w:pPr>
              <w:pStyle w:val="Tabelltext"/>
              <w:rPr>
                <w:sz w:val="20"/>
              </w:rPr>
            </w:pPr>
            <w:r>
              <w:rPr>
                <w:sz w:val="20"/>
              </w:rPr>
              <w:t>Mariehamn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A35402" w:rsidRDefault="00314E6D" w:rsidP="009F2FFB">
            <w:pPr>
              <w:jc w:val="right"/>
              <w:rPr>
                <w:rFonts w:ascii="Arial" w:hAnsi="Arial" w:cs="Arial"/>
                <w:sz w:val="20"/>
                <w:szCs w:val="20"/>
              </w:rPr>
            </w:pPr>
            <w:r w:rsidRPr="00A35402">
              <w:rPr>
                <w:rFonts w:ascii="Arial" w:hAnsi="Arial" w:cs="Arial"/>
                <w:sz w:val="20"/>
                <w:szCs w:val="20"/>
              </w:rPr>
              <w:t>465</w:t>
            </w:r>
            <w:r>
              <w:rPr>
                <w:rFonts w:ascii="Arial" w:hAnsi="Arial" w:cs="Arial"/>
                <w:sz w:val="20"/>
                <w:szCs w:val="20"/>
              </w:rPr>
              <w:t> </w:t>
            </w:r>
            <w:r w:rsidRPr="00A35402">
              <w:rPr>
                <w:rFonts w:ascii="Arial" w:hAnsi="Arial" w:cs="Arial"/>
                <w:sz w:val="20"/>
                <w:szCs w:val="20"/>
              </w:rPr>
              <w:t>412,2</w:t>
            </w:r>
            <w:r>
              <w:rPr>
                <w:rFonts w:ascii="Arial" w:hAnsi="Arial" w:cs="Arial"/>
                <w:sz w:val="20"/>
                <w:szCs w:val="20"/>
              </w:rPr>
              <w:t>2</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9F2FFB">
            <w:pPr>
              <w:pStyle w:val="Tabelltext"/>
              <w:rPr>
                <w:sz w:val="20"/>
              </w:rPr>
            </w:pPr>
            <w:r>
              <w:rPr>
                <w:sz w:val="20"/>
              </w:rPr>
              <w:t>Saltvik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A35402" w:rsidRDefault="00314E6D" w:rsidP="009F2FFB">
            <w:pPr>
              <w:jc w:val="right"/>
              <w:rPr>
                <w:rFonts w:ascii="Arial" w:hAnsi="Arial" w:cs="Arial"/>
                <w:sz w:val="20"/>
                <w:szCs w:val="20"/>
              </w:rPr>
            </w:pPr>
            <w:r w:rsidRPr="00A35402">
              <w:rPr>
                <w:rFonts w:ascii="Arial" w:hAnsi="Arial" w:cs="Arial"/>
                <w:sz w:val="20"/>
                <w:szCs w:val="20"/>
              </w:rPr>
              <w:t>89</w:t>
            </w:r>
            <w:r>
              <w:rPr>
                <w:rFonts w:ascii="Arial" w:hAnsi="Arial" w:cs="Arial"/>
                <w:sz w:val="20"/>
                <w:szCs w:val="20"/>
              </w:rPr>
              <w:t> </w:t>
            </w:r>
            <w:r w:rsidRPr="00A35402">
              <w:rPr>
                <w:rFonts w:ascii="Arial" w:hAnsi="Arial" w:cs="Arial"/>
                <w:sz w:val="20"/>
                <w:szCs w:val="20"/>
              </w:rPr>
              <w:t>401,33</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9F2FFB">
            <w:pPr>
              <w:pStyle w:val="Tabelltext"/>
              <w:rPr>
                <w:sz w:val="20"/>
              </w:rPr>
            </w:pPr>
            <w:r>
              <w:rPr>
                <w:sz w:val="20"/>
              </w:rPr>
              <w:t>Sottunga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A35402" w:rsidRDefault="00314E6D" w:rsidP="009F2FFB">
            <w:pPr>
              <w:jc w:val="right"/>
              <w:rPr>
                <w:rFonts w:ascii="Arial" w:hAnsi="Arial" w:cs="Arial"/>
                <w:sz w:val="20"/>
                <w:szCs w:val="20"/>
              </w:rPr>
            </w:pPr>
            <w:r w:rsidRPr="00A35402">
              <w:rPr>
                <w:rFonts w:ascii="Arial" w:hAnsi="Arial" w:cs="Arial"/>
                <w:sz w:val="20"/>
                <w:szCs w:val="20"/>
              </w:rPr>
              <w:t>5</w:t>
            </w:r>
            <w:r>
              <w:rPr>
                <w:rFonts w:ascii="Arial" w:hAnsi="Arial" w:cs="Arial"/>
                <w:sz w:val="20"/>
                <w:szCs w:val="20"/>
              </w:rPr>
              <w:t> </w:t>
            </w:r>
            <w:r w:rsidRPr="00A35402">
              <w:rPr>
                <w:rFonts w:ascii="Arial" w:hAnsi="Arial" w:cs="Arial"/>
                <w:sz w:val="20"/>
                <w:szCs w:val="20"/>
              </w:rPr>
              <w:t>017,68</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9F2FFB">
            <w:pPr>
              <w:pStyle w:val="Tabelltext"/>
              <w:rPr>
                <w:sz w:val="20"/>
              </w:rPr>
            </w:pPr>
            <w:r>
              <w:rPr>
                <w:sz w:val="20"/>
              </w:rPr>
              <w:t>Sund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A35402" w:rsidRDefault="00314E6D" w:rsidP="009F2FFB">
            <w:pPr>
              <w:jc w:val="right"/>
              <w:rPr>
                <w:rFonts w:ascii="Arial" w:hAnsi="Arial" w:cs="Arial"/>
                <w:sz w:val="20"/>
                <w:szCs w:val="20"/>
              </w:rPr>
            </w:pPr>
            <w:r w:rsidRPr="00A35402">
              <w:rPr>
                <w:rFonts w:ascii="Arial" w:hAnsi="Arial" w:cs="Arial"/>
                <w:sz w:val="20"/>
                <w:szCs w:val="20"/>
              </w:rPr>
              <w:t>64</w:t>
            </w:r>
            <w:r>
              <w:rPr>
                <w:rFonts w:ascii="Arial" w:hAnsi="Arial" w:cs="Arial"/>
                <w:sz w:val="20"/>
                <w:szCs w:val="20"/>
              </w:rPr>
              <w:t> </w:t>
            </w:r>
            <w:r w:rsidRPr="00A35402">
              <w:rPr>
                <w:rFonts w:ascii="Arial" w:hAnsi="Arial" w:cs="Arial"/>
                <w:sz w:val="20"/>
                <w:szCs w:val="20"/>
              </w:rPr>
              <w:t>700,19</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9F2FFB">
            <w:pPr>
              <w:pStyle w:val="Tabelltext"/>
              <w:rPr>
                <w:sz w:val="20"/>
              </w:rPr>
            </w:pPr>
            <w:r>
              <w:rPr>
                <w:sz w:val="20"/>
              </w:rPr>
              <w:t>Vårdö</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A35402" w:rsidRDefault="00314E6D" w:rsidP="009F2FFB">
            <w:pPr>
              <w:jc w:val="right"/>
              <w:rPr>
                <w:rFonts w:ascii="Arial" w:hAnsi="Arial" w:cs="Arial"/>
                <w:sz w:val="20"/>
                <w:szCs w:val="20"/>
              </w:rPr>
            </w:pPr>
            <w:r w:rsidRPr="00A35402">
              <w:rPr>
                <w:rFonts w:ascii="Arial" w:hAnsi="Arial" w:cs="Arial"/>
                <w:sz w:val="20"/>
                <w:szCs w:val="20"/>
              </w:rPr>
              <w:t>24</w:t>
            </w:r>
            <w:r>
              <w:rPr>
                <w:rFonts w:ascii="Arial" w:hAnsi="Arial" w:cs="Arial"/>
                <w:sz w:val="20"/>
                <w:szCs w:val="20"/>
              </w:rPr>
              <w:t> </w:t>
            </w:r>
            <w:r w:rsidRPr="00A35402">
              <w:rPr>
                <w:rFonts w:ascii="Arial" w:hAnsi="Arial" w:cs="Arial"/>
                <w:sz w:val="20"/>
                <w:szCs w:val="20"/>
              </w:rPr>
              <w:t>792,76</w:t>
            </w:r>
          </w:p>
        </w:tc>
      </w:tr>
      <w:bookmarkEnd w:id="11"/>
    </w:tbl>
    <w:p w:rsidR="00314E6D" w:rsidRDefault="00314E6D" w:rsidP="00314E6D">
      <w:pPr>
        <w:pStyle w:val="ANormal"/>
      </w:pPr>
    </w:p>
    <w:p w:rsidR="00314E6D" w:rsidRDefault="00314E6D" w:rsidP="00314E6D">
      <w:pPr>
        <w:pStyle w:val="LagParagraf"/>
      </w:pPr>
      <w:r>
        <w:t>2 §</w:t>
      </w:r>
    </w:p>
    <w:p w:rsidR="00314E6D" w:rsidRDefault="00314E6D" w:rsidP="00314E6D">
      <w:pPr>
        <w:pStyle w:val="ANormal"/>
      </w:pPr>
      <w:r>
        <w:tab/>
        <w:t>För att kompensera kommunerna för den förlust av skatteintäkter som orsakas av skatteåtgärder som vidtogs för skatteåret 2019 betalar landskap</w:t>
      </w:r>
      <w:r>
        <w:t>s</w:t>
      </w:r>
      <w:r>
        <w:t>regeringen 200 000 euro i kompensation till kommunerna finansåret 2019. Beloppet fördelas mellan kommunerna enligt följande:</w:t>
      </w:r>
    </w:p>
    <w:p w:rsidR="00314E6D" w:rsidRDefault="00314E6D" w:rsidP="00314E6D">
      <w:pPr>
        <w:pStyle w:val="ANormal"/>
      </w:pPr>
    </w:p>
    <w:tbl>
      <w:tblPr>
        <w:tblStyle w:val="Tabellrutnt"/>
        <w:tblW w:w="0" w:type="auto"/>
        <w:tblInd w:w="1838" w:type="dxa"/>
        <w:tblLook w:val="04A0" w:firstRow="1" w:lastRow="0" w:firstColumn="1" w:lastColumn="0" w:noHBand="0" w:noVBand="1"/>
      </w:tblPr>
      <w:tblGrid>
        <w:gridCol w:w="1701"/>
        <w:gridCol w:w="1701"/>
      </w:tblGrid>
      <w:tr w:rsidR="00314E6D" w:rsidRPr="004D1F12" w:rsidTr="009F2FFB">
        <w:trPr>
          <w:trHeight w:val="425"/>
        </w:trPr>
        <w:tc>
          <w:tcPr>
            <w:tcW w:w="1701" w:type="dxa"/>
            <w:tcBorders>
              <w:bottom w:val="single" w:sz="4" w:space="0" w:color="auto"/>
            </w:tcBorders>
            <w:vAlign w:val="center"/>
          </w:tcPr>
          <w:p w:rsidR="00314E6D" w:rsidRPr="004D1F12" w:rsidRDefault="00314E6D" w:rsidP="00314E6D">
            <w:pPr>
              <w:pStyle w:val="Tabelltext"/>
              <w:jc w:val="center"/>
              <w:rPr>
                <w:b/>
              </w:rPr>
            </w:pPr>
            <w:r w:rsidRPr="004D1F12">
              <w:rPr>
                <w:b/>
              </w:rPr>
              <w:t>Kommun</w:t>
            </w:r>
          </w:p>
        </w:tc>
        <w:tc>
          <w:tcPr>
            <w:tcW w:w="1701" w:type="dxa"/>
            <w:tcBorders>
              <w:bottom w:val="single" w:sz="4" w:space="0" w:color="auto"/>
            </w:tcBorders>
            <w:vAlign w:val="center"/>
          </w:tcPr>
          <w:p w:rsidR="00314E6D" w:rsidRPr="004D1F12" w:rsidRDefault="00314E6D" w:rsidP="00314E6D">
            <w:pPr>
              <w:pStyle w:val="Tabelltext"/>
              <w:jc w:val="center"/>
              <w:rPr>
                <w:b/>
              </w:rPr>
            </w:pPr>
            <w:r>
              <w:rPr>
                <w:b/>
              </w:rPr>
              <w:t>Belopp, euro</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Pr="00314E6D" w:rsidRDefault="00314E6D" w:rsidP="00314E6D">
            <w:pPr>
              <w:pStyle w:val="Tabelltext"/>
              <w:rPr>
                <w:sz w:val="20"/>
              </w:rPr>
            </w:pPr>
            <w:r>
              <w:rPr>
                <w:sz w:val="20"/>
              </w:rPr>
              <w:t>Brändö</w:t>
            </w:r>
          </w:p>
        </w:tc>
        <w:tc>
          <w:tcPr>
            <w:tcW w:w="1701" w:type="dxa"/>
            <w:tcBorders>
              <w:top w:val="single" w:sz="4" w:space="0" w:color="auto"/>
              <w:left w:val="nil"/>
              <w:bottom w:val="single" w:sz="4" w:space="0" w:color="auto"/>
              <w:right w:val="single" w:sz="4" w:space="0" w:color="auto"/>
            </w:tcBorders>
            <w:shd w:val="clear" w:color="auto" w:fill="auto"/>
            <w:vAlign w:val="bottom"/>
          </w:tcPr>
          <w:p w:rsidR="00314E6D" w:rsidRPr="00314E6D" w:rsidRDefault="00314E6D" w:rsidP="00314E6D">
            <w:pPr>
              <w:jc w:val="right"/>
              <w:rPr>
                <w:rFonts w:ascii="Arial" w:hAnsi="Arial" w:cs="Arial"/>
                <w:sz w:val="20"/>
                <w:szCs w:val="20"/>
              </w:rPr>
            </w:pPr>
            <w:r w:rsidRPr="00A35402">
              <w:rPr>
                <w:rFonts w:ascii="Arial" w:hAnsi="Arial" w:cs="Arial"/>
                <w:sz w:val="20"/>
                <w:szCs w:val="20"/>
              </w:rPr>
              <w:t>3</w:t>
            </w:r>
            <w:r>
              <w:rPr>
                <w:rFonts w:ascii="Arial" w:hAnsi="Arial" w:cs="Arial"/>
                <w:sz w:val="20"/>
                <w:szCs w:val="20"/>
              </w:rPr>
              <w:t> </w:t>
            </w:r>
            <w:r w:rsidRPr="00A35402">
              <w:rPr>
                <w:rFonts w:ascii="Arial" w:hAnsi="Arial" w:cs="Arial"/>
                <w:sz w:val="20"/>
                <w:szCs w:val="20"/>
              </w:rPr>
              <w:t>236,60</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314E6D">
            <w:pPr>
              <w:pStyle w:val="Tabelltext"/>
              <w:rPr>
                <w:sz w:val="20"/>
              </w:rPr>
            </w:pPr>
            <w:r>
              <w:rPr>
                <w:sz w:val="20"/>
              </w:rPr>
              <w:t>Eckerö</w:t>
            </w:r>
          </w:p>
        </w:tc>
        <w:tc>
          <w:tcPr>
            <w:tcW w:w="1701" w:type="dxa"/>
            <w:tcBorders>
              <w:top w:val="single" w:sz="4" w:space="0" w:color="auto"/>
              <w:left w:val="nil"/>
              <w:bottom w:val="single" w:sz="4" w:space="0" w:color="auto"/>
              <w:right w:val="single" w:sz="4" w:space="0" w:color="auto"/>
            </w:tcBorders>
            <w:shd w:val="clear" w:color="auto" w:fill="auto"/>
            <w:vAlign w:val="bottom"/>
          </w:tcPr>
          <w:p w:rsidR="00314E6D" w:rsidRPr="00A35402" w:rsidRDefault="00314E6D" w:rsidP="00314E6D">
            <w:pPr>
              <w:jc w:val="right"/>
              <w:rPr>
                <w:rFonts w:ascii="Arial" w:hAnsi="Arial" w:cs="Arial"/>
                <w:sz w:val="20"/>
                <w:szCs w:val="20"/>
              </w:rPr>
            </w:pPr>
            <w:r w:rsidRPr="00A35402">
              <w:rPr>
                <w:rFonts w:ascii="Arial" w:hAnsi="Arial" w:cs="Arial"/>
                <w:sz w:val="20"/>
                <w:szCs w:val="20"/>
              </w:rPr>
              <w:t>10</w:t>
            </w:r>
            <w:r>
              <w:rPr>
                <w:rFonts w:ascii="Arial" w:hAnsi="Arial" w:cs="Arial"/>
                <w:sz w:val="20"/>
                <w:szCs w:val="20"/>
              </w:rPr>
              <w:t> </w:t>
            </w:r>
            <w:r w:rsidRPr="00A35402">
              <w:rPr>
                <w:rFonts w:ascii="Arial" w:hAnsi="Arial" w:cs="Arial"/>
                <w:sz w:val="20"/>
                <w:szCs w:val="20"/>
              </w:rPr>
              <w:t>732,04</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314E6D">
            <w:pPr>
              <w:pStyle w:val="Tabelltext"/>
              <w:rPr>
                <w:sz w:val="20"/>
              </w:rPr>
            </w:pPr>
            <w:r>
              <w:rPr>
                <w:sz w:val="20"/>
              </w:rPr>
              <w:t>Finström</w:t>
            </w:r>
          </w:p>
        </w:tc>
        <w:tc>
          <w:tcPr>
            <w:tcW w:w="1701" w:type="dxa"/>
            <w:tcBorders>
              <w:top w:val="single" w:sz="4" w:space="0" w:color="auto"/>
              <w:left w:val="nil"/>
              <w:bottom w:val="single" w:sz="4" w:space="0" w:color="auto"/>
              <w:right w:val="single" w:sz="4" w:space="0" w:color="auto"/>
            </w:tcBorders>
            <w:shd w:val="clear" w:color="auto" w:fill="auto"/>
            <w:vAlign w:val="bottom"/>
          </w:tcPr>
          <w:p w:rsidR="00314E6D" w:rsidRPr="00A35402" w:rsidRDefault="00314E6D" w:rsidP="00314E6D">
            <w:pPr>
              <w:jc w:val="right"/>
              <w:rPr>
                <w:rFonts w:ascii="Arial" w:hAnsi="Arial" w:cs="Arial"/>
                <w:sz w:val="20"/>
                <w:szCs w:val="20"/>
              </w:rPr>
            </w:pPr>
            <w:r w:rsidRPr="00A35402">
              <w:rPr>
                <w:rFonts w:ascii="Arial" w:hAnsi="Arial" w:cs="Arial"/>
                <w:sz w:val="20"/>
                <w:szCs w:val="20"/>
              </w:rPr>
              <w:t>22</w:t>
            </w:r>
            <w:r>
              <w:rPr>
                <w:rFonts w:ascii="Arial" w:hAnsi="Arial" w:cs="Arial"/>
                <w:sz w:val="20"/>
                <w:szCs w:val="20"/>
              </w:rPr>
              <w:t> </w:t>
            </w:r>
            <w:r w:rsidRPr="00A35402">
              <w:rPr>
                <w:rFonts w:ascii="Arial" w:hAnsi="Arial" w:cs="Arial"/>
                <w:sz w:val="20"/>
                <w:szCs w:val="20"/>
              </w:rPr>
              <w:t>757,33</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314E6D">
            <w:pPr>
              <w:pStyle w:val="Tabelltext"/>
              <w:rPr>
                <w:sz w:val="20"/>
              </w:rPr>
            </w:pPr>
            <w:r>
              <w:rPr>
                <w:sz w:val="20"/>
              </w:rPr>
              <w:t>Föglö</w:t>
            </w:r>
          </w:p>
        </w:tc>
        <w:tc>
          <w:tcPr>
            <w:tcW w:w="1701" w:type="dxa"/>
            <w:tcBorders>
              <w:top w:val="single" w:sz="4" w:space="0" w:color="auto"/>
              <w:left w:val="nil"/>
              <w:bottom w:val="single" w:sz="4" w:space="0" w:color="auto"/>
              <w:right w:val="single" w:sz="4" w:space="0" w:color="auto"/>
            </w:tcBorders>
            <w:shd w:val="clear" w:color="auto" w:fill="auto"/>
            <w:vAlign w:val="bottom"/>
          </w:tcPr>
          <w:p w:rsidR="00314E6D" w:rsidRPr="00A35402" w:rsidRDefault="00314E6D" w:rsidP="00314E6D">
            <w:pPr>
              <w:jc w:val="right"/>
              <w:rPr>
                <w:rFonts w:ascii="Arial" w:hAnsi="Arial" w:cs="Arial"/>
                <w:sz w:val="20"/>
                <w:szCs w:val="20"/>
              </w:rPr>
            </w:pPr>
            <w:r w:rsidRPr="00A35402">
              <w:rPr>
                <w:rFonts w:ascii="Arial" w:hAnsi="Arial" w:cs="Arial"/>
                <w:sz w:val="20"/>
                <w:szCs w:val="20"/>
              </w:rPr>
              <w:t>2</w:t>
            </w:r>
            <w:r>
              <w:rPr>
                <w:rFonts w:ascii="Arial" w:hAnsi="Arial" w:cs="Arial"/>
                <w:sz w:val="20"/>
                <w:szCs w:val="20"/>
              </w:rPr>
              <w:t> </w:t>
            </w:r>
            <w:r w:rsidRPr="00A35402">
              <w:rPr>
                <w:rFonts w:ascii="Arial" w:hAnsi="Arial" w:cs="Arial"/>
                <w:sz w:val="20"/>
                <w:szCs w:val="20"/>
              </w:rPr>
              <w:t>456,83</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314E6D">
            <w:pPr>
              <w:pStyle w:val="Tabelltext"/>
              <w:rPr>
                <w:sz w:val="20"/>
              </w:rPr>
            </w:pPr>
            <w:r>
              <w:rPr>
                <w:sz w:val="20"/>
              </w:rPr>
              <w:t>Geta</w:t>
            </w:r>
          </w:p>
        </w:tc>
        <w:tc>
          <w:tcPr>
            <w:tcW w:w="1701" w:type="dxa"/>
            <w:tcBorders>
              <w:top w:val="single" w:sz="4" w:space="0" w:color="auto"/>
              <w:left w:val="nil"/>
              <w:bottom w:val="single" w:sz="4" w:space="0" w:color="auto"/>
              <w:right w:val="single" w:sz="4" w:space="0" w:color="auto"/>
            </w:tcBorders>
            <w:shd w:val="clear" w:color="auto" w:fill="auto"/>
            <w:vAlign w:val="bottom"/>
          </w:tcPr>
          <w:p w:rsidR="00314E6D" w:rsidRPr="00A35402" w:rsidRDefault="00314E6D" w:rsidP="00314E6D">
            <w:pPr>
              <w:jc w:val="right"/>
              <w:rPr>
                <w:rFonts w:ascii="Arial" w:hAnsi="Arial" w:cs="Arial"/>
                <w:sz w:val="20"/>
                <w:szCs w:val="20"/>
              </w:rPr>
            </w:pPr>
            <w:r w:rsidRPr="00A35402">
              <w:rPr>
                <w:rFonts w:ascii="Arial" w:hAnsi="Arial" w:cs="Arial"/>
                <w:sz w:val="20"/>
                <w:szCs w:val="20"/>
              </w:rPr>
              <w:t>6</w:t>
            </w:r>
            <w:r>
              <w:rPr>
                <w:rFonts w:ascii="Arial" w:hAnsi="Arial" w:cs="Arial"/>
                <w:sz w:val="20"/>
                <w:szCs w:val="20"/>
              </w:rPr>
              <w:t> </w:t>
            </w:r>
            <w:r w:rsidRPr="00A35402">
              <w:rPr>
                <w:rFonts w:ascii="Arial" w:hAnsi="Arial" w:cs="Arial"/>
                <w:sz w:val="20"/>
                <w:szCs w:val="20"/>
              </w:rPr>
              <w:t>032,49</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314E6D">
            <w:pPr>
              <w:pStyle w:val="Tabelltext"/>
              <w:rPr>
                <w:sz w:val="20"/>
              </w:rPr>
            </w:pPr>
            <w:r>
              <w:rPr>
                <w:sz w:val="20"/>
              </w:rPr>
              <w:t>Hammarland</w:t>
            </w:r>
          </w:p>
        </w:tc>
        <w:tc>
          <w:tcPr>
            <w:tcW w:w="1701" w:type="dxa"/>
            <w:tcBorders>
              <w:top w:val="single" w:sz="4" w:space="0" w:color="auto"/>
              <w:left w:val="nil"/>
              <w:bottom w:val="single" w:sz="4" w:space="0" w:color="auto"/>
              <w:right w:val="single" w:sz="4" w:space="0" w:color="auto"/>
            </w:tcBorders>
            <w:shd w:val="clear" w:color="auto" w:fill="auto"/>
            <w:vAlign w:val="bottom"/>
          </w:tcPr>
          <w:p w:rsidR="00314E6D" w:rsidRPr="00A35402" w:rsidRDefault="00314E6D" w:rsidP="00314E6D">
            <w:pPr>
              <w:jc w:val="right"/>
              <w:rPr>
                <w:rFonts w:ascii="Arial" w:hAnsi="Arial" w:cs="Arial"/>
                <w:sz w:val="20"/>
                <w:szCs w:val="20"/>
              </w:rPr>
            </w:pPr>
            <w:r w:rsidRPr="00A35402">
              <w:rPr>
                <w:rFonts w:ascii="Arial" w:hAnsi="Arial" w:cs="Arial"/>
                <w:sz w:val="20"/>
                <w:szCs w:val="20"/>
              </w:rPr>
              <w:t>15</w:t>
            </w:r>
            <w:r>
              <w:rPr>
                <w:rFonts w:ascii="Arial" w:hAnsi="Arial" w:cs="Arial"/>
                <w:sz w:val="20"/>
                <w:szCs w:val="20"/>
              </w:rPr>
              <w:t> </w:t>
            </w:r>
            <w:r w:rsidRPr="00A35402">
              <w:rPr>
                <w:rFonts w:ascii="Arial" w:hAnsi="Arial" w:cs="Arial"/>
                <w:sz w:val="20"/>
                <w:szCs w:val="20"/>
              </w:rPr>
              <w:t>963,65</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314E6D">
            <w:pPr>
              <w:pStyle w:val="Tabelltext"/>
              <w:rPr>
                <w:sz w:val="20"/>
              </w:rPr>
            </w:pPr>
            <w:r>
              <w:rPr>
                <w:sz w:val="20"/>
              </w:rPr>
              <w:t>Jomala</w:t>
            </w:r>
          </w:p>
        </w:tc>
        <w:tc>
          <w:tcPr>
            <w:tcW w:w="1701" w:type="dxa"/>
            <w:tcBorders>
              <w:top w:val="single" w:sz="4" w:space="0" w:color="auto"/>
              <w:left w:val="nil"/>
              <w:bottom w:val="single" w:sz="4" w:space="0" w:color="auto"/>
              <w:right w:val="single" w:sz="4" w:space="0" w:color="auto"/>
            </w:tcBorders>
            <w:shd w:val="clear" w:color="auto" w:fill="auto"/>
            <w:vAlign w:val="bottom"/>
          </w:tcPr>
          <w:p w:rsidR="00314E6D" w:rsidRPr="00A35402" w:rsidRDefault="00314E6D" w:rsidP="00314E6D">
            <w:pPr>
              <w:jc w:val="right"/>
              <w:rPr>
                <w:rFonts w:ascii="Arial" w:hAnsi="Arial" w:cs="Arial"/>
                <w:sz w:val="20"/>
                <w:szCs w:val="20"/>
              </w:rPr>
            </w:pPr>
            <w:r w:rsidRPr="00A35402">
              <w:rPr>
                <w:rFonts w:ascii="Arial" w:hAnsi="Arial" w:cs="Arial"/>
                <w:sz w:val="20"/>
                <w:szCs w:val="20"/>
              </w:rPr>
              <w:t>30</w:t>
            </w:r>
            <w:r>
              <w:rPr>
                <w:rFonts w:ascii="Arial" w:hAnsi="Arial" w:cs="Arial"/>
                <w:sz w:val="20"/>
                <w:szCs w:val="20"/>
              </w:rPr>
              <w:t> </w:t>
            </w:r>
            <w:r w:rsidRPr="00A35402">
              <w:rPr>
                <w:rFonts w:ascii="Arial" w:hAnsi="Arial" w:cs="Arial"/>
                <w:sz w:val="20"/>
                <w:szCs w:val="20"/>
              </w:rPr>
              <w:t>687,83</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314E6D">
            <w:pPr>
              <w:pStyle w:val="Tabelltext"/>
              <w:rPr>
                <w:sz w:val="20"/>
              </w:rPr>
            </w:pPr>
            <w:r>
              <w:rPr>
                <w:sz w:val="20"/>
              </w:rPr>
              <w:t>Kumlinge</w:t>
            </w:r>
          </w:p>
        </w:tc>
        <w:tc>
          <w:tcPr>
            <w:tcW w:w="1701" w:type="dxa"/>
            <w:tcBorders>
              <w:top w:val="single" w:sz="4" w:space="0" w:color="auto"/>
              <w:left w:val="nil"/>
              <w:bottom w:val="single" w:sz="4" w:space="0" w:color="auto"/>
              <w:right w:val="single" w:sz="4" w:space="0" w:color="auto"/>
            </w:tcBorders>
            <w:shd w:val="clear" w:color="auto" w:fill="auto"/>
            <w:vAlign w:val="bottom"/>
          </w:tcPr>
          <w:p w:rsidR="00314E6D" w:rsidRPr="00A35402" w:rsidRDefault="00314E6D" w:rsidP="00314E6D">
            <w:pPr>
              <w:jc w:val="right"/>
              <w:rPr>
                <w:rFonts w:ascii="Arial" w:hAnsi="Arial" w:cs="Arial"/>
                <w:sz w:val="20"/>
                <w:szCs w:val="20"/>
              </w:rPr>
            </w:pPr>
            <w:r w:rsidRPr="00A35402">
              <w:rPr>
                <w:rFonts w:ascii="Arial" w:hAnsi="Arial" w:cs="Arial"/>
                <w:sz w:val="20"/>
                <w:szCs w:val="20"/>
              </w:rPr>
              <w:t>3</w:t>
            </w:r>
            <w:r>
              <w:rPr>
                <w:rFonts w:ascii="Arial" w:hAnsi="Arial" w:cs="Arial"/>
                <w:sz w:val="20"/>
                <w:szCs w:val="20"/>
              </w:rPr>
              <w:t> </w:t>
            </w:r>
            <w:r w:rsidRPr="00A35402">
              <w:rPr>
                <w:rFonts w:ascii="Arial" w:hAnsi="Arial" w:cs="Arial"/>
                <w:sz w:val="20"/>
                <w:szCs w:val="20"/>
              </w:rPr>
              <w:t>388,05</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314E6D">
            <w:pPr>
              <w:pStyle w:val="Tabelltext"/>
              <w:rPr>
                <w:sz w:val="20"/>
              </w:rPr>
            </w:pPr>
            <w:r>
              <w:rPr>
                <w:sz w:val="20"/>
              </w:rPr>
              <w:t>Kökar</w:t>
            </w:r>
          </w:p>
        </w:tc>
        <w:tc>
          <w:tcPr>
            <w:tcW w:w="1701" w:type="dxa"/>
            <w:tcBorders>
              <w:top w:val="single" w:sz="4" w:space="0" w:color="auto"/>
              <w:left w:val="nil"/>
              <w:bottom w:val="single" w:sz="4" w:space="0" w:color="auto"/>
              <w:right w:val="single" w:sz="4" w:space="0" w:color="auto"/>
            </w:tcBorders>
            <w:shd w:val="clear" w:color="auto" w:fill="auto"/>
            <w:vAlign w:val="bottom"/>
          </w:tcPr>
          <w:p w:rsidR="00314E6D" w:rsidRPr="00A35402" w:rsidRDefault="00314E6D" w:rsidP="00314E6D">
            <w:pPr>
              <w:jc w:val="right"/>
              <w:rPr>
                <w:rFonts w:ascii="Arial" w:hAnsi="Arial" w:cs="Arial"/>
                <w:sz w:val="20"/>
                <w:szCs w:val="20"/>
              </w:rPr>
            </w:pPr>
            <w:r w:rsidRPr="00A35402">
              <w:rPr>
                <w:rFonts w:ascii="Arial" w:hAnsi="Arial" w:cs="Arial"/>
                <w:sz w:val="20"/>
                <w:szCs w:val="20"/>
              </w:rPr>
              <w:t>2</w:t>
            </w:r>
            <w:r>
              <w:rPr>
                <w:rFonts w:ascii="Arial" w:hAnsi="Arial" w:cs="Arial"/>
                <w:sz w:val="20"/>
                <w:szCs w:val="20"/>
              </w:rPr>
              <w:t> </w:t>
            </w:r>
            <w:r w:rsidRPr="00A35402">
              <w:rPr>
                <w:rFonts w:ascii="Arial" w:hAnsi="Arial" w:cs="Arial"/>
                <w:sz w:val="20"/>
                <w:szCs w:val="20"/>
              </w:rPr>
              <w:t>411,11</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314E6D">
            <w:pPr>
              <w:pStyle w:val="Tabelltext"/>
              <w:rPr>
                <w:sz w:val="20"/>
              </w:rPr>
            </w:pPr>
            <w:r>
              <w:rPr>
                <w:sz w:val="20"/>
              </w:rPr>
              <w:t>Lemland</w:t>
            </w:r>
          </w:p>
        </w:tc>
        <w:tc>
          <w:tcPr>
            <w:tcW w:w="1701" w:type="dxa"/>
            <w:tcBorders>
              <w:top w:val="single" w:sz="4" w:space="0" w:color="auto"/>
              <w:left w:val="nil"/>
              <w:bottom w:val="single" w:sz="4" w:space="0" w:color="auto"/>
              <w:right w:val="single" w:sz="4" w:space="0" w:color="auto"/>
            </w:tcBorders>
            <w:shd w:val="clear" w:color="auto" w:fill="auto"/>
            <w:vAlign w:val="bottom"/>
          </w:tcPr>
          <w:p w:rsidR="00314E6D" w:rsidRPr="00A35402" w:rsidRDefault="00314E6D" w:rsidP="00314E6D">
            <w:pPr>
              <w:jc w:val="right"/>
              <w:rPr>
                <w:rFonts w:ascii="Arial" w:hAnsi="Arial" w:cs="Arial"/>
                <w:sz w:val="20"/>
                <w:szCs w:val="20"/>
              </w:rPr>
            </w:pPr>
            <w:r w:rsidRPr="00A35402">
              <w:rPr>
                <w:rFonts w:ascii="Arial" w:hAnsi="Arial" w:cs="Arial"/>
                <w:sz w:val="20"/>
                <w:szCs w:val="20"/>
              </w:rPr>
              <w:t>19</w:t>
            </w:r>
            <w:r>
              <w:rPr>
                <w:rFonts w:ascii="Arial" w:hAnsi="Arial" w:cs="Arial"/>
                <w:sz w:val="20"/>
                <w:szCs w:val="20"/>
              </w:rPr>
              <w:t> </w:t>
            </w:r>
            <w:r w:rsidRPr="00A35402">
              <w:rPr>
                <w:rFonts w:ascii="Arial" w:hAnsi="Arial" w:cs="Arial"/>
                <w:sz w:val="20"/>
                <w:szCs w:val="20"/>
              </w:rPr>
              <w:t>183,95</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314E6D">
            <w:pPr>
              <w:pStyle w:val="Tabelltext"/>
              <w:rPr>
                <w:sz w:val="20"/>
              </w:rPr>
            </w:pPr>
            <w:r>
              <w:rPr>
                <w:sz w:val="20"/>
              </w:rPr>
              <w:t>Lumparland</w:t>
            </w:r>
          </w:p>
        </w:tc>
        <w:tc>
          <w:tcPr>
            <w:tcW w:w="1701" w:type="dxa"/>
            <w:tcBorders>
              <w:top w:val="single" w:sz="4" w:space="0" w:color="auto"/>
              <w:left w:val="nil"/>
              <w:bottom w:val="single" w:sz="4" w:space="0" w:color="auto"/>
              <w:right w:val="single" w:sz="4" w:space="0" w:color="auto"/>
            </w:tcBorders>
            <w:shd w:val="clear" w:color="auto" w:fill="auto"/>
            <w:vAlign w:val="bottom"/>
          </w:tcPr>
          <w:p w:rsidR="00314E6D" w:rsidRPr="00A35402" w:rsidRDefault="00314E6D" w:rsidP="00314E6D">
            <w:pPr>
              <w:jc w:val="right"/>
              <w:rPr>
                <w:rFonts w:ascii="Arial" w:hAnsi="Arial" w:cs="Arial"/>
                <w:sz w:val="20"/>
                <w:szCs w:val="20"/>
              </w:rPr>
            </w:pPr>
            <w:r w:rsidRPr="00A35402">
              <w:rPr>
                <w:rFonts w:ascii="Arial" w:hAnsi="Arial" w:cs="Arial"/>
                <w:sz w:val="20"/>
                <w:szCs w:val="20"/>
              </w:rPr>
              <w:t>3</w:t>
            </w:r>
            <w:r>
              <w:rPr>
                <w:rFonts w:ascii="Arial" w:hAnsi="Arial" w:cs="Arial"/>
                <w:sz w:val="20"/>
                <w:szCs w:val="20"/>
              </w:rPr>
              <w:t> </w:t>
            </w:r>
            <w:r w:rsidRPr="00A35402">
              <w:rPr>
                <w:rFonts w:ascii="Arial" w:hAnsi="Arial" w:cs="Arial"/>
                <w:sz w:val="20"/>
                <w:szCs w:val="20"/>
              </w:rPr>
              <w:t>677,92</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314E6D">
            <w:pPr>
              <w:pStyle w:val="Tabelltext"/>
              <w:rPr>
                <w:sz w:val="20"/>
              </w:rPr>
            </w:pPr>
            <w:r>
              <w:rPr>
                <w:sz w:val="20"/>
              </w:rPr>
              <w:t>Mariehamn</w:t>
            </w:r>
          </w:p>
        </w:tc>
        <w:tc>
          <w:tcPr>
            <w:tcW w:w="1701" w:type="dxa"/>
            <w:tcBorders>
              <w:top w:val="single" w:sz="4" w:space="0" w:color="auto"/>
              <w:left w:val="nil"/>
              <w:bottom w:val="single" w:sz="4" w:space="0" w:color="auto"/>
              <w:right w:val="single" w:sz="4" w:space="0" w:color="auto"/>
            </w:tcBorders>
            <w:shd w:val="clear" w:color="auto" w:fill="auto"/>
            <w:vAlign w:val="bottom"/>
          </w:tcPr>
          <w:p w:rsidR="00314E6D" w:rsidRPr="00A35402" w:rsidRDefault="00314E6D" w:rsidP="00314E6D">
            <w:pPr>
              <w:jc w:val="right"/>
              <w:rPr>
                <w:rFonts w:ascii="Arial" w:hAnsi="Arial" w:cs="Arial"/>
                <w:sz w:val="20"/>
                <w:szCs w:val="20"/>
              </w:rPr>
            </w:pPr>
            <w:r w:rsidRPr="00A35402">
              <w:rPr>
                <w:rFonts w:ascii="Arial" w:hAnsi="Arial" w:cs="Arial"/>
                <w:sz w:val="20"/>
                <w:szCs w:val="20"/>
              </w:rPr>
              <w:t>55</w:t>
            </w:r>
            <w:r>
              <w:rPr>
                <w:rFonts w:ascii="Arial" w:hAnsi="Arial" w:cs="Arial"/>
                <w:sz w:val="20"/>
                <w:szCs w:val="20"/>
              </w:rPr>
              <w:t> </w:t>
            </w:r>
            <w:r w:rsidRPr="00A35402">
              <w:rPr>
                <w:rFonts w:ascii="Arial" w:hAnsi="Arial" w:cs="Arial"/>
                <w:sz w:val="20"/>
                <w:szCs w:val="20"/>
              </w:rPr>
              <w:t>149,4</w:t>
            </w:r>
            <w:r>
              <w:rPr>
                <w:rFonts w:ascii="Arial" w:hAnsi="Arial" w:cs="Arial"/>
                <w:sz w:val="20"/>
                <w:szCs w:val="20"/>
              </w:rPr>
              <w:t>6</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314E6D">
            <w:pPr>
              <w:pStyle w:val="Tabelltext"/>
              <w:rPr>
                <w:sz w:val="20"/>
              </w:rPr>
            </w:pPr>
            <w:r>
              <w:rPr>
                <w:sz w:val="20"/>
              </w:rPr>
              <w:t>Saltvik</w:t>
            </w:r>
          </w:p>
        </w:tc>
        <w:tc>
          <w:tcPr>
            <w:tcW w:w="1701" w:type="dxa"/>
            <w:tcBorders>
              <w:top w:val="single" w:sz="4" w:space="0" w:color="auto"/>
              <w:left w:val="nil"/>
              <w:bottom w:val="single" w:sz="4" w:space="0" w:color="auto"/>
              <w:right w:val="single" w:sz="4" w:space="0" w:color="auto"/>
            </w:tcBorders>
            <w:shd w:val="clear" w:color="auto" w:fill="auto"/>
            <w:vAlign w:val="bottom"/>
          </w:tcPr>
          <w:p w:rsidR="00314E6D" w:rsidRPr="00A35402" w:rsidRDefault="00314E6D" w:rsidP="00314E6D">
            <w:pPr>
              <w:jc w:val="right"/>
              <w:rPr>
                <w:rFonts w:ascii="Arial" w:hAnsi="Arial" w:cs="Arial"/>
                <w:sz w:val="20"/>
                <w:szCs w:val="20"/>
              </w:rPr>
            </w:pPr>
            <w:r w:rsidRPr="00A35402">
              <w:rPr>
                <w:rFonts w:ascii="Arial" w:hAnsi="Arial" w:cs="Arial"/>
                <w:sz w:val="20"/>
                <w:szCs w:val="20"/>
              </w:rPr>
              <w:t>7</w:t>
            </w:r>
            <w:r>
              <w:rPr>
                <w:rFonts w:ascii="Arial" w:hAnsi="Arial" w:cs="Arial"/>
                <w:sz w:val="20"/>
                <w:szCs w:val="20"/>
              </w:rPr>
              <w:t> </w:t>
            </w:r>
            <w:r w:rsidRPr="00A35402">
              <w:rPr>
                <w:rFonts w:ascii="Arial" w:hAnsi="Arial" w:cs="Arial"/>
                <w:sz w:val="20"/>
                <w:szCs w:val="20"/>
              </w:rPr>
              <w:t>039,14</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314E6D">
            <w:pPr>
              <w:pStyle w:val="Tabelltext"/>
              <w:rPr>
                <w:sz w:val="20"/>
              </w:rPr>
            </w:pPr>
            <w:r>
              <w:rPr>
                <w:sz w:val="20"/>
              </w:rPr>
              <w:t>Sottunga</w:t>
            </w:r>
          </w:p>
        </w:tc>
        <w:tc>
          <w:tcPr>
            <w:tcW w:w="1701" w:type="dxa"/>
            <w:tcBorders>
              <w:top w:val="single" w:sz="4" w:space="0" w:color="auto"/>
              <w:left w:val="nil"/>
              <w:bottom w:val="single" w:sz="4" w:space="0" w:color="auto"/>
              <w:right w:val="single" w:sz="4" w:space="0" w:color="auto"/>
            </w:tcBorders>
            <w:shd w:val="clear" w:color="auto" w:fill="auto"/>
            <w:vAlign w:val="bottom"/>
          </w:tcPr>
          <w:p w:rsidR="00314E6D" w:rsidRPr="00A35402" w:rsidRDefault="00314E6D" w:rsidP="00314E6D">
            <w:pPr>
              <w:jc w:val="right"/>
              <w:rPr>
                <w:rFonts w:ascii="Arial" w:hAnsi="Arial" w:cs="Arial"/>
                <w:sz w:val="20"/>
                <w:szCs w:val="20"/>
              </w:rPr>
            </w:pPr>
            <w:r w:rsidRPr="00A35402">
              <w:rPr>
                <w:rFonts w:ascii="Arial" w:hAnsi="Arial" w:cs="Arial"/>
                <w:sz w:val="20"/>
                <w:szCs w:val="20"/>
              </w:rPr>
              <w:t>775,60</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314E6D">
            <w:pPr>
              <w:pStyle w:val="Tabelltext"/>
              <w:rPr>
                <w:sz w:val="20"/>
              </w:rPr>
            </w:pPr>
            <w:r>
              <w:rPr>
                <w:sz w:val="20"/>
              </w:rPr>
              <w:t>Sund</w:t>
            </w:r>
          </w:p>
        </w:tc>
        <w:tc>
          <w:tcPr>
            <w:tcW w:w="1701" w:type="dxa"/>
            <w:tcBorders>
              <w:top w:val="single" w:sz="4" w:space="0" w:color="auto"/>
              <w:left w:val="nil"/>
              <w:bottom w:val="single" w:sz="4" w:space="0" w:color="auto"/>
              <w:right w:val="single" w:sz="4" w:space="0" w:color="auto"/>
            </w:tcBorders>
            <w:shd w:val="clear" w:color="auto" w:fill="auto"/>
            <w:vAlign w:val="bottom"/>
          </w:tcPr>
          <w:p w:rsidR="00314E6D" w:rsidRPr="00A35402" w:rsidRDefault="00314E6D" w:rsidP="00314E6D">
            <w:pPr>
              <w:jc w:val="right"/>
              <w:rPr>
                <w:rFonts w:ascii="Arial" w:hAnsi="Arial" w:cs="Arial"/>
                <w:sz w:val="20"/>
                <w:szCs w:val="20"/>
              </w:rPr>
            </w:pPr>
            <w:r w:rsidRPr="00A35402">
              <w:rPr>
                <w:rFonts w:ascii="Arial" w:hAnsi="Arial" w:cs="Arial"/>
                <w:sz w:val="20"/>
                <w:szCs w:val="20"/>
              </w:rPr>
              <w:t>11</w:t>
            </w:r>
            <w:r>
              <w:rPr>
                <w:rFonts w:ascii="Arial" w:hAnsi="Arial" w:cs="Arial"/>
                <w:sz w:val="20"/>
                <w:szCs w:val="20"/>
              </w:rPr>
              <w:t> </w:t>
            </w:r>
            <w:r w:rsidRPr="00A35402">
              <w:rPr>
                <w:rFonts w:ascii="Arial" w:hAnsi="Arial" w:cs="Arial"/>
                <w:sz w:val="20"/>
                <w:szCs w:val="20"/>
              </w:rPr>
              <w:t>670,29</w:t>
            </w:r>
          </w:p>
        </w:tc>
      </w:tr>
      <w:tr w:rsidR="00314E6D" w:rsidTr="009F2FFB">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4E6D" w:rsidRDefault="00314E6D" w:rsidP="00314E6D">
            <w:pPr>
              <w:pStyle w:val="Tabelltext"/>
              <w:rPr>
                <w:sz w:val="20"/>
              </w:rPr>
            </w:pPr>
            <w:r>
              <w:rPr>
                <w:sz w:val="20"/>
              </w:rPr>
              <w:t>Vårdö</w:t>
            </w:r>
          </w:p>
        </w:tc>
        <w:tc>
          <w:tcPr>
            <w:tcW w:w="1701" w:type="dxa"/>
            <w:tcBorders>
              <w:top w:val="single" w:sz="4" w:space="0" w:color="auto"/>
              <w:left w:val="nil"/>
              <w:bottom w:val="single" w:sz="4" w:space="0" w:color="auto"/>
              <w:right w:val="single" w:sz="4" w:space="0" w:color="auto"/>
            </w:tcBorders>
            <w:shd w:val="clear" w:color="auto" w:fill="auto"/>
            <w:vAlign w:val="bottom"/>
          </w:tcPr>
          <w:p w:rsidR="00314E6D" w:rsidRPr="00A35402" w:rsidRDefault="00314E6D" w:rsidP="00314E6D">
            <w:pPr>
              <w:jc w:val="right"/>
              <w:rPr>
                <w:rFonts w:ascii="Arial" w:hAnsi="Arial" w:cs="Arial"/>
                <w:sz w:val="20"/>
                <w:szCs w:val="20"/>
              </w:rPr>
            </w:pPr>
            <w:r w:rsidRPr="00A35402">
              <w:rPr>
                <w:rFonts w:ascii="Arial" w:hAnsi="Arial" w:cs="Arial"/>
                <w:sz w:val="20"/>
                <w:szCs w:val="20"/>
              </w:rPr>
              <w:t>4</w:t>
            </w:r>
            <w:r>
              <w:rPr>
                <w:rFonts w:ascii="Arial" w:hAnsi="Arial" w:cs="Arial"/>
                <w:sz w:val="20"/>
                <w:szCs w:val="20"/>
              </w:rPr>
              <w:t> </w:t>
            </w:r>
            <w:r w:rsidRPr="00A35402">
              <w:rPr>
                <w:rFonts w:ascii="Arial" w:hAnsi="Arial" w:cs="Arial"/>
                <w:sz w:val="20"/>
                <w:szCs w:val="20"/>
              </w:rPr>
              <w:t>837,71</w:t>
            </w:r>
          </w:p>
        </w:tc>
      </w:tr>
    </w:tbl>
    <w:p w:rsidR="00314E6D" w:rsidRPr="002C5063" w:rsidRDefault="00314E6D" w:rsidP="00314E6D">
      <w:pPr>
        <w:pStyle w:val="ANormal"/>
      </w:pPr>
    </w:p>
    <w:p w:rsidR="00314E6D" w:rsidRDefault="00314E6D" w:rsidP="00314E6D">
      <w:pPr>
        <w:pStyle w:val="LagParagraf"/>
      </w:pPr>
      <w:r>
        <w:t>3 §</w:t>
      </w:r>
    </w:p>
    <w:p w:rsidR="00314E6D" w:rsidRDefault="00314E6D" w:rsidP="00314E6D">
      <w:pPr>
        <w:pStyle w:val="ANormal"/>
      </w:pPr>
      <w:r>
        <w:tab/>
        <w:t>Denna lag träder i kraft den ...  och tillämpas för finansåret 2019.</w:t>
      </w:r>
    </w:p>
    <w:p w:rsidR="00314E6D" w:rsidRDefault="00314E6D">
      <w:pPr>
        <w:pStyle w:val="ANormal"/>
      </w:pPr>
    </w:p>
    <w:p w:rsidR="00314E6D" w:rsidRDefault="00314E6D">
      <w:pPr>
        <w:pStyle w:val="ANormal"/>
      </w:pPr>
    </w:p>
    <w:p w:rsidR="00AF3004" w:rsidRDefault="009E3278">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t xml:space="preserve">Mariehamn </w:t>
            </w:r>
            <w:r w:rsidR="00D86EB3">
              <w:t>den 4 april 2019</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D86EB3">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314E6D">
              <w:t>minister</w:t>
            </w:r>
          </w:p>
        </w:tc>
        <w:tc>
          <w:tcPr>
            <w:tcW w:w="3477" w:type="dxa"/>
            <w:vAlign w:val="bottom"/>
          </w:tcPr>
          <w:p w:rsidR="00AF3004" w:rsidRDefault="00AF3004">
            <w:pPr>
              <w:pStyle w:val="ANormal"/>
              <w:keepNext/>
            </w:pPr>
          </w:p>
          <w:p w:rsidR="00AF3004" w:rsidRDefault="00AF3004">
            <w:pPr>
              <w:pStyle w:val="ANormal"/>
              <w:keepNext/>
            </w:pPr>
          </w:p>
          <w:p w:rsidR="00AF3004" w:rsidRDefault="00D86EB3">
            <w:pPr>
              <w:pStyle w:val="ANormal"/>
              <w:keepNext/>
            </w:pPr>
            <w:r>
              <w:t>Mats Perämaa</w:t>
            </w:r>
          </w:p>
        </w:tc>
      </w:tr>
    </w:tbl>
    <w:p w:rsidR="00AF3004" w:rsidRDefault="00AF3004">
      <w:pPr>
        <w:pStyle w:val="ANormal"/>
      </w:pPr>
    </w:p>
    <w:sectPr w:rsidR="00AF300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E6D" w:rsidRDefault="00314E6D">
      <w:r>
        <w:separator/>
      </w:r>
    </w:p>
  </w:endnote>
  <w:endnote w:type="continuationSeparator" w:id="0">
    <w:p w:rsidR="00314E6D" w:rsidRDefault="0031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Pr="00314E6D" w:rsidRDefault="00314E6D">
    <w:pPr>
      <w:pStyle w:val="Sidfot"/>
      <w:rPr>
        <w:lang w:val="sv-FI"/>
      </w:rPr>
    </w:pPr>
    <w:r>
      <w:rPr>
        <w:lang w:val="sv-FI"/>
      </w:rPr>
      <w:t>LF</w:t>
    </w:r>
    <w:r w:rsidR="00D86EB3">
      <w:rPr>
        <w:lang w:val="sv-FI"/>
      </w:rPr>
      <w:t>16</w:t>
    </w:r>
    <w:r>
      <w:rPr>
        <w:lang w:val="sv-FI"/>
      </w:rPr>
      <w:t>20182019.docx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E6D" w:rsidRDefault="00314E6D">
      <w:r>
        <w:separator/>
      </w:r>
    </w:p>
  </w:footnote>
  <w:footnote w:type="continuationSeparator" w:id="0">
    <w:p w:rsidR="00314E6D" w:rsidRDefault="00314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E3278">
      <w:rPr>
        <w:rStyle w:val="Sidnummer"/>
        <w:noProof/>
      </w:rPr>
      <w:t>2</w:t>
    </w:r>
    <w:r>
      <w:rPr>
        <w:rStyle w:val="Sidnummer"/>
      </w:rPr>
      <w:fldChar w:fldCharType="end"/>
    </w:r>
  </w:p>
  <w:p w:rsidR="00AF3004" w:rsidRDefault="00AF300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9E3278">
      <w:rPr>
        <w:rStyle w:val="Sidnummer"/>
        <w:noProof/>
      </w:rPr>
      <w:t>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6D"/>
    <w:rsid w:val="00186A55"/>
    <w:rsid w:val="00202894"/>
    <w:rsid w:val="00314E6D"/>
    <w:rsid w:val="00342FC4"/>
    <w:rsid w:val="00464E03"/>
    <w:rsid w:val="004A6BA1"/>
    <w:rsid w:val="00597A64"/>
    <w:rsid w:val="005F1DF9"/>
    <w:rsid w:val="006B633C"/>
    <w:rsid w:val="00722128"/>
    <w:rsid w:val="008450DA"/>
    <w:rsid w:val="009E3278"/>
    <w:rsid w:val="00A32351"/>
    <w:rsid w:val="00AF3004"/>
    <w:rsid w:val="00CC58EA"/>
    <w:rsid w:val="00D86EB3"/>
    <w:rsid w:val="00DD5E39"/>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6D"/>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59"/>
    <w:rsid w:val="00314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97A6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97A64"/>
    <w:rPr>
      <w:rFonts w:ascii="Segoe UI" w:hAnsi="Segoe UI" w:cs="Segoe UI"/>
      <w:sz w:val="18"/>
      <w:szCs w:val="18"/>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6D"/>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59"/>
    <w:rsid w:val="00314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97A6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97A64"/>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0</TotalTime>
  <Pages>6</Pages>
  <Words>1075</Words>
  <Characters>7008</Characters>
  <Application>Microsoft Office Word</Application>
  <DocSecurity>0</DocSecurity>
  <Lines>58</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8067</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lastModifiedBy>Jessica Laaksonen</cp:lastModifiedBy>
  <cp:revision>2</cp:revision>
  <cp:lastPrinted>2001-02-13T09:44:00Z</cp:lastPrinted>
  <dcterms:created xsi:type="dcterms:W3CDTF">2019-04-04T11:54:00Z</dcterms:created>
  <dcterms:modified xsi:type="dcterms:W3CDTF">2019-04-04T11:54:00Z</dcterms:modified>
</cp:coreProperties>
</file>