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501DAA">
        <w:trPr>
          <w:cantSplit/>
          <w:trHeight w:val="20"/>
        </w:trPr>
        <w:tc>
          <w:tcPr>
            <w:tcW w:w="861" w:type="dxa"/>
            <w:vMerge w:val="restart"/>
          </w:tcPr>
          <w:p w:rsidR="00AF3004" w:rsidRPr="00501DAA" w:rsidRDefault="006D1D7A">
            <w:pPr>
              <w:pStyle w:val="xLedtext"/>
              <w:keepNext/>
              <w:rPr>
                <w:noProof/>
              </w:rPr>
            </w:pPr>
            <w:r w:rsidRPr="00501DAA">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Pr="00501DAA" w:rsidRDefault="006D1D7A">
            <w:pPr>
              <w:pStyle w:val="xMellanrum"/>
            </w:pPr>
            <w:r w:rsidRPr="00501DAA">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rsidRPr="00501DAA">
        <w:trPr>
          <w:cantSplit/>
          <w:trHeight w:val="299"/>
        </w:trPr>
        <w:tc>
          <w:tcPr>
            <w:tcW w:w="861" w:type="dxa"/>
            <w:vMerge/>
          </w:tcPr>
          <w:p w:rsidR="00AF3004" w:rsidRPr="00501DAA" w:rsidRDefault="00AF3004">
            <w:pPr>
              <w:pStyle w:val="xLedtext"/>
            </w:pPr>
          </w:p>
        </w:tc>
        <w:tc>
          <w:tcPr>
            <w:tcW w:w="4448" w:type="dxa"/>
            <w:vAlign w:val="bottom"/>
          </w:tcPr>
          <w:p w:rsidR="00AF3004" w:rsidRPr="00501DAA" w:rsidRDefault="00AF3004">
            <w:pPr>
              <w:pStyle w:val="xAvsandare1"/>
            </w:pPr>
          </w:p>
        </w:tc>
        <w:tc>
          <w:tcPr>
            <w:tcW w:w="4288" w:type="dxa"/>
            <w:gridSpan w:val="2"/>
            <w:vAlign w:val="bottom"/>
          </w:tcPr>
          <w:p w:rsidR="00AF3004" w:rsidRPr="00501DAA" w:rsidRDefault="006D1D7A">
            <w:pPr>
              <w:pStyle w:val="xDokTypNr"/>
            </w:pPr>
            <w:r w:rsidRPr="00501DAA">
              <w:t>LAGFÖRSLA</w:t>
            </w:r>
            <w:r w:rsidR="00AF3004" w:rsidRPr="00501DAA">
              <w:t xml:space="preserve">G nr </w:t>
            </w:r>
            <w:r w:rsidR="00B10FEF">
              <w:t>10</w:t>
            </w:r>
            <w:r w:rsidR="00AF3004" w:rsidRPr="00501DAA">
              <w:t>/20</w:t>
            </w:r>
            <w:r w:rsidRPr="00501DAA">
              <w:t>18</w:t>
            </w:r>
            <w:r w:rsidR="00AF3004" w:rsidRPr="00501DAA">
              <w:t>-20</w:t>
            </w:r>
            <w:r w:rsidRPr="00501DAA">
              <w:t>19</w:t>
            </w:r>
          </w:p>
        </w:tc>
      </w:tr>
      <w:tr w:rsidR="00AF3004" w:rsidRPr="00501DAA">
        <w:trPr>
          <w:cantSplit/>
          <w:trHeight w:val="238"/>
        </w:trPr>
        <w:tc>
          <w:tcPr>
            <w:tcW w:w="861" w:type="dxa"/>
            <w:vMerge/>
          </w:tcPr>
          <w:p w:rsidR="00AF3004" w:rsidRPr="00501DAA" w:rsidRDefault="00AF3004">
            <w:pPr>
              <w:pStyle w:val="xLedtext"/>
            </w:pPr>
          </w:p>
        </w:tc>
        <w:tc>
          <w:tcPr>
            <w:tcW w:w="4448" w:type="dxa"/>
            <w:vAlign w:val="bottom"/>
          </w:tcPr>
          <w:p w:rsidR="00AF3004" w:rsidRPr="00501DAA" w:rsidRDefault="00AF3004">
            <w:pPr>
              <w:pStyle w:val="xLedtext"/>
            </w:pPr>
          </w:p>
        </w:tc>
        <w:tc>
          <w:tcPr>
            <w:tcW w:w="1725" w:type="dxa"/>
            <w:vAlign w:val="bottom"/>
          </w:tcPr>
          <w:p w:rsidR="00AF3004" w:rsidRPr="00501DAA" w:rsidRDefault="00AF3004">
            <w:pPr>
              <w:pStyle w:val="xLedtext"/>
            </w:pPr>
            <w:r w:rsidRPr="00501DAA">
              <w:t>Datum</w:t>
            </w:r>
          </w:p>
        </w:tc>
        <w:tc>
          <w:tcPr>
            <w:tcW w:w="2563" w:type="dxa"/>
            <w:vAlign w:val="bottom"/>
          </w:tcPr>
          <w:p w:rsidR="00AF3004" w:rsidRPr="00501DAA" w:rsidRDefault="00AF3004">
            <w:pPr>
              <w:pStyle w:val="xLedtext"/>
            </w:pPr>
          </w:p>
        </w:tc>
      </w:tr>
      <w:tr w:rsidR="00AF3004" w:rsidRPr="00501DAA">
        <w:trPr>
          <w:cantSplit/>
          <w:trHeight w:val="238"/>
        </w:trPr>
        <w:tc>
          <w:tcPr>
            <w:tcW w:w="861" w:type="dxa"/>
            <w:vMerge/>
          </w:tcPr>
          <w:p w:rsidR="00AF3004" w:rsidRPr="00501DAA" w:rsidRDefault="00AF3004">
            <w:pPr>
              <w:pStyle w:val="xAvsandare2"/>
            </w:pPr>
          </w:p>
        </w:tc>
        <w:tc>
          <w:tcPr>
            <w:tcW w:w="4448" w:type="dxa"/>
            <w:vAlign w:val="center"/>
          </w:tcPr>
          <w:p w:rsidR="00AF3004" w:rsidRPr="00501DAA" w:rsidRDefault="00AF3004">
            <w:pPr>
              <w:pStyle w:val="xAvsandare2"/>
            </w:pPr>
          </w:p>
        </w:tc>
        <w:tc>
          <w:tcPr>
            <w:tcW w:w="1725" w:type="dxa"/>
            <w:vAlign w:val="center"/>
          </w:tcPr>
          <w:p w:rsidR="00AF3004" w:rsidRPr="00501DAA" w:rsidRDefault="00AF3004">
            <w:pPr>
              <w:pStyle w:val="xDatum1"/>
            </w:pPr>
            <w:r w:rsidRPr="00501DAA">
              <w:t>20</w:t>
            </w:r>
            <w:r w:rsidR="006D1D7A" w:rsidRPr="00501DAA">
              <w:t>1</w:t>
            </w:r>
            <w:r w:rsidR="00356313">
              <w:t>9</w:t>
            </w:r>
            <w:r w:rsidRPr="00501DAA">
              <w:t>-</w:t>
            </w:r>
            <w:r w:rsidR="00CC6320">
              <w:t>01</w:t>
            </w:r>
            <w:r w:rsidRPr="00501DAA">
              <w:t>-</w:t>
            </w:r>
            <w:r w:rsidR="00CC6320">
              <w:t>24</w:t>
            </w:r>
          </w:p>
        </w:tc>
        <w:tc>
          <w:tcPr>
            <w:tcW w:w="2563" w:type="dxa"/>
            <w:vAlign w:val="center"/>
          </w:tcPr>
          <w:p w:rsidR="00AF3004" w:rsidRPr="00501DAA" w:rsidRDefault="00AF3004">
            <w:pPr>
              <w:pStyle w:val="xBeteckning1"/>
            </w:pPr>
          </w:p>
        </w:tc>
      </w:tr>
      <w:tr w:rsidR="00AF3004" w:rsidRPr="00501DAA">
        <w:trPr>
          <w:cantSplit/>
          <w:trHeight w:val="238"/>
        </w:trPr>
        <w:tc>
          <w:tcPr>
            <w:tcW w:w="861" w:type="dxa"/>
            <w:vMerge/>
          </w:tcPr>
          <w:p w:rsidR="00AF3004" w:rsidRPr="00501DAA" w:rsidRDefault="00AF3004">
            <w:pPr>
              <w:pStyle w:val="xLedtext"/>
            </w:pPr>
          </w:p>
        </w:tc>
        <w:tc>
          <w:tcPr>
            <w:tcW w:w="4448" w:type="dxa"/>
            <w:vAlign w:val="bottom"/>
          </w:tcPr>
          <w:p w:rsidR="00AF3004" w:rsidRPr="00501DAA" w:rsidRDefault="00AF3004">
            <w:pPr>
              <w:pStyle w:val="xLedtext"/>
            </w:pPr>
          </w:p>
        </w:tc>
        <w:tc>
          <w:tcPr>
            <w:tcW w:w="1725" w:type="dxa"/>
            <w:vAlign w:val="bottom"/>
          </w:tcPr>
          <w:p w:rsidR="00AF3004" w:rsidRPr="00501DAA" w:rsidRDefault="00AF3004">
            <w:pPr>
              <w:pStyle w:val="xLedtext"/>
            </w:pPr>
          </w:p>
        </w:tc>
        <w:tc>
          <w:tcPr>
            <w:tcW w:w="2563" w:type="dxa"/>
            <w:vAlign w:val="bottom"/>
          </w:tcPr>
          <w:p w:rsidR="00AF3004" w:rsidRPr="00501DAA" w:rsidRDefault="00AF3004">
            <w:pPr>
              <w:pStyle w:val="xLedtext"/>
            </w:pPr>
          </w:p>
        </w:tc>
      </w:tr>
      <w:tr w:rsidR="00AF3004" w:rsidRPr="00501DAA">
        <w:trPr>
          <w:cantSplit/>
          <w:trHeight w:val="238"/>
        </w:trPr>
        <w:tc>
          <w:tcPr>
            <w:tcW w:w="861" w:type="dxa"/>
            <w:vMerge/>
            <w:tcBorders>
              <w:bottom w:val="single" w:sz="4" w:space="0" w:color="auto"/>
            </w:tcBorders>
          </w:tcPr>
          <w:p w:rsidR="00AF3004" w:rsidRPr="00501DAA" w:rsidRDefault="00AF3004">
            <w:pPr>
              <w:pStyle w:val="xAvsandare3"/>
            </w:pPr>
          </w:p>
        </w:tc>
        <w:tc>
          <w:tcPr>
            <w:tcW w:w="4448" w:type="dxa"/>
            <w:tcBorders>
              <w:bottom w:val="single" w:sz="4" w:space="0" w:color="auto"/>
            </w:tcBorders>
            <w:vAlign w:val="center"/>
          </w:tcPr>
          <w:p w:rsidR="00AF3004" w:rsidRPr="00501DAA" w:rsidRDefault="00AF3004">
            <w:pPr>
              <w:pStyle w:val="xAvsandare3"/>
            </w:pPr>
          </w:p>
        </w:tc>
        <w:tc>
          <w:tcPr>
            <w:tcW w:w="1725" w:type="dxa"/>
            <w:tcBorders>
              <w:bottom w:val="single" w:sz="4" w:space="0" w:color="auto"/>
            </w:tcBorders>
            <w:vAlign w:val="center"/>
          </w:tcPr>
          <w:p w:rsidR="00AF3004" w:rsidRPr="00501DAA" w:rsidRDefault="00AF3004">
            <w:pPr>
              <w:pStyle w:val="xDatum2"/>
            </w:pPr>
          </w:p>
        </w:tc>
        <w:tc>
          <w:tcPr>
            <w:tcW w:w="2563" w:type="dxa"/>
            <w:tcBorders>
              <w:bottom w:val="single" w:sz="4" w:space="0" w:color="auto"/>
            </w:tcBorders>
            <w:vAlign w:val="center"/>
          </w:tcPr>
          <w:p w:rsidR="00AF3004" w:rsidRPr="00501DAA" w:rsidRDefault="00AF3004">
            <w:pPr>
              <w:pStyle w:val="xBeteckning2"/>
            </w:pPr>
          </w:p>
        </w:tc>
      </w:tr>
      <w:tr w:rsidR="00AF3004" w:rsidRPr="00501DAA">
        <w:trPr>
          <w:cantSplit/>
          <w:trHeight w:val="238"/>
        </w:trPr>
        <w:tc>
          <w:tcPr>
            <w:tcW w:w="861" w:type="dxa"/>
            <w:tcBorders>
              <w:top w:val="single" w:sz="4" w:space="0" w:color="auto"/>
            </w:tcBorders>
            <w:vAlign w:val="bottom"/>
          </w:tcPr>
          <w:p w:rsidR="00AF3004" w:rsidRPr="00501DAA" w:rsidRDefault="00AF3004">
            <w:pPr>
              <w:pStyle w:val="xLedtext"/>
            </w:pPr>
          </w:p>
        </w:tc>
        <w:tc>
          <w:tcPr>
            <w:tcW w:w="4448" w:type="dxa"/>
            <w:tcBorders>
              <w:top w:val="single" w:sz="4" w:space="0" w:color="auto"/>
            </w:tcBorders>
            <w:vAlign w:val="bottom"/>
          </w:tcPr>
          <w:p w:rsidR="00AF3004" w:rsidRPr="00501DAA" w:rsidRDefault="00AF3004">
            <w:pPr>
              <w:pStyle w:val="xLedtext"/>
            </w:pPr>
          </w:p>
        </w:tc>
        <w:tc>
          <w:tcPr>
            <w:tcW w:w="4288" w:type="dxa"/>
            <w:gridSpan w:val="2"/>
            <w:tcBorders>
              <w:top w:val="single" w:sz="4" w:space="0" w:color="auto"/>
            </w:tcBorders>
            <w:vAlign w:val="bottom"/>
          </w:tcPr>
          <w:p w:rsidR="00AF3004" w:rsidRPr="00501DAA" w:rsidRDefault="00AF3004">
            <w:pPr>
              <w:pStyle w:val="xLedtext"/>
            </w:pPr>
          </w:p>
        </w:tc>
      </w:tr>
      <w:tr w:rsidR="00AF3004" w:rsidRPr="00501DAA">
        <w:trPr>
          <w:cantSplit/>
          <w:trHeight w:val="238"/>
        </w:trPr>
        <w:tc>
          <w:tcPr>
            <w:tcW w:w="861" w:type="dxa"/>
          </w:tcPr>
          <w:p w:rsidR="00AF3004" w:rsidRPr="00501DAA" w:rsidRDefault="00AF3004">
            <w:pPr>
              <w:pStyle w:val="xCelltext"/>
            </w:pPr>
          </w:p>
        </w:tc>
        <w:tc>
          <w:tcPr>
            <w:tcW w:w="4448" w:type="dxa"/>
            <w:vMerge w:val="restart"/>
          </w:tcPr>
          <w:p w:rsidR="00AF3004" w:rsidRPr="00501DAA" w:rsidRDefault="00AF3004">
            <w:pPr>
              <w:pStyle w:val="xMottagare1"/>
            </w:pPr>
            <w:bookmarkStart w:id="0" w:name="_top"/>
            <w:bookmarkEnd w:id="0"/>
            <w:r w:rsidRPr="00501DAA">
              <w:t>Till Ålands lagting</w:t>
            </w:r>
          </w:p>
        </w:tc>
        <w:tc>
          <w:tcPr>
            <w:tcW w:w="4288" w:type="dxa"/>
            <w:gridSpan w:val="2"/>
            <w:vMerge w:val="restart"/>
          </w:tcPr>
          <w:p w:rsidR="00AF3004" w:rsidRPr="00501DAA" w:rsidRDefault="00AF3004">
            <w:pPr>
              <w:pStyle w:val="xMottagare1"/>
              <w:tabs>
                <w:tab w:val="left" w:pos="2349"/>
              </w:tabs>
            </w:pPr>
          </w:p>
        </w:tc>
      </w:tr>
      <w:tr w:rsidR="00AF3004" w:rsidRPr="00501DAA">
        <w:trPr>
          <w:cantSplit/>
          <w:trHeight w:val="238"/>
        </w:trPr>
        <w:tc>
          <w:tcPr>
            <w:tcW w:w="861" w:type="dxa"/>
          </w:tcPr>
          <w:p w:rsidR="00AF3004" w:rsidRPr="00501DAA" w:rsidRDefault="00AF3004">
            <w:pPr>
              <w:pStyle w:val="xCelltext"/>
            </w:pPr>
          </w:p>
        </w:tc>
        <w:tc>
          <w:tcPr>
            <w:tcW w:w="4448" w:type="dxa"/>
            <w:vMerge/>
            <w:vAlign w:val="center"/>
          </w:tcPr>
          <w:p w:rsidR="00AF3004" w:rsidRPr="00501DAA" w:rsidRDefault="00AF3004">
            <w:pPr>
              <w:pStyle w:val="xCelltext"/>
            </w:pPr>
          </w:p>
        </w:tc>
        <w:tc>
          <w:tcPr>
            <w:tcW w:w="4288" w:type="dxa"/>
            <w:gridSpan w:val="2"/>
            <w:vMerge/>
            <w:vAlign w:val="center"/>
          </w:tcPr>
          <w:p w:rsidR="00AF3004" w:rsidRPr="00501DAA" w:rsidRDefault="00AF3004">
            <w:pPr>
              <w:pStyle w:val="xCelltext"/>
            </w:pPr>
          </w:p>
        </w:tc>
      </w:tr>
      <w:tr w:rsidR="00AF3004" w:rsidRPr="00501DAA">
        <w:trPr>
          <w:cantSplit/>
          <w:trHeight w:val="238"/>
        </w:trPr>
        <w:tc>
          <w:tcPr>
            <w:tcW w:w="861" w:type="dxa"/>
          </w:tcPr>
          <w:p w:rsidR="00AF3004" w:rsidRPr="00501DAA" w:rsidRDefault="00AF3004">
            <w:pPr>
              <w:pStyle w:val="xCelltext"/>
            </w:pPr>
          </w:p>
        </w:tc>
        <w:tc>
          <w:tcPr>
            <w:tcW w:w="4448" w:type="dxa"/>
            <w:vMerge/>
            <w:vAlign w:val="center"/>
          </w:tcPr>
          <w:p w:rsidR="00AF3004" w:rsidRPr="00501DAA" w:rsidRDefault="00AF3004">
            <w:pPr>
              <w:pStyle w:val="xCelltext"/>
            </w:pPr>
          </w:p>
        </w:tc>
        <w:tc>
          <w:tcPr>
            <w:tcW w:w="4288" w:type="dxa"/>
            <w:gridSpan w:val="2"/>
            <w:vMerge/>
            <w:vAlign w:val="center"/>
          </w:tcPr>
          <w:p w:rsidR="00AF3004" w:rsidRPr="00501DAA" w:rsidRDefault="00AF3004">
            <w:pPr>
              <w:pStyle w:val="xCelltext"/>
            </w:pPr>
          </w:p>
        </w:tc>
      </w:tr>
      <w:tr w:rsidR="00AF3004" w:rsidRPr="00501DAA">
        <w:trPr>
          <w:cantSplit/>
          <w:trHeight w:val="238"/>
        </w:trPr>
        <w:tc>
          <w:tcPr>
            <w:tcW w:w="861" w:type="dxa"/>
          </w:tcPr>
          <w:p w:rsidR="00AF3004" w:rsidRPr="00501DAA" w:rsidRDefault="00AF3004">
            <w:pPr>
              <w:pStyle w:val="xCelltext"/>
            </w:pPr>
          </w:p>
        </w:tc>
        <w:tc>
          <w:tcPr>
            <w:tcW w:w="4448" w:type="dxa"/>
            <w:vMerge/>
            <w:vAlign w:val="center"/>
          </w:tcPr>
          <w:p w:rsidR="00AF3004" w:rsidRPr="00501DAA" w:rsidRDefault="00AF3004">
            <w:pPr>
              <w:pStyle w:val="xCelltext"/>
            </w:pPr>
          </w:p>
        </w:tc>
        <w:tc>
          <w:tcPr>
            <w:tcW w:w="4288" w:type="dxa"/>
            <w:gridSpan w:val="2"/>
            <w:vMerge/>
            <w:vAlign w:val="center"/>
          </w:tcPr>
          <w:p w:rsidR="00AF3004" w:rsidRPr="00501DAA" w:rsidRDefault="00AF3004">
            <w:pPr>
              <w:pStyle w:val="xCelltext"/>
            </w:pPr>
          </w:p>
        </w:tc>
      </w:tr>
      <w:tr w:rsidR="00AF3004" w:rsidRPr="00501DAA">
        <w:trPr>
          <w:cantSplit/>
          <w:trHeight w:val="238"/>
        </w:trPr>
        <w:tc>
          <w:tcPr>
            <w:tcW w:w="861" w:type="dxa"/>
          </w:tcPr>
          <w:p w:rsidR="00AF3004" w:rsidRPr="00501DAA" w:rsidRDefault="00AF3004">
            <w:pPr>
              <w:pStyle w:val="xCelltext"/>
            </w:pPr>
          </w:p>
        </w:tc>
        <w:tc>
          <w:tcPr>
            <w:tcW w:w="4448" w:type="dxa"/>
            <w:vMerge/>
            <w:vAlign w:val="center"/>
          </w:tcPr>
          <w:p w:rsidR="00AF3004" w:rsidRPr="00501DAA" w:rsidRDefault="00AF3004">
            <w:pPr>
              <w:pStyle w:val="xCelltext"/>
            </w:pPr>
          </w:p>
        </w:tc>
        <w:tc>
          <w:tcPr>
            <w:tcW w:w="4288" w:type="dxa"/>
            <w:gridSpan w:val="2"/>
            <w:vMerge/>
            <w:vAlign w:val="center"/>
          </w:tcPr>
          <w:p w:rsidR="00AF3004" w:rsidRPr="00501DAA" w:rsidRDefault="00AF3004">
            <w:pPr>
              <w:pStyle w:val="xCelltext"/>
            </w:pPr>
          </w:p>
        </w:tc>
      </w:tr>
    </w:tbl>
    <w:p w:rsidR="00AF3004" w:rsidRPr="00501DAA" w:rsidRDefault="00AF3004">
      <w:pPr>
        <w:rPr>
          <w:b/>
          <w:bCs/>
        </w:rPr>
        <w:sectPr w:rsidR="00AF3004" w:rsidRPr="00501DAA">
          <w:footerReference w:type="even" r:id="rId11"/>
          <w:footerReference w:type="default" r:id="rId12"/>
          <w:pgSz w:w="11906" w:h="16838" w:code="9"/>
          <w:pgMar w:top="567" w:right="1134" w:bottom="1134" w:left="1191" w:header="624" w:footer="851" w:gutter="0"/>
          <w:cols w:space="708"/>
          <w:docGrid w:linePitch="360"/>
        </w:sectPr>
      </w:pPr>
    </w:p>
    <w:p w:rsidR="00AF3004" w:rsidRPr="00501DAA" w:rsidRDefault="006D1D7A">
      <w:pPr>
        <w:pStyle w:val="ArendeRubrik"/>
      </w:pPr>
      <w:r w:rsidRPr="00501DAA">
        <w:lastRenderedPageBreak/>
        <w:t>Ändrad</w:t>
      </w:r>
      <w:r w:rsidR="002306B0">
        <w:t>e</w:t>
      </w:r>
      <w:r w:rsidRPr="00501DAA">
        <w:t xml:space="preserve"> sekretesstid</w:t>
      </w:r>
      <w:r w:rsidR="002306B0">
        <w:t>er</w:t>
      </w:r>
      <w:r w:rsidRPr="00501DAA">
        <w:t xml:space="preserve"> </w:t>
      </w:r>
      <w:bookmarkStart w:id="1" w:name="_Hlk530571680"/>
      <w:r w:rsidR="002306B0">
        <w:t>inom hälso- och sjukvården samt socialvården</w:t>
      </w:r>
    </w:p>
    <w:bookmarkEnd w:id="1"/>
    <w:p w:rsidR="00AF3004" w:rsidRPr="00501DAA" w:rsidRDefault="00AF3004">
      <w:pPr>
        <w:pStyle w:val="ANormal"/>
      </w:pPr>
    </w:p>
    <w:p w:rsidR="00AF3004" w:rsidRPr="00501DAA" w:rsidRDefault="00AF3004">
      <w:pPr>
        <w:pStyle w:val="ANormal"/>
      </w:pPr>
    </w:p>
    <w:p w:rsidR="00AF3004" w:rsidRPr="00501DAA" w:rsidRDefault="00AF3004">
      <w:pPr>
        <w:pStyle w:val="RubrikA"/>
      </w:pPr>
      <w:bookmarkStart w:id="2" w:name="_Toc536088434"/>
      <w:r w:rsidRPr="00501DAA">
        <w:t>Huvudsakligt innehåll</w:t>
      </w:r>
      <w:bookmarkEnd w:id="2"/>
    </w:p>
    <w:p w:rsidR="00AF3004" w:rsidRPr="00501DAA" w:rsidRDefault="00AF3004">
      <w:pPr>
        <w:pStyle w:val="Rubrikmellanrum"/>
      </w:pPr>
    </w:p>
    <w:p w:rsidR="00AF3004" w:rsidRPr="00501DAA" w:rsidRDefault="00A657A5">
      <w:pPr>
        <w:pStyle w:val="ANormal"/>
      </w:pPr>
      <w:r>
        <w:t xml:space="preserve">Landskapsregeringen </w:t>
      </w:r>
      <w:r w:rsidR="009C11D3">
        <w:t>föreslår att lagtinget antar vissa lagändringar i lan</w:t>
      </w:r>
      <w:r w:rsidR="009C11D3">
        <w:t>d</w:t>
      </w:r>
      <w:r w:rsidR="009C11D3">
        <w:t xml:space="preserve">skapets </w:t>
      </w:r>
      <w:r w:rsidR="00082E43">
        <w:t>offentlighets</w:t>
      </w:r>
      <w:r w:rsidR="00D972B4">
        <w:t>- och patient</w:t>
      </w:r>
      <w:r w:rsidR="00082E43">
        <w:t>lagstiftning.</w:t>
      </w:r>
      <w:r w:rsidR="002852BA">
        <w:t xml:space="preserve"> </w:t>
      </w:r>
      <w:r w:rsidR="00C81029">
        <w:t>Förslaget innehåller bestä</w:t>
      </w:r>
      <w:r w:rsidR="00C81029">
        <w:t>m</w:t>
      </w:r>
      <w:r w:rsidR="00C81029">
        <w:t>melser om förlängda sekretesstider för vissa hemliga handlingar inom hälso- och sjukvården samt socialvården</w:t>
      </w:r>
      <w:r w:rsidR="000574F9">
        <w:t xml:space="preserve"> </w:t>
      </w:r>
      <w:r w:rsidR="00D972B4">
        <w:t xml:space="preserve">samt </w:t>
      </w:r>
      <w:r w:rsidR="00F71042">
        <w:t xml:space="preserve">några </w:t>
      </w:r>
      <w:r w:rsidR="002306B0">
        <w:t xml:space="preserve">mindre lagtekniska </w:t>
      </w:r>
      <w:r w:rsidR="00D972B4">
        <w:t xml:space="preserve">ändringar </w:t>
      </w:r>
      <w:r w:rsidR="002306B0">
        <w:t>i landskapslagen om tillämpning i landskapet Åland av lagen om patientens ställning och rättigheter.</w:t>
      </w:r>
    </w:p>
    <w:p w:rsidR="00AF3004" w:rsidRPr="00501DAA" w:rsidRDefault="00AF3004">
      <w:pPr>
        <w:pStyle w:val="ANormal"/>
      </w:pPr>
    </w:p>
    <w:p w:rsidR="00AF3004" w:rsidRPr="00501DAA" w:rsidRDefault="00214BF8">
      <w:pPr>
        <w:pStyle w:val="ANormal"/>
        <w:jc w:val="center"/>
      </w:pPr>
      <w:hyperlink w:anchor="_top" w:tooltip="Klicka för att gå till toppen av dokumentet" w:history="1">
        <w:r w:rsidR="00AF3004" w:rsidRPr="00501DAA">
          <w:rPr>
            <w:rStyle w:val="Hyperlnk"/>
          </w:rPr>
          <w:t>__________________</w:t>
        </w:r>
      </w:hyperlink>
    </w:p>
    <w:p w:rsidR="00AF3004" w:rsidRPr="00501DAA" w:rsidRDefault="00AF3004">
      <w:pPr>
        <w:pStyle w:val="ANormal"/>
      </w:pPr>
    </w:p>
    <w:p w:rsidR="00AF3004" w:rsidRPr="00501DAA" w:rsidRDefault="00AF3004">
      <w:pPr>
        <w:pStyle w:val="ANormal"/>
      </w:pPr>
      <w:r w:rsidRPr="00501DAA">
        <w:br w:type="page"/>
      </w:r>
    </w:p>
    <w:p w:rsidR="00AF3004" w:rsidRPr="00501DAA" w:rsidRDefault="00AF3004">
      <w:pPr>
        <w:pStyle w:val="Innehll1"/>
      </w:pPr>
      <w:r w:rsidRPr="00501DAA">
        <w:lastRenderedPageBreak/>
        <w:t>INNEHÅLL</w:t>
      </w:r>
    </w:p>
    <w:p w:rsidR="00F5066E" w:rsidRDefault="00AF3004">
      <w:pPr>
        <w:pStyle w:val="Innehll1"/>
        <w:rPr>
          <w:rFonts w:asciiTheme="minorHAnsi" w:eastAsiaTheme="minorEastAsia" w:hAnsiTheme="minorHAnsi" w:cstheme="minorBidi"/>
          <w:sz w:val="22"/>
          <w:szCs w:val="22"/>
          <w:lang w:val="sv-FI" w:eastAsia="sv-FI"/>
        </w:rPr>
      </w:pPr>
      <w:r w:rsidRPr="00501DAA">
        <w:fldChar w:fldCharType="begin"/>
      </w:r>
      <w:r w:rsidRPr="00501DAA">
        <w:instrText xml:space="preserve"> TOC \o "1-3" \h \z </w:instrText>
      </w:r>
      <w:r w:rsidRPr="00501DAA">
        <w:fldChar w:fldCharType="separate"/>
      </w:r>
      <w:hyperlink w:anchor="_Toc536088434" w:history="1">
        <w:r w:rsidR="00F5066E" w:rsidRPr="0008227B">
          <w:rPr>
            <w:rStyle w:val="Hyperlnk"/>
          </w:rPr>
          <w:t>Huvudsakligt innehåll</w:t>
        </w:r>
        <w:r w:rsidR="00F5066E">
          <w:rPr>
            <w:webHidden/>
          </w:rPr>
          <w:tab/>
        </w:r>
        <w:r w:rsidR="00F5066E">
          <w:rPr>
            <w:webHidden/>
          </w:rPr>
          <w:fldChar w:fldCharType="begin"/>
        </w:r>
        <w:r w:rsidR="00F5066E">
          <w:rPr>
            <w:webHidden/>
          </w:rPr>
          <w:instrText xml:space="preserve"> PAGEREF _Toc536088434 \h </w:instrText>
        </w:r>
        <w:r w:rsidR="00F5066E">
          <w:rPr>
            <w:webHidden/>
          </w:rPr>
        </w:r>
        <w:r w:rsidR="00F5066E">
          <w:rPr>
            <w:webHidden/>
          </w:rPr>
          <w:fldChar w:fldCharType="separate"/>
        </w:r>
        <w:r w:rsidR="00F5066E">
          <w:rPr>
            <w:webHidden/>
          </w:rPr>
          <w:t>1</w:t>
        </w:r>
        <w:r w:rsidR="00F5066E">
          <w:rPr>
            <w:webHidden/>
          </w:rPr>
          <w:fldChar w:fldCharType="end"/>
        </w:r>
      </w:hyperlink>
    </w:p>
    <w:p w:rsidR="00F5066E" w:rsidRDefault="00214BF8">
      <w:pPr>
        <w:pStyle w:val="Innehll1"/>
        <w:rPr>
          <w:rFonts w:asciiTheme="minorHAnsi" w:eastAsiaTheme="minorEastAsia" w:hAnsiTheme="minorHAnsi" w:cstheme="minorBidi"/>
          <w:sz w:val="22"/>
          <w:szCs w:val="22"/>
          <w:lang w:val="sv-FI" w:eastAsia="sv-FI"/>
        </w:rPr>
      </w:pPr>
      <w:hyperlink w:anchor="_Toc536088435" w:history="1">
        <w:r w:rsidR="00F5066E" w:rsidRPr="0008227B">
          <w:rPr>
            <w:rStyle w:val="Hyperlnk"/>
          </w:rPr>
          <w:t>Motivering</w:t>
        </w:r>
        <w:r w:rsidR="00F5066E">
          <w:rPr>
            <w:webHidden/>
          </w:rPr>
          <w:tab/>
        </w:r>
        <w:r w:rsidR="00F5066E">
          <w:rPr>
            <w:webHidden/>
          </w:rPr>
          <w:fldChar w:fldCharType="begin"/>
        </w:r>
        <w:r w:rsidR="00F5066E">
          <w:rPr>
            <w:webHidden/>
          </w:rPr>
          <w:instrText xml:space="preserve"> PAGEREF _Toc536088435 \h </w:instrText>
        </w:r>
        <w:r w:rsidR="00F5066E">
          <w:rPr>
            <w:webHidden/>
          </w:rPr>
        </w:r>
        <w:r w:rsidR="00F5066E">
          <w:rPr>
            <w:webHidden/>
          </w:rPr>
          <w:fldChar w:fldCharType="separate"/>
        </w:r>
        <w:r w:rsidR="00F5066E">
          <w:rPr>
            <w:webHidden/>
          </w:rPr>
          <w:t>3</w:t>
        </w:r>
        <w:r w:rsidR="00F5066E">
          <w:rPr>
            <w:webHidden/>
          </w:rPr>
          <w:fldChar w:fldCharType="end"/>
        </w:r>
      </w:hyperlink>
    </w:p>
    <w:p w:rsidR="00F5066E" w:rsidRDefault="00214BF8">
      <w:pPr>
        <w:pStyle w:val="Innehll2"/>
        <w:rPr>
          <w:rFonts w:asciiTheme="minorHAnsi" w:eastAsiaTheme="minorEastAsia" w:hAnsiTheme="minorHAnsi" w:cstheme="minorBidi"/>
          <w:sz w:val="22"/>
          <w:szCs w:val="22"/>
          <w:lang w:val="sv-FI" w:eastAsia="sv-FI"/>
        </w:rPr>
      </w:pPr>
      <w:hyperlink w:anchor="_Toc536088436" w:history="1">
        <w:r w:rsidR="00F5066E" w:rsidRPr="0008227B">
          <w:rPr>
            <w:rStyle w:val="Hyperlnk"/>
          </w:rPr>
          <w:t>1. Gällande bestämmelser</w:t>
        </w:r>
        <w:r w:rsidR="00F5066E">
          <w:rPr>
            <w:webHidden/>
          </w:rPr>
          <w:tab/>
        </w:r>
        <w:r w:rsidR="00F5066E">
          <w:rPr>
            <w:webHidden/>
          </w:rPr>
          <w:fldChar w:fldCharType="begin"/>
        </w:r>
        <w:r w:rsidR="00F5066E">
          <w:rPr>
            <w:webHidden/>
          </w:rPr>
          <w:instrText xml:space="preserve"> PAGEREF _Toc536088436 \h </w:instrText>
        </w:r>
        <w:r w:rsidR="00F5066E">
          <w:rPr>
            <w:webHidden/>
          </w:rPr>
        </w:r>
        <w:r w:rsidR="00F5066E">
          <w:rPr>
            <w:webHidden/>
          </w:rPr>
          <w:fldChar w:fldCharType="separate"/>
        </w:r>
        <w:r w:rsidR="00F5066E">
          <w:rPr>
            <w:webHidden/>
          </w:rPr>
          <w:t>3</w:t>
        </w:r>
        <w:r w:rsidR="00F5066E">
          <w:rPr>
            <w:webHidden/>
          </w:rPr>
          <w:fldChar w:fldCharType="end"/>
        </w:r>
      </w:hyperlink>
    </w:p>
    <w:p w:rsidR="00F5066E" w:rsidRDefault="00214BF8">
      <w:pPr>
        <w:pStyle w:val="Innehll3"/>
        <w:rPr>
          <w:rFonts w:asciiTheme="minorHAnsi" w:eastAsiaTheme="minorEastAsia" w:hAnsiTheme="minorHAnsi" w:cstheme="minorBidi"/>
          <w:sz w:val="22"/>
          <w:szCs w:val="22"/>
          <w:lang w:val="sv-FI" w:eastAsia="sv-FI"/>
        </w:rPr>
      </w:pPr>
      <w:hyperlink w:anchor="_Toc536088437" w:history="1">
        <w:r w:rsidR="00F5066E" w:rsidRPr="0008227B">
          <w:rPr>
            <w:rStyle w:val="Hyperlnk"/>
          </w:rPr>
          <w:t>1.1 Offentlighetslagstiftningen</w:t>
        </w:r>
        <w:r w:rsidR="00F5066E">
          <w:rPr>
            <w:webHidden/>
          </w:rPr>
          <w:tab/>
        </w:r>
        <w:r w:rsidR="00F5066E">
          <w:rPr>
            <w:webHidden/>
          </w:rPr>
          <w:fldChar w:fldCharType="begin"/>
        </w:r>
        <w:r w:rsidR="00F5066E">
          <w:rPr>
            <w:webHidden/>
          </w:rPr>
          <w:instrText xml:space="preserve"> PAGEREF _Toc536088437 \h </w:instrText>
        </w:r>
        <w:r w:rsidR="00F5066E">
          <w:rPr>
            <w:webHidden/>
          </w:rPr>
        </w:r>
        <w:r w:rsidR="00F5066E">
          <w:rPr>
            <w:webHidden/>
          </w:rPr>
          <w:fldChar w:fldCharType="separate"/>
        </w:r>
        <w:r w:rsidR="00F5066E">
          <w:rPr>
            <w:webHidden/>
          </w:rPr>
          <w:t>3</w:t>
        </w:r>
        <w:r w:rsidR="00F5066E">
          <w:rPr>
            <w:webHidden/>
          </w:rPr>
          <w:fldChar w:fldCharType="end"/>
        </w:r>
      </w:hyperlink>
    </w:p>
    <w:p w:rsidR="00F5066E" w:rsidRDefault="00214BF8">
      <w:pPr>
        <w:pStyle w:val="Innehll3"/>
        <w:rPr>
          <w:rFonts w:asciiTheme="minorHAnsi" w:eastAsiaTheme="minorEastAsia" w:hAnsiTheme="minorHAnsi" w:cstheme="minorBidi"/>
          <w:sz w:val="22"/>
          <w:szCs w:val="22"/>
          <w:lang w:val="sv-FI" w:eastAsia="sv-FI"/>
        </w:rPr>
      </w:pPr>
      <w:hyperlink w:anchor="_Toc536088438" w:history="1">
        <w:r w:rsidR="00F5066E" w:rsidRPr="0008227B">
          <w:rPr>
            <w:rStyle w:val="Hyperlnk"/>
          </w:rPr>
          <w:t>1.2 Patientlagstiftningen</w:t>
        </w:r>
        <w:r w:rsidR="00F5066E">
          <w:rPr>
            <w:webHidden/>
          </w:rPr>
          <w:tab/>
        </w:r>
        <w:r w:rsidR="00F5066E">
          <w:rPr>
            <w:webHidden/>
          </w:rPr>
          <w:fldChar w:fldCharType="begin"/>
        </w:r>
        <w:r w:rsidR="00F5066E">
          <w:rPr>
            <w:webHidden/>
          </w:rPr>
          <w:instrText xml:space="preserve"> PAGEREF _Toc536088438 \h </w:instrText>
        </w:r>
        <w:r w:rsidR="00F5066E">
          <w:rPr>
            <w:webHidden/>
          </w:rPr>
        </w:r>
        <w:r w:rsidR="00F5066E">
          <w:rPr>
            <w:webHidden/>
          </w:rPr>
          <w:fldChar w:fldCharType="separate"/>
        </w:r>
        <w:r w:rsidR="00F5066E">
          <w:rPr>
            <w:webHidden/>
          </w:rPr>
          <w:t>3</w:t>
        </w:r>
        <w:r w:rsidR="00F5066E">
          <w:rPr>
            <w:webHidden/>
          </w:rPr>
          <w:fldChar w:fldCharType="end"/>
        </w:r>
      </w:hyperlink>
    </w:p>
    <w:p w:rsidR="00F5066E" w:rsidRDefault="00214BF8">
      <w:pPr>
        <w:pStyle w:val="Innehll2"/>
        <w:rPr>
          <w:rFonts w:asciiTheme="minorHAnsi" w:eastAsiaTheme="minorEastAsia" w:hAnsiTheme="minorHAnsi" w:cstheme="minorBidi"/>
          <w:sz w:val="22"/>
          <w:szCs w:val="22"/>
          <w:lang w:val="sv-FI" w:eastAsia="sv-FI"/>
        </w:rPr>
      </w:pPr>
      <w:hyperlink w:anchor="_Toc536088439" w:history="1">
        <w:r w:rsidR="00F5066E" w:rsidRPr="0008227B">
          <w:rPr>
            <w:rStyle w:val="Hyperlnk"/>
          </w:rPr>
          <w:t>2. Nulägesbedömning</w:t>
        </w:r>
        <w:r w:rsidR="00F5066E">
          <w:rPr>
            <w:webHidden/>
          </w:rPr>
          <w:tab/>
        </w:r>
        <w:r w:rsidR="00F5066E">
          <w:rPr>
            <w:webHidden/>
          </w:rPr>
          <w:fldChar w:fldCharType="begin"/>
        </w:r>
        <w:r w:rsidR="00F5066E">
          <w:rPr>
            <w:webHidden/>
          </w:rPr>
          <w:instrText xml:space="preserve"> PAGEREF _Toc536088439 \h </w:instrText>
        </w:r>
        <w:r w:rsidR="00F5066E">
          <w:rPr>
            <w:webHidden/>
          </w:rPr>
        </w:r>
        <w:r w:rsidR="00F5066E">
          <w:rPr>
            <w:webHidden/>
          </w:rPr>
          <w:fldChar w:fldCharType="separate"/>
        </w:r>
        <w:r w:rsidR="00F5066E">
          <w:rPr>
            <w:webHidden/>
          </w:rPr>
          <w:t>3</w:t>
        </w:r>
        <w:r w:rsidR="00F5066E">
          <w:rPr>
            <w:webHidden/>
          </w:rPr>
          <w:fldChar w:fldCharType="end"/>
        </w:r>
      </w:hyperlink>
    </w:p>
    <w:p w:rsidR="00F5066E" w:rsidRDefault="00214BF8">
      <w:pPr>
        <w:pStyle w:val="Innehll3"/>
        <w:rPr>
          <w:rFonts w:asciiTheme="minorHAnsi" w:eastAsiaTheme="minorEastAsia" w:hAnsiTheme="minorHAnsi" w:cstheme="minorBidi"/>
          <w:sz w:val="22"/>
          <w:szCs w:val="22"/>
          <w:lang w:val="sv-FI" w:eastAsia="sv-FI"/>
        </w:rPr>
      </w:pPr>
      <w:hyperlink w:anchor="_Toc536088440" w:history="1">
        <w:r w:rsidR="00F5066E" w:rsidRPr="0008227B">
          <w:rPr>
            <w:rStyle w:val="Hyperlnk"/>
          </w:rPr>
          <w:t>2.1 Behovet av lagändringar i offentlighetslagen</w:t>
        </w:r>
        <w:r w:rsidR="00F5066E">
          <w:rPr>
            <w:webHidden/>
          </w:rPr>
          <w:tab/>
        </w:r>
        <w:r w:rsidR="00F5066E">
          <w:rPr>
            <w:webHidden/>
          </w:rPr>
          <w:fldChar w:fldCharType="begin"/>
        </w:r>
        <w:r w:rsidR="00F5066E">
          <w:rPr>
            <w:webHidden/>
          </w:rPr>
          <w:instrText xml:space="preserve"> PAGEREF _Toc536088440 \h </w:instrText>
        </w:r>
        <w:r w:rsidR="00F5066E">
          <w:rPr>
            <w:webHidden/>
          </w:rPr>
        </w:r>
        <w:r w:rsidR="00F5066E">
          <w:rPr>
            <w:webHidden/>
          </w:rPr>
          <w:fldChar w:fldCharType="separate"/>
        </w:r>
        <w:r w:rsidR="00F5066E">
          <w:rPr>
            <w:webHidden/>
          </w:rPr>
          <w:t>3</w:t>
        </w:r>
        <w:r w:rsidR="00F5066E">
          <w:rPr>
            <w:webHidden/>
          </w:rPr>
          <w:fldChar w:fldCharType="end"/>
        </w:r>
      </w:hyperlink>
    </w:p>
    <w:p w:rsidR="00F5066E" w:rsidRDefault="00214BF8">
      <w:pPr>
        <w:pStyle w:val="Innehll3"/>
        <w:rPr>
          <w:rFonts w:asciiTheme="minorHAnsi" w:eastAsiaTheme="minorEastAsia" w:hAnsiTheme="minorHAnsi" w:cstheme="minorBidi"/>
          <w:sz w:val="22"/>
          <w:szCs w:val="22"/>
          <w:lang w:val="sv-FI" w:eastAsia="sv-FI"/>
        </w:rPr>
      </w:pPr>
      <w:hyperlink w:anchor="_Toc536088441" w:history="1">
        <w:r w:rsidR="00F5066E" w:rsidRPr="0008227B">
          <w:rPr>
            <w:rStyle w:val="Hyperlnk"/>
          </w:rPr>
          <w:t>2.2 Behovet av lagtekniska ändringar i blankettlagen</w:t>
        </w:r>
        <w:r w:rsidR="00F5066E">
          <w:rPr>
            <w:webHidden/>
          </w:rPr>
          <w:tab/>
        </w:r>
        <w:r w:rsidR="00F5066E">
          <w:rPr>
            <w:webHidden/>
          </w:rPr>
          <w:fldChar w:fldCharType="begin"/>
        </w:r>
        <w:r w:rsidR="00F5066E">
          <w:rPr>
            <w:webHidden/>
          </w:rPr>
          <w:instrText xml:space="preserve"> PAGEREF _Toc536088441 \h </w:instrText>
        </w:r>
        <w:r w:rsidR="00F5066E">
          <w:rPr>
            <w:webHidden/>
          </w:rPr>
        </w:r>
        <w:r w:rsidR="00F5066E">
          <w:rPr>
            <w:webHidden/>
          </w:rPr>
          <w:fldChar w:fldCharType="separate"/>
        </w:r>
        <w:r w:rsidR="00F5066E">
          <w:rPr>
            <w:webHidden/>
          </w:rPr>
          <w:t>4</w:t>
        </w:r>
        <w:r w:rsidR="00F5066E">
          <w:rPr>
            <w:webHidden/>
          </w:rPr>
          <w:fldChar w:fldCharType="end"/>
        </w:r>
      </w:hyperlink>
    </w:p>
    <w:p w:rsidR="00F5066E" w:rsidRDefault="00214BF8">
      <w:pPr>
        <w:pStyle w:val="Innehll2"/>
        <w:rPr>
          <w:rFonts w:asciiTheme="minorHAnsi" w:eastAsiaTheme="minorEastAsia" w:hAnsiTheme="minorHAnsi" w:cstheme="minorBidi"/>
          <w:sz w:val="22"/>
          <w:szCs w:val="22"/>
          <w:lang w:val="sv-FI" w:eastAsia="sv-FI"/>
        </w:rPr>
      </w:pPr>
      <w:hyperlink w:anchor="_Toc536088442" w:history="1">
        <w:r w:rsidR="00F5066E" w:rsidRPr="0008227B">
          <w:rPr>
            <w:rStyle w:val="Hyperlnk"/>
          </w:rPr>
          <w:t>3. Landskapsregeringens förslag</w:t>
        </w:r>
        <w:r w:rsidR="00F5066E">
          <w:rPr>
            <w:webHidden/>
          </w:rPr>
          <w:tab/>
        </w:r>
        <w:r w:rsidR="00F5066E">
          <w:rPr>
            <w:webHidden/>
          </w:rPr>
          <w:fldChar w:fldCharType="begin"/>
        </w:r>
        <w:r w:rsidR="00F5066E">
          <w:rPr>
            <w:webHidden/>
          </w:rPr>
          <w:instrText xml:space="preserve"> PAGEREF _Toc536088442 \h </w:instrText>
        </w:r>
        <w:r w:rsidR="00F5066E">
          <w:rPr>
            <w:webHidden/>
          </w:rPr>
        </w:r>
        <w:r w:rsidR="00F5066E">
          <w:rPr>
            <w:webHidden/>
          </w:rPr>
          <w:fldChar w:fldCharType="separate"/>
        </w:r>
        <w:r w:rsidR="00F5066E">
          <w:rPr>
            <w:webHidden/>
          </w:rPr>
          <w:t>4</w:t>
        </w:r>
        <w:r w:rsidR="00F5066E">
          <w:rPr>
            <w:webHidden/>
          </w:rPr>
          <w:fldChar w:fldCharType="end"/>
        </w:r>
      </w:hyperlink>
    </w:p>
    <w:p w:rsidR="00F5066E" w:rsidRDefault="00214BF8">
      <w:pPr>
        <w:pStyle w:val="Innehll3"/>
        <w:rPr>
          <w:rFonts w:asciiTheme="minorHAnsi" w:eastAsiaTheme="minorEastAsia" w:hAnsiTheme="minorHAnsi" w:cstheme="minorBidi"/>
          <w:sz w:val="22"/>
          <w:szCs w:val="22"/>
          <w:lang w:val="sv-FI" w:eastAsia="sv-FI"/>
        </w:rPr>
      </w:pPr>
      <w:hyperlink w:anchor="_Toc536088443" w:history="1">
        <w:r w:rsidR="00F5066E" w:rsidRPr="0008227B">
          <w:rPr>
            <w:rStyle w:val="Hyperlnk"/>
          </w:rPr>
          <w:t>3.1 Offentlighetslagen</w:t>
        </w:r>
        <w:r w:rsidR="00F5066E">
          <w:rPr>
            <w:webHidden/>
          </w:rPr>
          <w:tab/>
        </w:r>
        <w:r w:rsidR="00F5066E">
          <w:rPr>
            <w:webHidden/>
          </w:rPr>
          <w:fldChar w:fldCharType="begin"/>
        </w:r>
        <w:r w:rsidR="00F5066E">
          <w:rPr>
            <w:webHidden/>
          </w:rPr>
          <w:instrText xml:space="preserve"> PAGEREF _Toc536088443 \h </w:instrText>
        </w:r>
        <w:r w:rsidR="00F5066E">
          <w:rPr>
            <w:webHidden/>
          </w:rPr>
        </w:r>
        <w:r w:rsidR="00F5066E">
          <w:rPr>
            <w:webHidden/>
          </w:rPr>
          <w:fldChar w:fldCharType="separate"/>
        </w:r>
        <w:r w:rsidR="00F5066E">
          <w:rPr>
            <w:webHidden/>
          </w:rPr>
          <w:t>4</w:t>
        </w:r>
        <w:r w:rsidR="00F5066E">
          <w:rPr>
            <w:webHidden/>
          </w:rPr>
          <w:fldChar w:fldCharType="end"/>
        </w:r>
      </w:hyperlink>
    </w:p>
    <w:p w:rsidR="00F5066E" w:rsidRDefault="00214BF8">
      <w:pPr>
        <w:pStyle w:val="Innehll3"/>
        <w:rPr>
          <w:rFonts w:asciiTheme="minorHAnsi" w:eastAsiaTheme="minorEastAsia" w:hAnsiTheme="minorHAnsi" w:cstheme="minorBidi"/>
          <w:sz w:val="22"/>
          <w:szCs w:val="22"/>
          <w:lang w:val="sv-FI" w:eastAsia="sv-FI"/>
        </w:rPr>
      </w:pPr>
      <w:hyperlink w:anchor="_Toc536088444" w:history="1">
        <w:r w:rsidR="00F5066E" w:rsidRPr="0008227B">
          <w:rPr>
            <w:rStyle w:val="Hyperlnk"/>
          </w:rPr>
          <w:t>3.2 Blankettlagen</w:t>
        </w:r>
        <w:r w:rsidR="00F5066E">
          <w:rPr>
            <w:webHidden/>
          </w:rPr>
          <w:tab/>
        </w:r>
        <w:r w:rsidR="00F5066E">
          <w:rPr>
            <w:webHidden/>
          </w:rPr>
          <w:fldChar w:fldCharType="begin"/>
        </w:r>
        <w:r w:rsidR="00F5066E">
          <w:rPr>
            <w:webHidden/>
          </w:rPr>
          <w:instrText xml:space="preserve"> PAGEREF _Toc536088444 \h </w:instrText>
        </w:r>
        <w:r w:rsidR="00F5066E">
          <w:rPr>
            <w:webHidden/>
          </w:rPr>
        </w:r>
        <w:r w:rsidR="00F5066E">
          <w:rPr>
            <w:webHidden/>
          </w:rPr>
          <w:fldChar w:fldCharType="separate"/>
        </w:r>
        <w:r w:rsidR="00F5066E">
          <w:rPr>
            <w:webHidden/>
          </w:rPr>
          <w:t>5</w:t>
        </w:r>
        <w:r w:rsidR="00F5066E">
          <w:rPr>
            <w:webHidden/>
          </w:rPr>
          <w:fldChar w:fldCharType="end"/>
        </w:r>
      </w:hyperlink>
    </w:p>
    <w:p w:rsidR="00F5066E" w:rsidRDefault="00214BF8">
      <w:pPr>
        <w:pStyle w:val="Innehll2"/>
        <w:rPr>
          <w:rFonts w:asciiTheme="minorHAnsi" w:eastAsiaTheme="minorEastAsia" w:hAnsiTheme="minorHAnsi" w:cstheme="minorBidi"/>
          <w:sz w:val="22"/>
          <w:szCs w:val="22"/>
          <w:lang w:val="sv-FI" w:eastAsia="sv-FI"/>
        </w:rPr>
      </w:pPr>
      <w:hyperlink w:anchor="_Toc536088445" w:history="1">
        <w:r w:rsidR="00F5066E" w:rsidRPr="0008227B">
          <w:rPr>
            <w:rStyle w:val="Hyperlnk"/>
          </w:rPr>
          <w:t>4. Förslagets konsekvenser</w:t>
        </w:r>
        <w:r w:rsidR="00F5066E">
          <w:rPr>
            <w:webHidden/>
          </w:rPr>
          <w:tab/>
        </w:r>
        <w:r w:rsidR="00F5066E">
          <w:rPr>
            <w:webHidden/>
          </w:rPr>
          <w:fldChar w:fldCharType="begin"/>
        </w:r>
        <w:r w:rsidR="00F5066E">
          <w:rPr>
            <w:webHidden/>
          </w:rPr>
          <w:instrText xml:space="preserve"> PAGEREF _Toc536088445 \h </w:instrText>
        </w:r>
        <w:r w:rsidR="00F5066E">
          <w:rPr>
            <w:webHidden/>
          </w:rPr>
        </w:r>
        <w:r w:rsidR="00F5066E">
          <w:rPr>
            <w:webHidden/>
          </w:rPr>
          <w:fldChar w:fldCharType="separate"/>
        </w:r>
        <w:r w:rsidR="00F5066E">
          <w:rPr>
            <w:webHidden/>
          </w:rPr>
          <w:t>6</w:t>
        </w:r>
        <w:r w:rsidR="00F5066E">
          <w:rPr>
            <w:webHidden/>
          </w:rPr>
          <w:fldChar w:fldCharType="end"/>
        </w:r>
      </w:hyperlink>
    </w:p>
    <w:p w:rsidR="00F5066E" w:rsidRDefault="00214BF8">
      <w:pPr>
        <w:pStyle w:val="Innehll2"/>
        <w:rPr>
          <w:rFonts w:asciiTheme="minorHAnsi" w:eastAsiaTheme="minorEastAsia" w:hAnsiTheme="minorHAnsi" w:cstheme="minorBidi"/>
          <w:sz w:val="22"/>
          <w:szCs w:val="22"/>
          <w:lang w:val="sv-FI" w:eastAsia="sv-FI"/>
        </w:rPr>
      </w:pPr>
      <w:hyperlink w:anchor="_Toc536088446" w:history="1">
        <w:r w:rsidR="00F5066E" w:rsidRPr="0008227B">
          <w:rPr>
            <w:rStyle w:val="Hyperlnk"/>
          </w:rPr>
          <w:t>5. Beredningsarbete</w:t>
        </w:r>
        <w:r w:rsidR="00F5066E">
          <w:rPr>
            <w:webHidden/>
          </w:rPr>
          <w:tab/>
        </w:r>
        <w:r w:rsidR="00F5066E">
          <w:rPr>
            <w:webHidden/>
          </w:rPr>
          <w:fldChar w:fldCharType="begin"/>
        </w:r>
        <w:r w:rsidR="00F5066E">
          <w:rPr>
            <w:webHidden/>
          </w:rPr>
          <w:instrText xml:space="preserve"> PAGEREF _Toc536088446 \h </w:instrText>
        </w:r>
        <w:r w:rsidR="00F5066E">
          <w:rPr>
            <w:webHidden/>
          </w:rPr>
        </w:r>
        <w:r w:rsidR="00F5066E">
          <w:rPr>
            <w:webHidden/>
          </w:rPr>
          <w:fldChar w:fldCharType="separate"/>
        </w:r>
        <w:r w:rsidR="00F5066E">
          <w:rPr>
            <w:webHidden/>
          </w:rPr>
          <w:t>7</w:t>
        </w:r>
        <w:r w:rsidR="00F5066E">
          <w:rPr>
            <w:webHidden/>
          </w:rPr>
          <w:fldChar w:fldCharType="end"/>
        </w:r>
      </w:hyperlink>
    </w:p>
    <w:p w:rsidR="00F5066E" w:rsidRDefault="00214BF8">
      <w:pPr>
        <w:pStyle w:val="Innehll2"/>
        <w:rPr>
          <w:rFonts w:asciiTheme="minorHAnsi" w:eastAsiaTheme="minorEastAsia" w:hAnsiTheme="minorHAnsi" w:cstheme="minorBidi"/>
          <w:sz w:val="22"/>
          <w:szCs w:val="22"/>
          <w:lang w:val="sv-FI" w:eastAsia="sv-FI"/>
        </w:rPr>
      </w:pPr>
      <w:hyperlink w:anchor="_Toc536088447" w:history="1">
        <w:r w:rsidR="00F5066E" w:rsidRPr="0008227B">
          <w:rPr>
            <w:rStyle w:val="Hyperlnk"/>
          </w:rPr>
          <w:t>6. Övrigt</w:t>
        </w:r>
        <w:r w:rsidR="00F5066E">
          <w:rPr>
            <w:webHidden/>
          </w:rPr>
          <w:tab/>
        </w:r>
        <w:r w:rsidR="00F5066E">
          <w:rPr>
            <w:webHidden/>
          </w:rPr>
          <w:fldChar w:fldCharType="begin"/>
        </w:r>
        <w:r w:rsidR="00F5066E">
          <w:rPr>
            <w:webHidden/>
          </w:rPr>
          <w:instrText xml:space="preserve"> PAGEREF _Toc536088447 \h </w:instrText>
        </w:r>
        <w:r w:rsidR="00F5066E">
          <w:rPr>
            <w:webHidden/>
          </w:rPr>
        </w:r>
        <w:r w:rsidR="00F5066E">
          <w:rPr>
            <w:webHidden/>
          </w:rPr>
          <w:fldChar w:fldCharType="separate"/>
        </w:r>
        <w:r w:rsidR="00F5066E">
          <w:rPr>
            <w:webHidden/>
          </w:rPr>
          <w:t>7</w:t>
        </w:r>
        <w:r w:rsidR="00F5066E">
          <w:rPr>
            <w:webHidden/>
          </w:rPr>
          <w:fldChar w:fldCharType="end"/>
        </w:r>
      </w:hyperlink>
    </w:p>
    <w:p w:rsidR="00F5066E" w:rsidRDefault="00214BF8">
      <w:pPr>
        <w:pStyle w:val="Innehll1"/>
        <w:rPr>
          <w:rFonts w:asciiTheme="minorHAnsi" w:eastAsiaTheme="minorEastAsia" w:hAnsiTheme="minorHAnsi" w:cstheme="minorBidi"/>
          <w:sz w:val="22"/>
          <w:szCs w:val="22"/>
          <w:lang w:val="sv-FI" w:eastAsia="sv-FI"/>
        </w:rPr>
      </w:pPr>
      <w:hyperlink w:anchor="_Toc536088448" w:history="1">
        <w:r w:rsidR="00F5066E" w:rsidRPr="0008227B">
          <w:rPr>
            <w:rStyle w:val="Hyperlnk"/>
          </w:rPr>
          <w:t>Lagtext</w:t>
        </w:r>
        <w:r w:rsidR="00F5066E">
          <w:rPr>
            <w:webHidden/>
          </w:rPr>
          <w:tab/>
        </w:r>
        <w:r w:rsidR="00F5066E">
          <w:rPr>
            <w:webHidden/>
          </w:rPr>
          <w:fldChar w:fldCharType="begin"/>
        </w:r>
        <w:r w:rsidR="00F5066E">
          <w:rPr>
            <w:webHidden/>
          </w:rPr>
          <w:instrText xml:space="preserve"> PAGEREF _Toc536088448 \h </w:instrText>
        </w:r>
        <w:r w:rsidR="00F5066E">
          <w:rPr>
            <w:webHidden/>
          </w:rPr>
        </w:r>
        <w:r w:rsidR="00F5066E">
          <w:rPr>
            <w:webHidden/>
          </w:rPr>
          <w:fldChar w:fldCharType="separate"/>
        </w:r>
        <w:r w:rsidR="00F5066E">
          <w:rPr>
            <w:webHidden/>
          </w:rPr>
          <w:t>8</w:t>
        </w:r>
        <w:r w:rsidR="00F5066E">
          <w:rPr>
            <w:webHidden/>
          </w:rPr>
          <w:fldChar w:fldCharType="end"/>
        </w:r>
      </w:hyperlink>
    </w:p>
    <w:p w:rsidR="00F5066E" w:rsidRDefault="00214BF8">
      <w:pPr>
        <w:pStyle w:val="Innehll2"/>
        <w:rPr>
          <w:rFonts w:asciiTheme="minorHAnsi" w:eastAsiaTheme="minorEastAsia" w:hAnsiTheme="minorHAnsi" w:cstheme="minorBidi"/>
          <w:sz w:val="22"/>
          <w:szCs w:val="22"/>
          <w:lang w:val="sv-FI" w:eastAsia="sv-FI"/>
        </w:rPr>
      </w:pPr>
      <w:hyperlink w:anchor="_Toc536088449" w:history="1">
        <w:r w:rsidR="00F5066E" w:rsidRPr="0008227B">
          <w:rPr>
            <w:rStyle w:val="Hyperlnk"/>
          </w:rPr>
          <w:t>L A N D S K A P S L A G om ändring av 9 och 17</w:t>
        </w:r>
        <w:r w:rsidR="00F5066E">
          <w:rPr>
            <w:rStyle w:val="Hyperlnk"/>
          </w:rPr>
          <w:t> §</w:t>
        </w:r>
        <w:r w:rsidR="00F5066E" w:rsidRPr="0008227B">
          <w:rPr>
            <w:rStyle w:val="Hyperlnk"/>
          </w:rPr>
          <w:t>§ landskapslagen om allmänna handlingars offentlighet</w:t>
        </w:r>
        <w:r w:rsidR="00F5066E">
          <w:rPr>
            <w:webHidden/>
          </w:rPr>
          <w:tab/>
        </w:r>
        <w:r w:rsidR="00F5066E">
          <w:rPr>
            <w:webHidden/>
          </w:rPr>
          <w:fldChar w:fldCharType="begin"/>
        </w:r>
        <w:r w:rsidR="00F5066E">
          <w:rPr>
            <w:webHidden/>
          </w:rPr>
          <w:instrText xml:space="preserve"> PAGEREF _Toc536088449 \h </w:instrText>
        </w:r>
        <w:r w:rsidR="00F5066E">
          <w:rPr>
            <w:webHidden/>
          </w:rPr>
        </w:r>
        <w:r w:rsidR="00F5066E">
          <w:rPr>
            <w:webHidden/>
          </w:rPr>
          <w:fldChar w:fldCharType="separate"/>
        </w:r>
        <w:r w:rsidR="00F5066E">
          <w:rPr>
            <w:webHidden/>
          </w:rPr>
          <w:t>8</w:t>
        </w:r>
        <w:r w:rsidR="00F5066E">
          <w:rPr>
            <w:webHidden/>
          </w:rPr>
          <w:fldChar w:fldCharType="end"/>
        </w:r>
      </w:hyperlink>
    </w:p>
    <w:p w:rsidR="00F5066E" w:rsidRDefault="00214BF8">
      <w:pPr>
        <w:pStyle w:val="Innehll2"/>
        <w:rPr>
          <w:rFonts w:asciiTheme="minorHAnsi" w:eastAsiaTheme="minorEastAsia" w:hAnsiTheme="minorHAnsi" w:cstheme="minorBidi"/>
          <w:sz w:val="22"/>
          <w:szCs w:val="22"/>
          <w:lang w:val="sv-FI" w:eastAsia="sv-FI"/>
        </w:rPr>
      </w:pPr>
      <w:hyperlink w:anchor="_Toc536088450" w:history="1">
        <w:r w:rsidR="00F5066E" w:rsidRPr="0008227B">
          <w:rPr>
            <w:rStyle w:val="Hyperlnk"/>
          </w:rPr>
          <w:t>L A N D S K A P S L A G om ändring av 2</w:t>
        </w:r>
        <w:r w:rsidR="00F5066E">
          <w:rPr>
            <w:rStyle w:val="Hyperlnk"/>
          </w:rPr>
          <w:t> §</w:t>
        </w:r>
        <w:r w:rsidR="00F5066E" w:rsidRPr="0008227B">
          <w:rPr>
            <w:rStyle w:val="Hyperlnk"/>
          </w:rPr>
          <w:t xml:space="preserve"> landskapslagen om tillämpning i landskapet Åland av lagen om patientens ställning och rättigheter</w:t>
        </w:r>
        <w:r w:rsidR="00F5066E">
          <w:rPr>
            <w:webHidden/>
          </w:rPr>
          <w:tab/>
        </w:r>
        <w:r w:rsidR="00F5066E">
          <w:rPr>
            <w:webHidden/>
          </w:rPr>
          <w:fldChar w:fldCharType="begin"/>
        </w:r>
        <w:r w:rsidR="00F5066E">
          <w:rPr>
            <w:webHidden/>
          </w:rPr>
          <w:instrText xml:space="preserve"> PAGEREF _Toc536088450 \h </w:instrText>
        </w:r>
        <w:r w:rsidR="00F5066E">
          <w:rPr>
            <w:webHidden/>
          </w:rPr>
        </w:r>
        <w:r w:rsidR="00F5066E">
          <w:rPr>
            <w:webHidden/>
          </w:rPr>
          <w:fldChar w:fldCharType="separate"/>
        </w:r>
        <w:r w:rsidR="00F5066E">
          <w:rPr>
            <w:webHidden/>
          </w:rPr>
          <w:t>9</w:t>
        </w:r>
        <w:r w:rsidR="00F5066E">
          <w:rPr>
            <w:webHidden/>
          </w:rPr>
          <w:fldChar w:fldCharType="end"/>
        </w:r>
      </w:hyperlink>
    </w:p>
    <w:p w:rsidR="00F5066E" w:rsidRDefault="00214BF8">
      <w:pPr>
        <w:pStyle w:val="Innehll1"/>
        <w:rPr>
          <w:rFonts w:asciiTheme="minorHAnsi" w:eastAsiaTheme="minorEastAsia" w:hAnsiTheme="minorHAnsi" w:cstheme="minorBidi"/>
          <w:sz w:val="22"/>
          <w:szCs w:val="22"/>
          <w:lang w:val="sv-FI" w:eastAsia="sv-FI"/>
        </w:rPr>
      </w:pPr>
      <w:hyperlink w:anchor="_Toc536088451" w:history="1">
        <w:r w:rsidR="00F5066E" w:rsidRPr="0008227B">
          <w:rPr>
            <w:rStyle w:val="Hyperlnk"/>
          </w:rPr>
          <w:t>Parallelltexter</w:t>
        </w:r>
        <w:r w:rsidR="00F5066E">
          <w:rPr>
            <w:webHidden/>
          </w:rPr>
          <w:tab/>
        </w:r>
        <w:r w:rsidR="00F5066E">
          <w:rPr>
            <w:webHidden/>
          </w:rPr>
          <w:fldChar w:fldCharType="begin"/>
        </w:r>
        <w:r w:rsidR="00F5066E">
          <w:rPr>
            <w:webHidden/>
          </w:rPr>
          <w:instrText xml:space="preserve"> PAGEREF _Toc536088451 \h </w:instrText>
        </w:r>
        <w:r w:rsidR="00F5066E">
          <w:rPr>
            <w:webHidden/>
          </w:rPr>
        </w:r>
        <w:r w:rsidR="00F5066E">
          <w:rPr>
            <w:webHidden/>
          </w:rPr>
          <w:fldChar w:fldCharType="separate"/>
        </w:r>
        <w:r w:rsidR="00F5066E">
          <w:rPr>
            <w:webHidden/>
          </w:rPr>
          <w:t>10</w:t>
        </w:r>
        <w:r w:rsidR="00F5066E">
          <w:rPr>
            <w:webHidden/>
          </w:rPr>
          <w:fldChar w:fldCharType="end"/>
        </w:r>
      </w:hyperlink>
    </w:p>
    <w:p w:rsidR="00AF3004" w:rsidRPr="00501DAA" w:rsidRDefault="00AF3004">
      <w:pPr>
        <w:pStyle w:val="ANormal"/>
        <w:rPr>
          <w:noProof/>
        </w:rPr>
      </w:pPr>
      <w:r w:rsidRPr="00501DAA">
        <w:rPr>
          <w:rFonts w:ascii="Verdana" w:hAnsi="Verdana"/>
          <w:noProof/>
          <w:sz w:val="16"/>
          <w:szCs w:val="36"/>
        </w:rPr>
        <w:fldChar w:fldCharType="end"/>
      </w:r>
    </w:p>
    <w:p w:rsidR="00AF3004" w:rsidRPr="00501DAA" w:rsidRDefault="00AF3004">
      <w:pPr>
        <w:pStyle w:val="ANormal"/>
      </w:pPr>
      <w:r w:rsidRPr="00501DAA">
        <w:br w:type="page"/>
      </w:r>
    </w:p>
    <w:p w:rsidR="00AF3004" w:rsidRPr="00501DAA" w:rsidRDefault="00B56DEE">
      <w:pPr>
        <w:pStyle w:val="RubrikA"/>
      </w:pPr>
      <w:bookmarkStart w:id="3" w:name="_Toc536088435"/>
      <w:r>
        <w:lastRenderedPageBreak/>
        <w:t>M</w:t>
      </w:r>
      <w:r w:rsidR="00AF3004" w:rsidRPr="00501DAA">
        <w:t>otivering</w:t>
      </w:r>
      <w:bookmarkEnd w:id="3"/>
    </w:p>
    <w:p w:rsidR="00AF3004" w:rsidRPr="00501DAA" w:rsidRDefault="00AF3004">
      <w:pPr>
        <w:pStyle w:val="Rubrikmellanrum"/>
      </w:pPr>
    </w:p>
    <w:p w:rsidR="00143D39" w:rsidRDefault="00143D39" w:rsidP="00162B3B">
      <w:pPr>
        <w:pStyle w:val="RubrikB"/>
      </w:pPr>
      <w:bookmarkStart w:id="4" w:name="_Toc536088436"/>
      <w:r>
        <w:t>1. Gällande bestämmelser</w:t>
      </w:r>
      <w:bookmarkEnd w:id="4"/>
    </w:p>
    <w:p w:rsidR="0098760C" w:rsidRDefault="0098760C" w:rsidP="0098760C">
      <w:pPr>
        <w:pStyle w:val="Rubrikmellanrum"/>
      </w:pPr>
    </w:p>
    <w:p w:rsidR="0098760C" w:rsidRPr="0098760C" w:rsidRDefault="0098760C" w:rsidP="00162B3B">
      <w:pPr>
        <w:pStyle w:val="RubrikC"/>
      </w:pPr>
      <w:bookmarkStart w:id="5" w:name="_Toc536088437"/>
      <w:r>
        <w:t>1.1 Offentlighetslag</w:t>
      </w:r>
      <w:r w:rsidR="00213010">
        <w:t>stif</w:t>
      </w:r>
      <w:r w:rsidR="00A62ABC">
        <w:t>t</w:t>
      </w:r>
      <w:r w:rsidR="00213010">
        <w:t>ningen</w:t>
      </w:r>
      <w:bookmarkEnd w:id="5"/>
    </w:p>
    <w:p w:rsidR="00143D39" w:rsidRPr="00143D39" w:rsidRDefault="00143D39" w:rsidP="00143D39">
      <w:pPr>
        <w:pStyle w:val="Rubrikmellanrum"/>
      </w:pPr>
    </w:p>
    <w:p w:rsidR="00AF3004" w:rsidRPr="00501DAA" w:rsidRDefault="009F4194" w:rsidP="009F4194">
      <w:pPr>
        <w:pStyle w:val="ANormal"/>
      </w:pPr>
      <w:r>
        <w:t xml:space="preserve">Hanteringen av </w:t>
      </w:r>
      <w:r w:rsidR="00BC1408">
        <w:t xml:space="preserve">allmänna </w:t>
      </w:r>
      <w:r>
        <w:t>handlingar som utfärdats eller upprättats av my</w:t>
      </w:r>
      <w:r>
        <w:t>n</w:t>
      </w:r>
      <w:r>
        <w:t>dighet eller som ingivits eller insänts till myndighet regleras genom bl.a. bestämmelserna i landskapslagen (1977:72) om allmänna handlingars o</w:t>
      </w:r>
      <w:r>
        <w:t>f</w:t>
      </w:r>
      <w:r>
        <w:t xml:space="preserve">fentlighet </w:t>
      </w:r>
      <w:r>
        <w:rPr>
          <w:i/>
        </w:rPr>
        <w:t>(offentlighetslagen)</w:t>
      </w:r>
      <w:r>
        <w:t>. Enligt 1</w:t>
      </w:r>
      <w:r w:rsidR="00F5066E">
        <w:t> §</w:t>
      </w:r>
      <w:r>
        <w:t xml:space="preserve"> 2</w:t>
      </w:r>
      <w:r w:rsidR="00F5066E">
        <w:t> mom.</w:t>
      </w:r>
      <w:r>
        <w:t xml:space="preserve"> </w:t>
      </w:r>
      <w:r w:rsidR="0098760C">
        <w:t xml:space="preserve">i offentlighetslagen </w:t>
      </w:r>
      <w:r>
        <w:t>fö</w:t>
      </w:r>
      <w:r>
        <w:t>r</w:t>
      </w:r>
      <w:r>
        <w:t>stås med handling varje framställning i skrift eller bild samt upptagning som kan läsas eller avlyssnas med tekniskt hjälpmedel, ävensom uppta</w:t>
      </w:r>
      <w:r>
        <w:t>g</w:t>
      </w:r>
      <w:r>
        <w:t>ning för automatisk databehandling när myndigheten kan överföra uppta</w:t>
      </w:r>
      <w:r>
        <w:t>g</w:t>
      </w:r>
      <w:r>
        <w:t>ningen till läsbar form.</w:t>
      </w:r>
    </w:p>
    <w:p w:rsidR="00AF3004" w:rsidRDefault="00AF3004">
      <w:pPr>
        <w:pStyle w:val="ANormal"/>
      </w:pPr>
    </w:p>
    <w:p w:rsidR="00152AE1" w:rsidRDefault="00152AE1" w:rsidP="00162B3B">
      <w:pPr>
        <w:pStyle w:val="RubrikC"/>
      </w:pPr>
      <w:bookmarkStart w:id="6" w:name="_Toc536088438"/>
      <w:r>
        <w:t>1.2 Patientlag</w:t>
      </w:r>
      <w:r w:rsidR="00213010">
        <w:t>stiftningen</w:t>
      </w:r>
      <w:bookmarkEnd w:id="6"/>
    </w:p>
    <w:p w:rsidR="00152AE1" w:rsidRDefault="00152AE1" w:rsidP="00152AE1">
      <w:pPr>
        <w:pStyle w:val="Rubrikmellanrum"/>
      </w:pPr>
    </w:p>
    <w:p w:rsidR="00152AE1" w:rsidRPr="007D7203" w:rsidRDefault="003F07DB" w:rsidP="00152AE1">
      <w:pPr>
        <w:pStyle w:val="ANormal"/>
      </w:pPr>
      <w:r>
        <w:t xml:space="preserve">Patienträttigheter regleras på Åland genom landskapslagen </w:t>
      </w:r>
      <w:r w:rsidR="002237FA">
        <w:t>(</w:t>
      </w:r>
      <w:r w:rsidR="000A0FA1">
        <w:t xml:space="preserve">1993:61) </w:t>
      </w:r>
      <w:r>
        <w:t xml:space="preserve">om </w:t>
      </w:r>
      <w:r w:rsidR="000A0FA1">
        <w:t>tillämpning i landskapet Åland av lagen om patientens ställning och rätti</w:t>
      </w:r>
      <w:r w:rsidR="000A0FA1">
        <w:t>g</w:t>
      </w:r>
      <w:r w:rsidR="000A0FA1">
        <w:t>heter</w:t>
      </w:r>
      <w:r w:rsidR="00FE59C2">
        <w:t xml:space="preserve"> </w:t>
      </w:r>
      <w:r w:rsidR="000E375F">
        <w:rPr>
          <w:i/>
        </w:rPr>
        <w:t>(blankettlagen).</w:t>
      </w:r>
      <w:r w:rsidR="007D7203">
        <w:rPr>
          <w:i/>
        </w:rPr>
        <w:t xml:space="preserve"> </w:t>
      </w:r>
      <w:r w:rsidR="007D7203">
        <w:t>Genom blankettlagen har</w:t>
      </w:r>
      <w:r w:rsidR="0012631F">
        <w:t xml:space="preserve"> med vissa undantag</w:t>
      </w:r>
      <w:r w:rsidR="007D7203">
        <w:t xml:space="preserve"> lagen om patientens ställning och rättigheter</w:t>
      </w:r>
      <w:r w:rsidR="002B4BD0">
        <w:t xml:space="preserve"> (FFS 785</w:t>
      </w:r>
      <w:r w:rsidR="00707B93">
        <w:t>/</w:t>
      </w:r>
      <w:r w:rsidR="002B4BD0">
        <w:t xml:space="preserve">1992, </w:t>
      </w:r>
      <w:r w:rsidR="002B4BD0">
        <w:rPr>
          <w:i/>
        </w:rPr>
        <w:t>rikets patientlag</w:t>
      </w:r>
      <w:r w:rsidR="002B4BD0">
        <w:t>) gjorts tillämplig på Åland.</w:t>
      </w:r>
    </w:p>
    <w:p w:rsidR="00152AE1" w:rsidRDefault="00152AE1" w:rsidP="00152AE1">
      <w:pPr>
        <w:pStyle w:val="ANormal"/>
      </w:pPr>
    </w:p>
    <w:p w:rsidR="00F36364" w:rsidRDefault="009B5011" w:rsidP="009B5011">
      <w:pPr>
        <w:pStyle w:val="RubrikB"/>
      </w:pPr>
      <w:bookmarkStart w:id="7" w:name="_Toc536088439"/>
      <w:r>
        <w:t xml:space="preserve">2. </w:t>
      </w:r>
      <w:r w:rsidR="00451954">
        <w:t>N</w:t>
      </w:r>
      <w:r w:rsidR="00F070DC">
        <w:t>uläge</w:t>
      </w:r>
      <w:r w:rsidR="00B84939">
        <w:t>s</w:t>
      </w:r>
      <w:r w:rsidR="00F070DC">
        <w:t>bedömning</w:t>
      </w:r>
      <w:bookmarkEnd w:id="7"/>
    </w:p>
    <w:p w:rsidR="00FE0330" w:rsidRPr="00FE0330" w:rsidRDefault="00FE0330" w:rsidP="00FE0330">
      <w:pPr>
        <w:pStyle w:val="Rubrikmellanrum"/>
      </w:pPr>
    </w:p>
    <w:p w:rsidR="00F070DC" w:rsidRDefault="00627D5E" w:rsidP="00A16DF3">
      <w:pPr>
        <w:pStyle w:val="RubrikC"/>
      </w:pPr>
      <w:bookmarkStart w:id="8" w:name="_Toc536088440"/>
      <w:r>
        <w:t>2.1 Behovet av lagändringar i offentlighetslagen</w:t>
      </w:r>
      <w:bookmarkEnd w:id="8"/>
    </w:p>
    <w:p w:rsidR="004176CB" w:rsidRDefault="004176CB" w:rsidP="004176CB">
      <w:pPr>
        <w:pStyle w:val="Rubrikmellanrum"/>
      </w:pPr>
    </w:p>
    <w:p w:rsidR="004176CB" w:rsidRPr="004176CB" w:rsidRDefault="004176CB" w:rsidP="004176CB">
      <w:pPr>
        <w:pStyle w:val="RubrikD"/>
      </w:pPr>
      <w:r>
        <w:t>2.1.1 Sekretesstider</w:t>
      </w:r>
    </w:p>
    <w:p w:rsidR="00627D5E" w:rsidRDefault="00627D5E" w:rsidP="00627D5E">
      <w:pPr>
        <w:pStyle w:val="Rubrikmellanrum"/>
      </w:pPr>
    </w:p>
    <w:p w:rsidR="00951C2F" w:rsidRPr="00A367D8" w:rsidRDefault="009F087B" w:rsidP="00951C2F">
      <w:pPr>
        <w:pStyle w:val="ANormal"/>
      </w:pPr>
      <w:r>
        <w:t>I o</w:t>
      </w:r>
      <w:r w:rsidR="00ED0612">
        <w:t>f</w:t>
      </w:r>
      <w:r>
        <w:t xml:space="preserve">fentlighetslagens </w:t>
      </w:r>
      <w:r w:rsidR="00AE1629">
        <w:t>17</w:t>
      </w:r>
      <w:r w:rsidR="00F5066E">
        <w:t> §</w:t>
      </w:r>
      <w:r w:rsidR="00AE1629">
        <w:t xml:space="preserve"> finns bestämmelser om hur länge vissa typer av allmänna handlingar ska vara hemliga räknat från </w:t>
      </w:r>
      <w:r w:rsidR="00D42008">
        <w:t>särskilda i paragrafen a</w:t>
      </w:r>
      <w:r w:rsidR="00D42008">
        <w:t>n</w:t>
      </w:r>
      <w:r w:rsidR="00D42008">
        <w:t xml:space="preserve">givna </w:t>
      </w:r>
      <w:r w:rsidR="00AE1629">
        <w:t>tidpunkte</w:t>
      </w:r>
      <w:r w:rsidR="0081352C">
        <w:t>r</w:t>
      </w:r>
      <w:r w:rsidR="00AE1629">
        <w:t>.</w:t>
      </w:r>
      <w:r w:rsidR="00ED0612">
        <w:t xml:space="preserve"> </w:t>
      </w:r>
      <w:r w:rsidR="000D2E5F" w:rsidRPr="00A367D8">
        <w:t>I</w:t>
      </w:r>
      <w:r w:rsidR="003B1A33" w:rsidRPr="00A367D8">
        <w:t xml:space="preserve"> 17</w:t>
      </w:r>
      <w:r w:rsidR="00F5066E">
        <w:t> §</w:t>
      </w:r>
      <w:r w:rsidR="003B1A33" w:rsidRPr="00A367D8">
        <w:t xml:space="preserve"> 1</w:t>
      </w:r>
      <w:r w:rsidR="00F5066E">
        <w:t> mom.</w:t>
      </w:r>
      <w:r w:rsidR="003B1A33" w:rsidRPr="00A367D8">
        <w:t xml:space="preserve"> a</w:t>
      </w:r>
      <w:r w:rsidR="00F5066E">
        <w:t> punkt</w:t>
      </w:r>
      <w:r w:rsidR="003B1A33" w:rsidRPr="00A367D8">
        <w:t xml:space="preserve">en </w:t>
      </w:r>
      <w:r w:rsidR="000D2E5F" w:rsidRPr="00A367D8">
        <w:t>föreskrivs</w:t>
      </w:r>
      <w:r w:rsidR="003B1A33" w:rsidRPr="00A367D8">
        <w:t xml:space="preserve"> att en hemlig handling blir offentlig 20 år efter den persons död som handlingen angår. </w:t>
      </w:r>
      <w:r w:rsidR="00081CE1">
        <w:t>I</w:t>
      </w:r>
      <w:r w:rsidR="00C4117B">
        <w:t xml:space="preserve"> </w:t>
      </w:r>
      <w:r w:rsidR="00951C2F" w:rsidRPr="00A367D8">
        <w:t>17</w:t>
      </w:r>
      <w:r w:rsidR="00F5066E">
        <w:t> §</w:t>
      </w:r>
      <w:r w:rsidR="00951C2F" w:rsidRPr="00A367D8">
        <w:t xml:space="preserve"> 2</w:t>
      </w:r>
      <w:r w:rsidR="00F5066E">
        <w:t> mom.</w:t>
      </w:r>
      <w:r w:rsidR="00951C2F" w:rsidRPr="00A367D8">
        <w:t xml:space="preserve"> föreskrivs att en hemlig handling blir offentlig 50 år efter handlin</w:t>
      </w:r>
      <w:r w:rsidR="00951C2F" w:rsidRPr="00A367D8">
        <w:t>g</w:t>
      </w:r>
      <w:r w:rsidR="00951C2F" w:rsidRPr="00A367D8">
        <w:t>ens datering eller efter att den kommit in till en myndighet, ifall man inte vet när personen har avlidit.</w:t>
      </w:r>
    </w:p>
    <w:p w:rsidR="00E344D1" w:rsidRDefault="00E8469D" w:rsidP="003B1A33">
      <w:pPr>
        <w:pStyle w:val="ANormal"/>
        <w:rPr>
          <w:color w:val="000000" w:themeColor="text1"/>
        </w:rPr>
      </w:pPr>
      <w:r w:rsidRPr="00A367D8">
        <w:tab/>
        <w:t>Det finns ett intresse av att myndigheternas uppgifter om avlidna pers</w:t>
      </w:r>
      <w:r w:rsidRPr="00A367D8">
        <w:t>o</w:t>
      </w:r>
      <w:r w:rsidRPr="00A367D8">
        <w:t>ner ska vara tillgängliga för allmänheten. Med utgångspunkt från offentli</w:t>
      </w:r>
      <w:r w:rsidRPr="00A367D8">
        <w:t>g</w:t>
      </w:r>
      <w:r w:rsidRPr="00A367D8">
        <w:t>hetsprincipen är det viktig att tillgänglighetskravet</w:t>
      </w:r>
      <w:r>
        <w:rPr>
          <w:color w:val="000000" w:themeColor="text1"/>
        </w:rPr>
        <w:t xml:space="preserve"> är uppfyllt. Samtidigt är det viktigt att värna om den enskildes integritet, </w:t>
      </w:r>
      <w:r w:rsidR="004C32E4">
        <w:rPr>
          <w:color w:val="000000" w:themeColor="text1"/>
        </w:rPr>
        <w:t>även då det handlar om att vederbörande avlidit.</w:t>
      </w:r>
      <w:r>
        <w:rPr>
          <w:color w:val="000000" w:themeColor="text1"/>
        </w:rPr>
        <w:t xml:space="preserve"> Landskapsregeringen anser att </w:t>
      </w:r>
      <w:r w:rsidR="0071434B">
        <w:rPr>
          <w:color w:val="000000" w:themeColor="text1"/>
        </w:rPr>
        <w:t>skyddet</w:t>
      </w:r>
      <w:r>
        <w:rPr>
          <w:color w:val="000000" w:themeColor="text1"/>
        </w:rPr>
        <w:t xml:space="preserve"> av avlidnas </w:t>
      </w:r>
      <w:r w:rsidR="009D0297">
        <w:rPr>
          <w:color w:val="000000" w:themeColor="text1"/>
        </w:rPr>
        <w:t>i</w:t>
      </w:r>
      <w:r w:rsidR="009D0297">
        <w:rPr>
          <w:color w:val="000000" w:themeColor="text1"/>
        </w:rPr>
        <w:t>n</w:t>
      </w:r>
      <w:r w:rsidR="009D0297">
        <w:rPr>
          <w:color w:val="000000" w:themeColor="text1"/>
        </w:rPr>
        <w:t>tegritet ska stärkas.</w:t>
      </w:r>
      <w:r w:rsidR="002353E6">
        <w:rPr>
          <w:color w:val="000000" w:themeColor="text1"/>
        </w:rPr>
        <w:t xml:space="preserve"> Sett ur det åländska småskalighetsperspektivet är </w:t>
      </w:r>
      <w:r w:rsidR="00A97209">
        <w:rPr>
          <w:color w:val="000000" w:themeColor="text1"/>
        </w:rPr>
        <w:t>sky</w:t>
      </w:r>
      <w:r w:rsidR="00A97209">
        <w:rPr>
          <w:color w:val="000000" w:themeColor="text1"/>
        </w:rPr>
        <w:t>d</w:t>
      </w:r>
      <w:r w:rsidR="00A97209">
        <w:rPr>
          <w:color w:val="000000" w:themeColor="text1"/>
        </w:rPr>
        <w:t xml:space="preserve">det för </w:t>
      </w:r>
      <w:r w:rsidR="000645F3">
        <w:rPr>
          <w:color w:val="000000" w:themeColor="text1"/>
        </w:rPr>
        <w:t xml:space="preserve">den </w:t>
      </w:r>
      <w:r w:rsidR="00A97209">
        <w:rPr>
          <w:color w:val="000000" w:themeColor="text1"/>
        </w:rPr>
        <w:t>avlidn</w:t>
      </w:r>
      <w:r w:rsidR="000645F3">
        <w:rPr>
          <w:color w:val="000000" w:themeColor="text1"/>
        </w:rPr>
        <w:t>e</w:t>
      </w:r>
      <w:r w:rsidR="00A97209">
        <w:rPr>
          <w:color w:val="000000" w:themeColor="text1"/>
        </w:rPr>
        <w:t>s personliga integritet</w:t>
      </w:r>
      <w:r w:rsidR="002353E6">
        <w:rPr>
          <w:color w:val="000000" w:themeColor="text1"/>
        </w:rPr>
        <w:t xml:space="preserve"> </w:t>
      </w:r>
      <w:r w:rsidR="000645F3">
        <w:rPr>
          <w:color w:val="000000" w:themeColor="text1"/>
        </w:rPr>
        <w:t xml:space="preserve">och de känsliga uppgifter som kan hänföras till personen ifråga </w:t>
      </w:r>
      <w:r w:rsidR="002353E6">
        <w:rPr>
          <w:color w:val="000000" w:themeColor="text1"/>
        </w:rPr>
        <w:t xml:space="preserve">inte tillräckligt </w:t>
      </w:r>
      <w:r w:rsidR="00A97209">
        <w:rPr>
          <w:color w:val="000000" w:themeColor="text1"/>
        </w:rPr>
        <w:t xml:space="preserve">starkt </w:t>
      </w:r>
      <w:r w:rsidR="002353E6">
        <w:rPr>
          <w:color w:val="000000" w:themeColor="text1"/>
        </w:rPr>
        <w:t>med de ovan angivna tidsfristerna för hemlighållande av handlingar som hänför sig till enskilda personer.</w:t>
      </w:r>
    </w:p>
    <w:p w:rsidR="002000A2" w:rsidRPr="00E8469D" w:rsidRDefault="00E344D1" w:rsidP="003B1A33">
      <w:pPr>
        <w:pStyle w:val="ANormal"/>
        <w:rPr>
          <w:color w:val="000000" w:themeColor="text1"/>
        </w:rPr>
      </w:pPr>
      <w:r>
        <w:rPr>
          <w:color w:val="000000" w:themeColor="text1"/>
        </w:rPr>
        <w:tab/>
      </w:r>
      <w:r w:rsidR="00A97209">
        <w:rPr>
          <w:color w:val="000000" w:themeColor="text1"/>
        </w:rPr>
        <w:t>Vid</w:t>
      </w:r>
      <w:r w:rsidR="00344AA0">
        <w:rPr>
          <w:color w:val="000000" w:themeColor="text1"/>
        </w:rPr>
        <w:t xml:space="preserve"> en jämförelse med </w:t>
      </w:r>
      <w:r w:rsidR="00A97209">
        <w:rPr>
          <w:color w:val="000000" w:themeColor="text1"/>
        </w:rPr>
        <w:t>förhållandena i S</w:t>
      </w:r>
      <w:r w:rsidR="00344AA0">
        <w:rPr>
          <w:color w:val="000000" w:themeColor="text1"/>
        </w:rPr>
        <w:t xml:space="preserve">verige </w:t>
      </w:r>
      <w:r w:rsidR="00A97209">
        <w:rPr>
          <w:color w:val="000000" w:themeColor="text1"/>
        </w:rPr>
        <w:t xml:space="preserve">kan konstateras att </w:t>
      </w:r>
      <w:r w:rsidR="002509E8">
        <w:rPr>
          <w:color w:val="000000" w:themeColor="text1"/>
        </w:rPr>
        <w:t>sekr</w:t>
      </w:r>
      <w:r w:rsidR="002509E8">
        <w:rPr>
          <w:color w:val="000000" w:themeColor="text1"/>
        </w:rPr>
        <w:t>e</w:t>
      </w:r>
      <w:r w:rsidR="002509E8">
        <w:rPr>
          <w:color w:val="000000" w:themeColor="text1"/>
        </w:rPr>
        <w:t xml:space="preserve">tesstiderna avseende </w:t>
      </w:r>
      <w:r w:rsidR="001A7291">
        <w:rPr>
          <w:color w:val="000000" w:themeColor="text1"/>
        </w:rPr>
        <w:t>allmänna handlingar varierar mellan 2 till 70 år ber</w:t>
      </w:r>
      <w:r w:rsidR="001A7291">
        <w:rPr>
          <w:color w:val="000000" w:themeColor="text1"/>
        </w:rPr>
        <w:t>o</w:t>
      </w:r>
      <w:r w:rsidR="001A7291">
        <w:rPr>
          <w:color w:val="000000" w:themeColor="text1"/>
        </w:rPr>
        <w:t>ende på vilka handlingar det är fråga om</w:t>
      </w:r>
      <w:r w:rsidR="00485119">
        <w:rPr>
          <w:color w:val="000000" w:themeColor="text1"/>
        </w:rPr>
        <w:t xml:space="preserve">, </w:t>
      </w:r>
      <w:r w:rsidR="00956BC0">
        <w:rPr>
          <w:color w:val="000000" w:themeColor="text1"/>
        </w:rPr>
        <w:t>inom socialvården</w:t>
      </w:r>
      <w:r w:rsidR="007A5AB6">
        <w:rPr>
          <w:color w:val="000000" w:themeColor="text1"/>
        </w:rPr>
        <w:t xml:space="preserve"> samt hälso- och sjukvården</w:t>
      </w:r>
      <w:r w:rsidR="00956BC0">
        <w:rPr>
          <w:color w:val="000000" w:themeColor="text1"/>
        </w:rPr>
        <w:t xml:space="preserve"> sträcker sig nämnda tid upp till 70 år.</w:t>
      </w:r>
      <w:r w:rsidR="00EF5583">
        <w:rPr>
          <w:color w:val="000000" w:themeColor="text1"/>
        </w:rPr>
        <w:t xml:space="preserve"> Sekretesstiderna </w:t>
      </w:r>
      <w:r w:rsidR="007B2C17">
        <w:rPr>
          <w:color w:val="000000" w:themeColor="text1"/>
        </w:rPr>
        <w:t>b</w:t>
      </w:r>
      <w:r w:rsidR="007B2C17">
        <w:rPr>
          <w:color w:val="000000" w:themeColor="text1"/>
        </w:rPr>
        <w:t>e</w:t>
      </w:r>
      <w:r w:rsidR="007B2C17">
        <w:rPr>
          <w:color w:val="000000" w:themeColor="text1"/>
        </w:rPr>
        <w:t>räknas utgående ifrån tidpunkten för handlingens upprättande.</w:t>
      </w:r>
      <w:r w:rsidR="0055410A">
        <w:rPr>
          <w:color w:val="000000" w:themeColor="text1"/>
        </w:rPr>
        <w:t xml:space="preserve"> Vad gäller förhållandena i riket så gäller att sekretesstide</w:t>
      </w:r>
      <w:r w:rsidR="00590883">
        <w:rPr>
          <w:color w:val="000000" w:themeColor="text1"/>
        </w:rPr>
        <w:t>n</w:t>
      </w:r>
      <w:r w:rsidR="0055410A">
        <w:rPr>
          <w:color w:val="000000" w:themeColor="text1"/>
        </w:rPr>
        <w:t xml:space="preserve"> är 50 </w:t>
      </w:r>
      <w:r w:rsidR="00590883">
        <w:rPr>
          <w:color w:val="000000" w:themeColor="text1"/>
        </w:rPr>
        <w:t>år i sådana fall mo</w:t>
      </w:r>
      <w:r w:rsidR="00590883">
        <w:rPr>
          <w:color w:val="000000" w:themeColor="text1"/>
        </w:rPr>
        <w:t>t</w:t>
      </w:r>
      <w:r w:rsidR="00590883">
        <w:rPr>
          <w:color w:val="000000" w:themeColor="text1"/>
        </w:rPr>
        <w:t xml:space="preserve">svarande de som avses i </w:t>
      </w:r>
      <w:r w:rsidR="00590883" w:rsidRPr="00A367D8">
        <w:t>17</w:t>
      </w:r>
      <w:r w:rsidR="00F5066E">
        <w:t> §</w:t>
      </w:r>
      <w:r w:rsidR="00590883" w:rsidRPr="00A367D8">
        <w:t xml:space="preserve"> 1</w:t>
      </w:r>
      <w:r w:rsidR="00F5066E">
        <w:t> mom.</w:t>
      </w:r>
      <w:r w:rsidR="00590883" w:rsidRPr="00A367D8">
        <w:t xml:space="preserve"> a</w:t>
      </w:r>
      <w:r w:rsidR="00F5066E">
        <w:t> punkt</w:t>
      </w:r>
      <w:r w:rsidR="00590883" w:rsidRPr="00A367D8">
        <w:t xml:space="preserve">en </w:t>
      </w:r>
      <w:r w:rsidR="00590883">
        <w:t xml:space="preserve">ovan samt </w:t>
      </w:r>
      <w:r w:rsidR="0055410A">
        <w:rPr>
          <w:color w:val="000000" w:themeColor="text1"/>
        </w:rPr>
        <w:t>100 år</w:t>
      </w:r>
      <w:r w:rsidR="00590883">
        <w:rPr>
          <w:color w:val="000000" w:themeColor="text1"/>
        </w:rPr>
        <w:t xml:space="preserve"> i sådana fall motsvarande de som avses i </w:t>
      </w:r>
      <w:r w:rsidR="00590883" w:rsidRPr="00A367D8">
        <w:t>17</w:t>
      </w:r>
      <w:r w:rsidR="00F5066E">
        <w:t> §</w:t>
      </w:r>
      <w:r w:rsidR="00590883" w:rsidRPr="00A367D8">
        <w:t xml:space="preserve"> </w:t>
      </w:r>
      <w:r w:rsidR="00C92A7F">
        <w:t>2</w:t>
      </w:r>
      <w:r w:rsidR="00F5066E">
        <w:t> mom.</w:t>
      </w:r>
      <w:r w:rsidR="00C92A7F">
        <w:t xml:space="preserve"> </w:t>
      </w:r>
      <w:r w:rsidR="00590883">
        <w:t>ovan</w:t>
      </w:r>
      <w:r w:rsidR="0055410A">
        <w:rPr>
          <w:color w:val="000000" w:themeColor="text1"/>
        </w:rPr>
        <w:t>.</w:t>
      </w:r>
    </w:p>
    <w:p w:rsidR="003271DB" w:rsidRDefault="00EE6B8F" w:rsidP="003271DB">
      <w:pPr>
        <w:pStyle w:val="ANormal"/>
      </w:pPr>
      <w:r>
        <w:tab/>
        <w:t>Det är viktigt att värna om den personliga integriteten</w:t>
      </w:r>
      <w:r w:rsidR="00CD0D36">
        <w:t>.</w:t>
      </w:r>
      <w:r>
        <w:t xml:space="preserve"> </w:t>
      </w:r>
      <w:r w:rsidR="00550FA3">
        <w:t>S</w:t>
      </w:r>
      <w:r>
        <w:t xml:space="preserve">amtidigt </w:t>
      </w:r>
      <w:r w:rsidR="00CD0D36">
        <w:t xml:space="preserve">är </w:t>
      </w:r>
      <w:r w:rsidR="00550FA3">
        <w:t xml:space="preserve">det viktigt att iaktta </w:t>
      </w:r>
      <w:r>
        <w:t>pri</w:t>
      </w:r>
      <w:r w:rsidR="00621211">
        <w:t>n</w:t>
      </w:r>
      <w:r>
        <w:t xml:space="preserve">cipen om att allmänna </w:t>
      </w:r>
      <w:r w:rsidR="00621211">
        <w:t>handlingar inte ska vara hemliga annat i den utsträckning det kan anses nödvändigt och denna bedömning har stöd i noggrant specificerande lagbestämmelser som anger kriterierna för rätten att hemligstämpla allmänna handlingar. För närvarande</w:t>
      </w:r>
      <w:r w:rsidR="003271DB">
        <w:t xml:space="preserve"> </w:t>
      </w:r>
      <w:r w:rsidR="00621211">
        <w:t>äventyras</w:t>
      </w:r>
      <w:r w:rsidR="003271DB">
        <w:t xml:space="preserve"> </w:t>
      </w:r>
      <w:r w:rsidR="003271DB">
        <w:lastRenderedPageBreak/>
        <w:t xml:space="preserve">personliga integriteten, eftersom handlingarna </w:t>
      </w:r>
      <w:r w:rsidR="00803808">
        <w:t xml:space="preserve">som avses i sammanhanget </w:t>
      </w:r>
      <w:r w:rsidR="003271DB">
        <w:t xml:space="preserve">är </w:t>
      </w:r>
      <w:r w:rsidR="006E599C">
        <w:t>hemliga</w:t>
      </w:r>
      <w:r w:rsidR="003271DB">
        <w:t xml:space="preserve"> så kort tid.</w:t>
      </w:r>
    </w:p>
    <w:p w:rsidR="007B699A" w:rsidRDefault="008546CF" w:rsidP="00611506">
      <w:pPr>
        <w:pStyle w:val="ANormal"/>
      </w:pPr>
      <w:r>
        <w:tab/>
      </w:r>
      <w:r w:rsidR="00621211">
        <w:t xml:space="preserve">En tidsfrist på </w:t>
      </w:r>
      <w:r w:rsidR="00611506">
        <w:t xml:space="preserve">20 </w:t>
      </w:r>
      <w:r w:rsidR="00621211">
        <w:t xml:space="preserve">respektive 50 </w:t>
      </w:r>
      <w:r w:rsidR="00611506">
        <w:t xml:space="preserve">år är en mycket kort tid för eventuellt känslig information. </w:t>
      </w:r>
      <w:r w:rsidR="00621211">
        <w:t>Allmän kännedom om detta slags</w:t>
      </w:r>
      <w:r w:rsidR="00611506">
        <w:t xml:space="preserve"> information kan skapa obehag för närstående personer till den avlidne</w:t>
      </w:r>
      <w:r w:rsidR="004176CB">
        <w:t>. Särskilt i ett mindre samhälle som det åländska kan konsekvenserna bli ytterst</w:t>
      </w:r>
      <w:r w:rsidR="00CE6CB2">
        <w:t xml:space="preserve"> </w:t>
      </w:r>
      <w:r w:rsidR="00621211">
        <w:t>kännbar</w:t>
      </w:r>
      <w:r w:rsidR="004176CB">
        <w:t>a</w:t>
      </w:r>
      <w:r w:rsidR="00621211">
        <w:t xml:space="preserve"> och upplevas som synnerligen kränkande för berörda personer</w:t>
      </w:r>
      <w:r w:rsidR="004176CB">
        <w:t>.</w:t>
      </w:r>
    </w:p>
    <w:p w:rsidR="004176CB" w:rsidRDefault="004176CB" w:rsidP="00611506">
      <w:pPr>
        <w:pStyle w:val="ANormal"/>
      </w:pPr>
    </w:p>
    <w:p w:rsidR="004176CB" w:rsidRDefault="004176CB" w:rsidP="004176CB">
      <w:pPr>
        <w:pStyle w:val="RubrikD"/>
      </w:pPr>
      <w:r>
        <w:t xml:space="preserve">2.1.2 Övriga </w:t>
      </w:r>
      <w:r w:rsidR="00C31761">
        <w:t>omständigheter</w:t>
      </w:r>
    </w:p>
    <w:p w:rsidR="004176CB" w:rsidRPr="004176CB" w:rsidRDefault="004176CB" w:rsidP="004176CB">
      <w:pPr>
        <w:pStyle w:val="Rubrikmellanrum"/>
      </w:pPr>
    </w:p>
    <w:p w:rsidR="003E446B" w:rsidRPr="002F7A53" w:rsidRDefault="003E446B" w:rsidP="009D62E4">
      <w:pPr>
        <w:pStyle w:val="ANormal"/>
        <w:rPr>
          <w:color w:val="000000" w:themeColor="text1"/>
        </w:rPr>
      </w:pPr>
      <w:r w:rsidRPr="002F7A53">
        <w:rPr>
          <w:color w:val="000000" w:themeColor="text1"/>
        </w:rPr>
        <w:t>Utöver vad som beskrivits ovan använder man sig i offentlighetslagens 17</w:t>
      </w:r>
      <w:r w:rsidR="00F5066E">
        <w:rPr>
          <w:color w:val="000000" w:themeColor="text1"/>
        </w:rPr>
        <w:t> §</w:t>
      </w:r>
      <w:r w:rsidRPr="002F7A53">
        <w:rPr>
          <w:color w:val="000000" w:themeColor="text1"/>
        </w:rPr>
        <w:t xml:space="preserve"> av formuleringens ”persons död”. Detta begrepp är </w:t>
      </w:r>
      <w:r w:rsidR="002F7A53" w:rsidRPr="002F7A53">
        <w:rPr>
          <w:color w:val="000000" w:themeColor="text1"/>
        </w:rPr>
        <w:t>omodernt</w:t>
      </w:r>
      <w:r w:rsidRPr="002F7A53">
        <w:rPr>
          <w:color w:val="000000" w:themeColor="text1"/>
        </w:rPr>
        <w:t xml:space="preserve"> och bör ersättas av en </w:t>
      </w:r>
      <w:r w:rsidR="002F7A53" w:rsidRPr="002F7A53">
        <w:rPr>
          <w:color w:val="000000" w:themeColor="text1"/>
        </w:rPr>
        <w:t>tidsenligare</w:t>
      </w:r>
      <w:r w:rsidRPr="002F7A53">
        <w:rPr>
          <w:color w:val="000000" w:themeColor="text1"/>
        </w:rPr>
        <w:t xml:space="preserve"> formulering.</w:t>
      </w:r>
    </w:p>
    <w:p w:rsidR="004176CB" w:rsidRDefault="003E446B" w:rsidP="009D62E4">
      <w:pPr>
        <w:pStyle w:val="ANormal"/>
      </w:pPr>
      <w:r>
        <w:tab/>
      </w:r>
      <w:r w:rsidR="004176CB">
        <w:t>I 9</w:t>
      </w:r>
      <w:r w:rsidR="00F5066E">
        <w:t> §</w:t>
      </w:r>
      <w:r w:rsidR="004176CB">
        <w:t xml:space="preserve"> 1</w:t>
      </w:r>
      <w:r w:rsidR="00F5066E">
        <w:t> mom.</w:t>
      </w:r>
      <w:r w:rsidR="004176CB">
        <w:t xml:space="preserve"> e</w:t>
      </w:r>
      <w:r w:rsidR="00F5066E">
        <w:t> punkt</w:t>
      </w:r>
      <w:r w:rsidR="004176CB">
        <w:t>en i offentlighetslagen används en ålderdomlig term, vårdväsendet. Denna term bör ersättas med en modernare motsvari</w:t>
      </w:r>
      <w:r w:rsidR="004176CB">
        <w:t>g</w:t>
      </w:r>
      <w:r w:rsidR="004176CB">
        <w:t>het som bättre beskriver det som termen ifråga syftar på.</w:t>
      </w:r>
    </w:p>
    <w:p w:rsidR="009D62E4" w:rsidRDefault="009D62E4" w:rsidP="00152AE1">
      <w:pPr>
        <w:pStyle w:val="ANormal"/>
      </w:pPr>
    </w:p>
    <w:p w:rsidR="00FE0330" w:rsidRDefault="00627D5E" w:rsidP="00627D5E">
      <w:pPr>
        <w:pStyle w:val="RubrikC"/>
      </w:pPr>
      <w:bookmarkStart w:id="9" w:name="_Toc536088441"/>
      <w:r>
        <w:t xml:space="preserve">2.2 Behovet av </w:t>
      </w:r>
      <w:r w:rsidR="008B141F">
        <w:t xml:space="preserve">lagtekniska </w:t>
      </w:r>
      <w:r>
        <w:t xml:space="preserve">ändringar i </w:t>
      </w:r>
      <w:r w:rsidR="00F17233">
        <w:t>blankettlagen</w:t>
      </w:r>
      <w:bookmarkEnd w:id="9"/>
    </w:p>
    <w:p w:rsidR="00627D5E" w:rsidRDefault="00627D5E" w:rsidP="00627D5E">
      <w:pPr>
        <w:pStyle w:val="Rubrikmellanrum"/>
      </w:pPr>
    </w:p>
    <w:p w:rsidR="00A95D30" w:rsidRDefault="008E0436" w:rsidP="00A95D30">
      <w:pPr>
        <w:pStyle w:val="ANormal"/>
      </w:pPr>
      <w:r>
        <w:t xml:space="preserve">Blankettlagen innehåller </w:t>
      </w:r>
      <w:r w:rsidR="00DF240B">
        <w:t xml:space="preserve">en </w:t>
      </w:r>
      <w:r w:rsidR="008B141F">
        <w:t xml:space="preserve">hänvisning till lagrum i rikets patientlag som </w:t>
      </w:r>
      <w:r w:rsidR="002F1B23">
        <w:t xml:space="preserve">leder till en felaktig </w:t>
      </w:r>
      <w:r w:rsidR="008B141F">
        <w:t>tillämpning</w:t>
      </w:r>
      <w:r w:rsidR="002F1B23">
        <w:t xml:space="preserve"> av rikets patientlag</w:t>
      </w:r>
      <w:r w:rsidR="00DF240B">
        <w:t xml:space="preserve"> på Åland</w:t>
      </w:r>
      <w:r w:rsidR="008F36E2">
        <w:t xml:space="preserve"> vilket motiv</w:t>
      </w:r>
      <w:r w:rsidR="008F36E2">
        <w:t>e</w:t>
      </w:r>
      <w:r w:rsidR="008F36E2">
        <w:t>rar vissa korrigeringar i lagen ifråga</w:t>
      </w:r>
      <w:r w:rsidR="00DF240B">
        <w:t>.</w:t>
      </w:r>
      <w:r w:rsidR="008B141F">
        <w:t xml:space="preserve"> </w:t>
      </w:r>
      <w:r w:rsidR="00CF6F22">
        <w:t>Korrigering</w:t>
      </w:r>
      <w:r w:rsidR="0012449F">
        <w:t>ar</w:t>
      </w:r>
      <w:r w:rsidR="00CF6F22">
        <w:t xml:space="preserve"> av </w:t>
      </w:r>
      <w:r w:rsidR="00584C78">
        <w:t>blankett</w:t>
      </w:r>
      <w:r w:rsidR="00CF6F22">
        <w:t>lagens hä</w:t>
      </w:r>
      <w:r w:rsidR="00CF6F22">
        <w:t>n</w:t>
      </w:r>
      <w:r w:rsidR="00CF6F22">
        <w:t>visningar klargör laginnehållet.</w:t>
      </w:r>
      <w:r w:rsidR="00213010">
        <w:t xml:space="preserve"> I </w:t>
      </w:r>
      <w:r w:rsidR="001E561C">
        <w:t>2</w:t>
      </w:r>
      <w:r w:rsidR="00F5066E">
        <w:t> §</w:t>
      </w:r>
      <w:r w:rsidR="001E561C">
        <w:t xml:space="preserve"> 5</w:t>
      </w:r>
      <w:r w:rsidR="00F5066E">
        <w:t> punkt</w:t>
      </w:r>
      <w:r w:rsidR="001E561C">
        <w:t xml:space="preserve">en i </w:t>
      </w:r>
      <w:r w:rsidR="00213010">
        <w:t>blankettlagen hänvisas till 13</w:t>
      </w:r>
      <w:r w:rsidR="00F5066E">
        <w:t> §</w:t>
      </w:r>
      <w:r w:rsidR="00213010">
        <w:t xml:space="preserve"> 4</w:t>
      </w:r>
      <w:r w:rsidR="00F5066E">
        <w:t> mom.</w:t>
      </w:r>
      <w:r w:rsidR="00213010">
        <w:t xml:space="preserve"> i rikets patientlag. Den hänvisningen är utformad med hänsyn till hur rikets patientlag var uppbyggd vi</w:t>
      </w:r>
      <w:r w:rsidR="00F17233">
        <w:t>d</w:t>
      </w:r>
      <w:r w:rsidR="00213010">
        <w:t xml:space="preserve"> tidpunkten för blanke</w:t>
      </w:r>
      <w:r w:rsidR="00F17233">
        <w:t>t</w:t>
      </w:r>
      <w:r w:rsidR="00213010">
        <w:t>tlagens ikraftträdande.</w:t>
      </w:r>
      <w:r w:rsidR="00E06595">
        <w:t xml:space="preserve"> </w:t>
      </w:r>
      <w:r w:rsidR="002A6E39">
        <w:t>De materiella bestämmelserna i 13</w:t>
      </w:r>
      <w:r w:rsidR="00F5066E">
        <w:t> §</w:t>
      </w:r>
      <w:r w:rsidR="002A6E39">
        <w:t xml:space="preserve"> 4</w:t>
      </w:r>
      <w:r w:rsidR="00F5066E">
        <w:t> mom.</w:t>
      </w:r>
      <w:r w:rsidR="002A6E39">
        <w:t xml:space="preserve"> i rikets patien</w:t>
      </w:r>
      <w:r w:rsidR="002A6E39">
        <w:t>t</w:t>
      </w:r>
      <w:r w:rsidR="002A6E39">
        <w:t>lag</w:t>
      </w:r>
      <w:r w:rsidR="001E561C">
        <w:t>,</w:t>
      </w:r>
      <w:r w:rsidR="002A6E39">
        <w:t xml:space="preserve"> sådant det var utformat vid nämnda tidpunkt</w:t>
      </w:r>
      <w:r w:rsidR="001E561C">
        <w:t>,</w:t>
      </w:r>
      <w:r w:rsidR="002A6E39">
        <w:t xml:space="preserve"> har flyttats till 13</w:t>
      </w:r>
      <w:r w:rsidR="00F5066E">
        <w:t> §</w:t>
      </w:r>
      <w:r w:rsidR="002A6E39">
        <w:t xml:space="preserve"> 5</w:t>
      </w:r>
      <w:r w:rsidR="00F5066E">
        <w:t> mom.</w:t>
      </w:r>
      <w:r w:rsidR="002A6E39">
        <w:t xml:space="preserve"> </w:t>
      </w:r>
      <w:r w:rsidR="001E561C">
        <w:t xml:space="preserve">i rikets patientlag </w:t>
      </w:r>
      <w:r w:rsidR="002A6E39">
        <w:t>samtidigt som de kompletterats med olika prec</w:t>
      </w:r>
      <w:r w:rsidR="002A6E39">
        <w:t>i</w:t>
      </w:r>
      <w:r w:rsidR="002A6E39">
        <w:t xml:space="preserve">seringar. </w:t>
      </w:r>
      <w:r w:rsidR="001E561C">
        <w:t>Bestämmelserna</w:t>
      </w:r>
      <w:r w:rsidR="002A6E39">
        <w:t xml:space="preserve"> ifråga reglerar förutsättningarna för utlämnande av uppgifter som ingår i journalhandlingar </w:t>
      </w:r>
      <w:r w:rsidR="001E561C">
        <w:t>för vetenskaplig forskning och statistikföring.</w:t>
      </w:r>
      <w:r w:rsidR="00CD34BC">
        <w:t xml:space="preserve"> Genom den uppenbara diskrepans som härigenom uppstått mellan blankettlagen och rikets patientlag </w:t>
      </w:r>
      <w:r w:rsidR="00D4160D">
        <w:t xml:space="preserve">leder </w:t>
      </w:r>
      <w:r w:rsidR="00E05B0D">
        <w:t xml:space="preserve">det </w:t>
      </w:r>
      <w:r w:rsidR="00D4160D">
        <w:t xml:space="preserve">till att det </w:t>
      </w:r>
      <w:r w:rsidR="00A95D30">
        <w:t xml:space="preserve">uppstår en oklarhet om vilken </w:t>
      </w:r>
      <w:r w:rsidR="0012449F">
        <w:t>offentlighets</w:t>
      </w:r>
      <w:r w:rsidR="00A95D30">
        <w:t>lagstiftning</w:t>
      </w:r>
      <w:r w:rsidR="0012449F">
        <w:t xml:space="preserve"> </w:t>
      </w:r>
      <w:r w:rsidR="00A95D30">
        <w:t>som gäller i fråga om hemli</w:t>
      </w:r>
      <w:r w:rsidR="00A95D30">
        <w:t>g</w:t>
      </w:r>
      <w:r w:rsidR="00A95D30">
        <w:t>hållande av patientuppgifter.</w:t>
      </w:r>
    </w:p>
    <w:p w:rsidR="008E77DB" w:rsidRDefault="008053B5" w:rsidP="008E77DB">
      <w:pPr>
        <w:pStyle w:val="ANormal"/>
      </w:pPr>
      <w:r>
        <w:tab/>
        <w:t xml:space="preserve">Syftet med blankettlagen är att offentlighetslagen och de däri stipulerade sekretessvillkoren ska gälla vid tillämpningen av blankettlagen. Men i.o.m. </w:t>
      </w:r>
      <w:r w:rsidR="00D43163">
        <w:t xml:space="preserve">att </w:t>
      </w:r>
      <w:r>
        <w:t xml:space="preserve">den nuvarande </w:t>
      </w:r>
      <w:r w:rsidR="00652EB2">
        <w:t>hänvisnings</w:t>
      </w:r>
      <w:r>
        <w:t>konstruktionen i 2</w:t>
      </w:r>
      <w:r w:rsidR="00F5066E">
        <w:t> §</w:t>
      </w:r>
      <w:r>
        <w:t xml:space="preserve"> i blankettlagen </w:t>
      </w:r>
      <w:r w:rsidR="0061236D">
        <w:t xml:space="preserve">leder till att fel moment i </w:t>
      </w:r>
      <w:r w:rsidR="00652EB2">
        <w:t xml:space="preserve">rikets </w:t>
      </w:r>
      <w:r w:rsidR="0061236D">
        <w:t>patientlag åsyftas</w:t>
      </w:r>
      <w:r w:rsidR="008E77DB">
        <w:t>,</w:t>
      </w:r>
      <w:r w:rsidR="0061236D">
        <w:t xml:space="preserve"> </w:t>
      </w:r>
      <w:r w:rsidR="00652EB2">
        <w:t xml:space="preserve">då </w:t>
      </w:r>
      <w:r w:rsidR="00087874">
        <w:t>avsikten är</w:t>
      </w:r>
      <w:r w:rsidR="00652EB2">
        <w:t xml:space="preserve"> att ange vad som </w:t>
      </w:r>
      <w:r w:rsidR="00087874">
        <w:t>ska iakttas vid utlämnande av uppgifter för forskningsändamål eller för st</w:t>
      </w:r>
      <w:r w:rsidR="00087874">
        <w:t>a</w:t>
      </w:r>
      <w:r w:rsidR="00087874">
        <w:t>tistikföring</w:t>
      </w:r>
      <w:r w:rsidR="008E77DB">
        <w:t>,</w:t>
      </w:r>
      <w:r w:rsidR="008053E3">
        <w:t xml:space="preserve"> uppstår en </w:t>
      </w:r>
      <w:r w:rsidR="004E5E56">
        <w:t>icke-önskvärd</w:t>
      </w:r>
      <w:r w:rsidR="008053E3">
        <w:t xml:space="preserve"> situation med stora risker och pr</w:t>
      </w:r>
      <w:r w:rsidR="008053E3">
        <w:t>o</w:t>
      </w:r>
      <w:r w:rsidR="008053E3">
        <w:t>blem.</w:t>
      </w:r>
      <w:r w:rsidR="008E77DB">
        <w:t xml:space="preserve"> Det är m.a.o. oklart ifall man vid tillämpningen ska använda sig av rikets offentlighetslagstiftning eller offentlighetslagen i fråga om tiden av hemlighållande av arkiverade patientuppgifter.</w:t>
      </w:r>
    </w:p>
    <w:p w:rsidR="008E77DB" w:rsidRDefault="008E77DB" w:rsidP="00CF6F22">
      <w:pPr>
        <w:pStyle w:val="ANormal"/>
      </w:pPr>
      <w:r>
        <w:tab/>
      </w:r>
      <w:r w:rsidR="004F2788">
        <w:t>I övrigt finns det i de övriga</w:t>
      </w:r>
      <w:r w:rsidR="00F5066E">
        <w:t> punkt</w:t>
      </w:r>
      <w:r w:rsidR="00037943">
        <w:t>erna</w:t>
      </w:r>
      <w:r w:rsidR="004F2788">
        <w:t xml:space="preserve"> i 2</w:t>
      </w:r>
      <w:r w:rsidR="00F5066E">
        <w:t> §</w:t>
      </w:r>
      <w:r w:rsidR="004F2788">
        <w:t xml:space="preserve"> ett antal formuleringar som behöver en språklig översyn samtidigt som en anpassning behöver göras till den kommande landskapslagstiftningen om dataskydd.</w:t>
      </w:r>
    </w:p>
    <w:p w:rsidR="008B141F" w:rsidRDefault="008B141F" w:rsidP="00317B88">
      <w:pPr>
        <w:pStyle w:val="ANormal"/>
      </w:pPr>
    </w:p>
    <w:p w:rsidR="00627D5E" w:rsidRDefault="00627D5E" w:rsidP="00627D5E">
      <w:pPr>
        <w:pStyle w:val="RubrikB"/>
      </w:pPr>
      <w:bookmarkStart w:id="10" w:name="_Toc536088442"/>
      <w:r>
        <w:t>3. Landskapsregeringens förslag</w:t>
      </w:r>
      <w:bookmarkEnd w:id="10"/>
    </w:p>
    <w:p w:rsidR="00627D5E" w:rsidRDefault="00627D5E" w:rsidP="00627D5E">
      <w:pPr>
        <w:pStyle w:val="Rubrikmellanrum"/>
      </w:pPr>
    </w:p>
    <w:p w:rsidR="000A4DFD" w:rsidRDefault="000A4DFD" w:rsidP="000A4DFD">
      <w:pPr>
        <w:pStyle w:val="RubrikC"/>
      </w:pPr>
      <w:bookmarkStart w:id="11" w:name="_Toc536088443"/>
      <w:r>
        <w:t>3.1 Offentlighetslagen</w:t>
      </w:r>
      <w:bookmarkEnd w:id="11"/>
    </w:p>
    <w:p w:rsidR="000A4DFD" w:rsidRPr="000A4DFD" w:rsidRDefault="000A4DFD" w:rsidP="000A4DFD">
      <w:pPr>
        <w:pStyle w:val="Rubrikmellanrum"/>
      </w:pPr>
    </w:p>
    <w:p w:rsidR="00627D5E" w:rsidRDefault="00B21C43" w:rsidP="00627D5E">
      <w:pPr>
        <w:pStyle w:val="ANormal"/>
      </w:pPr>
      <w:r>
        <w:t xml:space="preserve">Mot bakgrund av det som anförts ovan </w:t>
      </w:r>
      <w:r w:rsidR="00247ECB">
        <w:t>i avsnitt 2</w:t>
      </w:r>
      <w:r w:rsidR="00A36213">
        <w:t>.1</w:t>
      </w:r>
      <w:r w:rsidR="00247ECB">
        <w:t xml:space="preserve"> </w:t>
      </w:r>
      <w:r>
        <w:t>föreslår landskapsreg</w:t>
      </w:r>
      <w:r>
        <w:t>e</w:t>
      </w:r>
      <w:r>
        <w:t>ringen att det i offentlighetslagen införs de ändringar som framgår av fö</w:t>
      </w:r>
      <w:r>
        <w:t>r</w:t>
      </w:r>
      <w:r>
        <w:t>slaget till lagtext nedan.</w:t>
      </w:r>
      <w:r w:rsidR="00397CAF">
        <w:t xml:space="preserve"> Den i </w:t>
      </w:r>
      <w:r w:rsidR="00BF1947">
        <w:t>17</w:t>
      </w:r>
      <w:r w:rsidR="00F5066E">
        <w:t> §</w:t>
      </w:r>
      <w:r w:rsidR="00BF1947">
        <w:t xml:space="preserve"> 1</w:t>
      </w:r>
      <w:r w:rsidR="00F5066E">
        <w:t> mom.</w:t>
      </w:r>
      <w:r w:rsidR="00BF1947">
        <w:t xml:space="preserve"> a</w:t>
      </w:r>
      <w:r w:rsidR="00F5066E">
        <w:t> punkt</w:t>
      </w:r>
      <w:r w:rsidR="00BF1947">
        <w:t>en i offentlighetslagen angivna tidsfristen föreslås således ändrad från 20 år till 50 år. Den i 17</w:t>
      </w:r>
      <w:r w:rsidR="00F5066E">
        <w:t> §</w:t>
      </w:r>
      <w:r w:rsidR="00BF1947">
        <w:t xml:space="preserve"> 2</w:t>
      </w:r>
      <w:r w:rsidR="00F5066E">
        <w:t> mom.</w:t>
      </w:r>
      <w:r w:rsidR="00BF1947">
        <w:t xml:space="preserve"> i offentlighetslagen angivna tidsfristen föreslås ändrad från 50 år till 100 år. </w:t>
      </w:r>
      <w:r w:rsidR="003E446B" w:rsidRPr="00F3777F">
        <w:t xml:space="preserve">Dessutom föreslår landskapsregeringen </w:t>
      </w:r>
      <w:r w:rsidR="00DC5400">
        <w:t xml:space="preserve">att </w:t>
      </w:r>
      <w:r w:rsidR="003E446B" w:rsidRPr="00F3777F">
        <w:t>formuleringen ”pe</w:t>
      </w:r>
      <w:r w:rsidR="003E446B" w:rsidRPr="00F3777F">
        <w:t>r</w:t>
      </w:r>
      <w:r w:rsidR="003E446B" w:rsidRPr="00F3777F">
        <w:t xml:space="preserve">sons död” </w:t>
      </w:r>
      <w:r w:rsidR="00DB68AB" w:rsidRPr="00F3777F">
        <w:t>17</w:t>
      </w:r>
      <w:r w:rsidR="00F5066E">
        <w:t> §</w:t>
      </w:r>
      <w:r w:rsidR="00DB68AB" w:rsidRPr="00F3777F">
        <w:t xml:space="preserve"> 1</w:t>
      </w:r>
      <w:r w:rsidR="00F5066E">
        <w:t> mom.</w:t>
      </w:r>
      <w:r w:rsidR="00DB68AB" w:rsidRPr="00F3777F">
        <w:t xml:space="preserve"> a och b</w:t>
      </w:r>
      <w:r w:rsidR="00F5066E">
        <w:t> punkt</w:t>
      </w:r>
      <w:r w:rsidR="00DB68AB" w:rsidRPr="00F3777F">
        <w:t xml:space="preserve">erna </w:t>
      </w:r>
      <w:r w:rsidR="003E446B" w:rsidRPr="00F3777F">
        <w:t xml:space="preserve">ersätts med en formulering som </w:t>
      </w:r>
      <w:r w:rsidR="003E446B" w:rsidRPr="00F3777F">
        <w:lastRenderedPageBreak/>
        <w:t xml:space="preserve">använder sig av termen ”avlidit”. </w:t>
      </w:r>
      <w:r w:rsidR="00BF1947">
        <w:t>Termen ”vårdväsendet” i 9</w:t>
      </w:r>
      <w:r w:rsidR="00F5066E">
        <w:t> §</w:t>
      </w:r>
      <w:r w:rsidR="00BF1947">
        <w:t xml:space="preserve"> 1</w:t>
      </w:r>
      <w:r w:rsidR="00F5066E">
        <w:t> mom.</w:t>
      </w:r>
      <w:r w:rsidR="00BF1947">
        <w:t xml:space="preserve"> e</w:t>
      </w:r>
      <w:r w:rsidR="00F5066E">
        <w:t> punkt</w:t>
      </w:r>
      <w:r w:rsidR="00BF1947">
        <w:t>en föreslås ersatt med termen ”socialvård”.</w:t>
      </w:r>
    </w:p>
    <w:p w:rsidR="00E86C47" w:rsidRDefault="00E86C47" w:rsidP="00627D5E">
      <w:pPr>
        <w:pStyle w:val="ANormal"/>
      </w:pPr>
    </w:p>
    <w:p w:rsidR="00E86C47" w:rsidRDefault="00342315" w:rsidP="00E86C47">
      <w:pPr>
        <w:pStyle w:val="RubrikC"/>
      </w:pPr>
      <w:bookmarkStart w:id="12" w:name="_Toc536088444"/>
      <w:r>
        <w:t xml:space="preserve">3.2 </w:t>
      </w:r>
      <w:r w:rsidR="008C1843">
        <w:t>Blankett</w:t>
      </w:r>
      <w:r>
        <w:t>lagen</w:t>
      </w:r>
      <w:bookmarkEnd w:id="12"/>
    </w:p>
    <w:p w:rsidR="00342315" w:rsidRDefault="00342315" w:rsidP="00342315">
      <w:pPr>
        <w:pStyle w:val="Rubrikmellanrum"/>
      </w:pPr>
    </w:p>
    <w:p w:rsidR="006F08A8" w:rsidRPr="006F08A8" w:rsidRDefault="001E1ACD" w:rsidP="006F08A8">
      <w:pPr>
        <w:pStyle w:val="RubrikD"/>
      </w:pPr>
      <w:r>
        <w:t xml:space="preserve">3.2.1 </w:t>
      </w:r>
      <w:r w:rsidR="003C733B">
        <w:t>H</w:t>
      </w:r>
      <w:r w:rsidR="005377D0">
        <w:t xml:space="preserve">änvisningsmässiga </w:t>
      </w:r>
      <w:r w:rsidR="003C733B">
        <w:t xml:space="preserve">och språkliga </w:t>
      </w:r>
      <w:r w:rsidR="005377D0">
        <w:t>ändringar</w:t>
      </w:r>
    </w:p>
    <w:p w:rsidR="005377D0" w:rsidRDefault="005377D0" w:rsidP="005377D0">
      <w:pPr>
        <w:pStyle w:val="Rubrikmellanrum"/>
      </w:pPr>
    </w:p>
    <w:p w:rsidR="005377D0" w:rsidRPr="005377D0" w:rsidRDefault="006F08A8" w:rsidP="005377D0">
      <w:pPr>
        <w:pStyle w:val="ANormal"/>
      </w:pPr>
      <w:r>
        <w:t xml:space="preserve">Mot bakgrund av det som anförts i avsnitt </w:t>
      </w:r>
      <w:r w:rsidR="007829D6">
        <w:t xml:space="preserve">2.2 ovan </w:t>
      </w:r>
      <w:r w:rsidR="001E532D">
        <w:t>föreslår landskapsreg</w:t>
      </w:r>
      <w:r w:rsidR="001E532D">
        <w:t>e</w:t>
      </w:r>
      <w:r w:rsidR="001E532D">
        <w:t>ringen</w:t>
      </w:r>
      <w:r w:rsidR="007829D6">
        <w:t xml:space="preserve"> att 2</w:t>
      </w:r>
      <w:r w:rsidR="00F5066E">
        <w:t> §</w:t>
      </w:r>
      <w:r w:rsidR="007829D6">
        <w:t xml:space="preserve"> 5</w:t>
      </w:r>
      <w:r w:rsidR="00F5066E">
        <w:t> punkt</w:t>
      </w:r>
      <w:r w:rsidR="007829D6">
        <w:t xml:space="preserve">en </w:t>
      </w:r>
      <w:r w:rsidR="003407D9">
        <w:t xml:space="preserve">i blankettlagen </w:t>
      </w:r>
      <w:r w:rsidR="007829D6">
        <w:t>ändras så att hänvisningen avser rätt moment i 13</w:t>
      </w:r>
      <w:r w:rsidR="00F5066E">
        <w:t> §</w:t>
      </w:r>
      <w:r w:rsidR="007829D6">
        <w:t xml:space="preserve"> i rikets patientlag. Även några smärre språkliga och övriga ändringar föreslås även i de övriga</w:t>
      </w:r>
      <w:r w:rsidR="00F5066E">
        <w:t> punkt</w:t>
      </w:r>
      <w:r w:rsidR="00DC5400">
        <w:t>erna</w:t>
      </w:r>
      <w:r w:rsidR="007829D6">
        <w:t xml:space="preserve"> i 2</w:t>
      </w:r>
      <w:r w:rsidR="00F5066E">
        <w:t> §</w:t>
      </w:r>
      <w:r w:rsidR="007829D6">
        <w:t xml:space="preserve"> på det sätt som framgår av förslaget till lagtext nedan.</w:t>
      </w:r>
    </w:p>
    <w:p w:rsidR="004176CB" w:rsidRDefault="004176CB" w:rsidP="00627D5E">
      <w:pPr>
        <w:pStyle w:val="ANormal"/>
      </w:pPr>
    </w:p>
    <w:p w:rsidR="005377D0" w:rsidRDefault="005377D0" w:rsidP="005377D0">
      <w:pPr>
        <w:pStyle w:val="RubrikD"/>
      </w:pPr>
      <w:r>
        <w:t>3.2.2 Särskilt om undantaget från tillämpningen av 10</w:t>
      </w:r>
      <w:r w:rsidR="00FD6536">
        <w:t> </w:t>
      </w:r>
      <w:r>
        <w:t>a</w:t>
      </w:r>
      <w:r w:rsidR="00F5066E">
        <w:t> §</w:t>
      </w:r>
      <w:r>
        <w:t xml:space="preserve"> i rikets patientlag</w:t>
      </w:r>
    </w:p>
    <w:p w:rsidR="005377D0" w:rsidRDefault="005377D0" w:rsidP="005377D0">
      <w:pPr>
        <w:pStyle w:val="Rubrikmellanrum"/>
      </w:pPr>
    </w:p>
    <w:p w:rsidR="005377D0" w:rsidRDefault="0004562A" w:rsidP="004320C8">
      <w:pPr>
        <w:pStyle w:val="ANormal"/>
      </w:pPr>
      <w:r>
        <w:t>I 10</w:t>
      </w:r>
      <w:r w:rsidR="00FD6536">
        <w:t> </w:t>
      </w:r>
      <w:r>
        <w:t>a</w:t>
      </w:r>
      <w:r w:rsidR="00F5066E">
        <w:t> §</w:t>
      </w:r>
      <w:r>
        <w:t xml:space="preserve"> </w:t>
      </w:r>
      <w:r w:rsidR="006E6DFE">
        <w:t xml:space="preserve">om klagomål </w:t>
      </w:r>
      <w:r>
        <w:t xml:space="preserve">i rikets patientlag föreskrivs </w:t>
      </w:r>
      <w:r w:rsidR="006E6DFE">
        <w:t>i dess 1</w:t>
      </w:r>
      <w:r w:rsidR="00F5066E">
        <w:t> mom.</w:t>
      </w:r>
      <w:r w:rsidR="006E6DFE">
        <w:t xml:space="preserve"> att i</w:t>
      </w:r>
      <w:r w:rsidR="004320C8">
        <w:t xml:space="preserve"> fråga om klagomål tillämpas vad som i 8 a</w:t>
      </w:r>
      <w:r w:rsidR="00F5066E">
        <w:t> kap.</w:t>
      </w:r>
      <w:r w:rsidR="004320C8">
        <w:t xml:space="preserve"> i förvaltningslagen (</w:t>
      </w:r>
      <w:r w:rsidR="006E6DFE">
        <w:t xml:space="preserve">FFS </w:t>
      </w:r>
      <w:r w:rsidR="004320C8">
        <w:t>434/2003</w:t>
      </w:r>
      <w:r w:rsidR="0080001D">
        <w:t xml:space="preserve">, </w:t>
      </w:r>
      <w:r w:rsidR="0080001D" w:rsidRPr="0080001D">
        <w:rPr>
          <w:i/>
        </w:rPr>
        <w:t>rikets förvaltningslag</w:t>
      </w:r>
      <w:r w:rsidR="004320C8">
        <w:t>) föreskrivs om förvaltningsklagan.</w:t>
      </w:r>
      <w:r w:rsidR="00774CCD">
        <w:rPr>
          <w:rStyle w:val="Fotnotsreferens"/>
        </w:rPr>
        <w:footnoteReference w:id="1"/>
      </w:r>
      <w:r w:rsidR="006E6DFE">
        <w:t xml:space="preserve"> I par</w:t>
      </w:r>
      <w:r w:rsidR="006E6DFE">
        <w:t>a</w:t>
      </w:r>
      <w:r w:rsidR="006E6DFE">
        <w:t>grafens 2</w:t>
      </w:r>
      <w:r w:rsidR="00F5066E">
        <w:t> mom.</w:t>
      </w:r>
      <w:r w:rsidR="006E6DFE">
        <w:t xml:space="preserve"> föreskrivs vidare att o</w:t>
      </w:r>
      <w:r w:rsidR="004320C8">
        <w:t>m anmärkning inte har framställts i ett ärende, och tillsynsmyndigheten bedömer att det är lämpligast att b</w:t>
      </w:r>
      <w:r w:rsidR="004320C8">
        <w:t>e</w:t>
      </w:r>
      <w:r w:rsidR="004320C8">
        <w:t>handla ett klagomål som en anmärkning, får myndigheten överföra ärendet till den verksamhetsenhet som klagomålet gäller. Överföringen ska göras omedelbart efter bedömningen. Den som anfört klagomålet ska underrättas om överföringen. Verksamhetsenheten ska underrätta den överförande til</w:t>
      </w:r>
      <w:r w:rsidR="004320C8">
        <w:t>l</w:t>
      </w:r>
      <w:r w:rsidR="004320C8">
        <w:t>synsmyndigheten om svaret på det överförda ärendet.</w:t>
      </w:r>
      <w:r w:rsidR="006E6DFE">
        <w:t xml:space="preserve"> I paragrafens 3</w:t>
      </w:r>
      <w:r w:rsidR="00F5066E">
        <w:t> mom.</w:t>
      </w:r>
      <w:r w:rsidR="006E6DFE">
        <w:t xml:space="preserve"> föreskrivs slutligen att </w:t>
      </w:r>
      <w:r w:rsidR="00BB4143">
        <w:t xml:space="preserve">ett </w:t>
      </w:r>
      <w:r w:rsidR="006E6DFE">
        <w:t>a</w:t>
      </w:r>
      <w:r w:rsidR="004320C8">
        <w:t>vvisningsbeslut me</w:t>
      </w:r>
      <w:r w:rsidR="00BB4143">
        <w:t>d</w:t>
      </w:r>
      <w:r w:rsidR="004320C8">
        <w:t>delas inte i fråga om kl</w:t>
      </w:r>
      <w:r w:rsidR="004320C8">
        <w:t>a</w:t>
      </w:r>
      <w:r w:rsidR="004320C8">
        <w:t>gomål som överförs för att behandlas som anmärkningar.</w:t>
      </w:r>
    </w:p>
    <w:p w:rsidR="00011FA0" w:rsidRDefault="00011FA0" w:rsidP="00627D5E">
      <w:pPr>
        <w:pStyle w:val="ANormal"/>
      </w:pPr>
      <w:r>
        <w:tab/>
        <w:t>Landskapsregeringen föreslå</w:t>
      </w:r>
      <w:r w:rsidR="000F441A">
        <w:t>r</w:t>
      </w:r>
      <w:r>
        <w:t xml:space="preserve"> att </w:t>
      </w:r>
      <w:r w:rsidR="00BB4143">
        <w:t>nämnda 10</w:t>
      </w:r>
      <w:r w:rsidR="00FD6536">
        <w:t> </w:t>
      </w:r>
      <w:r w:rsidR="00BB4143">
        <w:t>a</w:t>
      </w:r>
      <w:r w:rsidR="00F5066E">
        <w:t> §</w:t>
      </w:r>
      <w:r>
        <w:t xml:space="preserve"> undantas från blanket</w:t>
      </w:r>
      <w:r>
        <w:t>t</w:t>
      </w:r>
      <w:r>
        <w:t xml:space="preserve">lagens tillämpningsområde. Skälet till detta är att </w:t>
      </w:r>
      <w:r w:rsidR="00AE1372">
        <w:t>förvaltningsklagan som sådant</w:t>
      </w:r>
      <w:r w:rsidR="000F441A">
        <w:t>,</w:t>
      </w:r>
      <w:r w:rsidR="00AE1372">
        <w:t xml:space="preserve"> </w:t>
      </w:r>
      <w:r w:rsidR="009A606F">
        <w:t xml:space="preserve">i den form det </w:t>
      </w:r>
      <w:r w:rsidR="000F441A">
        <w:t>finns angivet</w:t>
      </w:r>
      <w:r w:rsidR="009A606F">
        <w:t xml:space="preserve"> i rikets patientlag</w:t>
      </w:r>
      <w:r w:rsidR="000F441A">
        <w:t>,</w:t>
      </w:r>
      <w:r w:rsidR="009A606F">
        <w:t xml:space="preserve"> inte</w:t>
      </w:r>
      <w:r w:rsidR="000F441A">
        <w:t xml:space="preserve">, </w:t>
      </w:r>
      <w:r w:rsidR="009A606F">
        <w:t>med hänsyn till systematiken i landskapslagstiftningen</w:t>
      </w:r>
      <w:r w:rsidR="000F441A">
        <w:t xml:space="preserve">, </w:t>
      </w:r>
      <w:r w:rsidR="00D73FBA">
        <w:t xml:space="preserve">kan </w:t>
      </w:r>
      <w:r w:rsidR="000F441A">
        <w:t>anses behövligt. Det nuvarande förvaltningsrättsliga regelverket ger redan utrymme för att uppnå samma resultat som man skulle uppnå om man införde sådana bestämmelser som finns i 10</w:t>
      </w:r>
      <w:r w:rsidR="00FD6536">
        <w:t> </w:t>
      </w:r>
      <w:r w:rsidR="000F441A">
        <w:t>a</w:t>
      </w:r>
      <w:r w:rsidR="00F5066E">
        <w:t> §</w:t>
      </w:r>
      <w:r w:rsidR="000F441A">
        <w:t xml:space="preserve"> i rikets patientlag</w:t>
      </w:r>
      <w:r w:rsidR="00664C54">
        <w:t xml:space="preserve"> och principen bör vara att man inte ska u</w:t>
      </w:r>
      <w:r w:rsidR="00664C54">
        <w:t>t</w:t>
      </w:r>
      <w:r w:rsidR="00664C54">
        <w:t xml:space="preserve">öka ett regelverk med vad som </w:t>
      </w:r>
      <w:r w:rsidR="00547EAC">
        <w:t xml:space="preserve">inte </w:t>
      </w:r>
      <w:r w:rsidR="00EC5C97">
        <w:t xml:space="preserve">är </w:t>
      </w:r>
      <w:r w:rsidR="00664C54">
        <w:t>oundgängligen nödvändigt.</w:t>
      </w:r>
      <w:r w:rsidR="006E48FB">
        <w:t xml:space="preserve"> I </w:t>
      </w:r>
      <w:r w:rsidR="006E48FB" w:rsidRPr="006E48FB">
        <w:t>förval</w:t>
      </w:r>
      <w:r w:rsidR="006E48FB" w:rsidRPr="006E48FB">
        <w:t>t</w:t>
      </w:r>
      <w:r w:rsidR="006E48FB" w:rsidRPr="006E48FB">
        <w:t>ningslagen (2008:9) för landskapet Åland</w:t>
      </w:r>
      <w:r w:rsidR="00DF43A1">
        <w:t xml:space="preserve"> </w:t>
      </w:r>
      <w:r w:rsidR="00DF43A1">
        <w:rPr>
          <w:i/>
        </w:rPr>
        <w:t>(</w:t>
      </w:r>
      <w:r w:rsidR="0080001D">
        <w:rPr>
          <w:i/>
        </w:rPr>
        <w:t xml:space="preserve">åländska </w:t>
      </w:r>
      <w:r w:rsidR="00DF43A1">
        <w:rPr>
          <w:i/>
        </w:rPr>
        <w:t>för</w:t>
      </w:r>
      <w:r w:rsidR="0080001D">
        <w:rPr>
          <w:i/>
        </w:rPr>
        <w:t>v</w:t>
      </w:r>
      <w:r w:rsidR="00DF43A1">
        <w:rPr>
          <w:i/>
        </w:rPr>
        <w:t>altningslagen)</w:t>
      </w:r>
      <w:r w:rsidR="006E48FB">
        <w:t xml:space="preserve">, finns redan de instrument som gör det möjligt att </w:t>
      </w:r>
      <w:r w:rsidR="0072224D">
        <w:t xml:space="preserve">i realiteten </w:t>
      </w:r>
      <w:r w:rsidR="006E48FB">
        <w:t xml:space="preserve">påannonsera </w:t>
      </w:r>
      <w:r w:rsidR="0072224D">
        <w:t xml:space="preserve">och driva </w:t>
      </w:r>
      <w:r w:rsidR="006E48FB">
        <w:t>ett klagomålsförfarande.</w:t>
      </w:r>
      <w:r w:rsidR="00DF43A1">
        <w:t xml:space="preserve"> Genom bestämmelserna </w:t>
      </w:r>
      <w:r w:rsidR="002A2264">
        <w:t xml:space="preserve">i </w:t>
      </w:r>
      <w:r w:rsidR="00C2525E" w:rsidRPr="00C2525E">
        <w:t>åländska fö</w:t>
      </w:r>
      <w:r w:rsidR="00C2525E" w:rsidRPr="00C2525E">
        <w:t>r</w:t>
      </w:r>
      <w:r w:rsidR="00C2525E" w:rsidRPr="00C2525E">
        <w:t>valtningslagen</w:t>
      </w:r>
      <w:r w:rsidR="00C2525E">
        <w:t xml:space="preserve"> om </w:t>
      </w:r>
      <w:r w:rsidR="002A2264">
        <w:t>hur en handling sänds till en myndighet och hur ett fö</w:t>
      </w:r>
      <w:r w:rsidR="002A2264">
        <w:t>r</w:t>
      </w:r>
      <w:r w:rsidR="002A2264">
        <w:t xml:space="preserve">valtningsärende inleds </w:t>
      </w:r>
      <w:r w:rsidR="002A2264" w:rsidRPr="00C2525E">
        <w:rPr>
          <w:i/>
        </w:rPr>
        <w:t>(4</w:t>
      </w:r>
      <w:r w:rsidR="00F5066E">
        <w:rPr>
          <w:i/>
        </w:rPr>
        <w:t> kap.</w:t>
      </w:r>
      <w:r w:rsidR="002A2264" w:rsidRPr="00C2525E">
        <w:rPr>
          <w:i/>
        </w:rPr>
        <w:t>)</w:t>
      </w:r>
      <w:r w:rsidR="00C2525E">
        <w:t xml:space="preserve">, </w:t>
      </w:r>
      <w:r w:rsidR="002A2264">
        <w:t xml:space="preserve">allmänna krav beträffande behandlingen av ärenden </w:t>
      </w:r>
      <w:r w:rsidR="002A2264" w:rsidRPr="00C2525E">
        <w:rPr>
          <w:i/>
        </w:rPr>
        <w:t>(5</w:t>
      </w:r>
      <w:r w:rsidR="00F5066E">
        <w:rPr>
          <w:i/>
        </w:rPr>
        <w:t> kap.</w:t>
      </w:r>
      <w:r w:rsidR="002A2264" w:rsidRPr="00C2525E">
        <w:rPr>
          <w:i/>
        </w:rPr>
        <w:t>)</w:t>
      </w:r>
      <w:r w:rsidR="00C2525E">
        <w:t xml:space="preserve"> och </w:t>
      </w:r>
      <w:r w:rsidR="002A2264">
        <w:t xml:space="preserve">avgörande av ärenden </w:t>
      </w:r>
      <w:r w:rsidR="002A2264" w:rsidRPr="00C2525E">
        <w:rPr>
          <w:i/>
        </w:rPr>
        <w:t>(7</w:t>
      </w:r>
      <w:r w:rsidR="00F5066E">
        <w:rPr>
          <w:i/>
        </w:rPr>
        <w:t> kap.</w:t>
      </w:r>
      <w:r w:rsidR="002A2264" w:rsidRPr="00C2525E">
        <w:rPr>
          <w:i/>
        </w:rPr>
        <w:t>)</w:t>
      </w:r>
      <w:r w:rsidR="00C2525E">
        <w:t xml:space="preserve"> </w:t>
      </w:r>
      <w:r w:rsidR="00DF43A1">
        <w:t xml:space="preserve">är </w:t>
      </w:r>
      <w:r w:rsidR="000B777B">
        <w:t xml:space="preserve">det </w:t>
      </w:r>
      <w:r w:rsidR="007D4C73">
        <w:t xml:space="preserve">således </w:t>
      </w:r>
      <w:r w:rsidR="00DF43A1">
        <w:t>fullt mö</w:t>
      </w:r>
      <w:r w:rsidR="00DF43A1">
        <w:t>j</w:t>
      </w:r>
      <w:r w:rsidR="00DF43A1">
        <w:t>ligt att initiera en process som kan anses vara att likställa med förfarandet i 10</w:t>
      </w:r>
      <w:r w:rsidR="00446931">
        <w:t xml:space="preserve"> </w:t>
      </w:r>
      <w:r w:rsidR="00DF43A1">
        <w:t>a</w:t>
      </w:r>
      <w:r w:rsidR="00F5066E">
        <w:t> §</w:t>
      </w:r>
      <w:r w:rsidR="00DF43A1">
        <w:t xml:space="preserve"> i rikets patientlag.</w:t>
      </w:r>
    </w:p>
    <w:p w:rsidR="00C558D0" w:rsidRDefault="00C558D0" w:rsidP="00627D5E">
      <w:pPr>
        <w:pStyle w:val="ANormal"/>
      </w:pPr>
    </w:p>
    <w:p w:rsidR="00C558D0" w:rsidRPr="00FE3108" w:rsidRDefault="00D073E7" w:rsidP="00D073E7">
      <w:pPr>
        <w:pStyle w:val="RubrikD"/>
        <w:rPr>
          <w:color w:val="000000" w:themeColor="text1"/>
        </w:rPr>
      </w:pPr>
      <w:r w:rsidRPr="00FE3108">
        <w:rPr>
          <w:color w:val="000000" w:themeColor="text1"/>
        </w:rPr>
        <w:t>3.2.3 Särskilt om undantaget relaterat till 13</w:t>
      </w:r>
      <w:r w:rsidR="00F5066E">
        <w:rPr>
          <w:color w:val="000000" w:themeColor="text1"/>
        </w:rPr>
        <w:t> §</w:t>
      </w:r>
      <w:r w:rsidRPr="00FE3108">
        <w:rPr>
          <w:color w:val="000000" w:themeColor="text1"/>
        </w:rPr>
        <w:t xml:space="preserve"> 5</w:t>
      </w:r>
      <w:r w:rsidR="00F5066E">
        <w:rPr>
          <w:color w:val="000000" w:themeColor="text1"/>
        </w:rPr>
        <w:t> mom.</w:t>
      </w:r>
      <w:r w:rsidRPr="00FE3108">
        <w:rPr>
          <w:color w:val="000000" w:themeColor="text1"/>
        </w:rPr>
        <w:t xml:space="preserve"> </w:t>
      </w:r>
      <w:r w:rsidR="001C77BD" w:rsidRPr="00FE3108">
        <w:rPr>
          <w:color w:val="000000" w:themeColor="text1"/>
        </w:rPr>
        <w:t>i rikets patientlag</w:t>
      </w:r>
    </w:p>
    <w:p w:rsidR="001C77BD" w:rsidRPr="00FE3108" w:rsidRDefault="001C77BD" w:rsidP="001C77BD">
      <w:pPr>
        <w:pStyle w:val="Rubrikmellanrum"/>
        <w:rPr>
          <w:color w:val="000000" w:themeColor="text1"/>
        </w:rPr>
      </w:pPr>
    </w:p>
    <w:p w:rsidR="001A5680" w:rsidRPr="00FE3108" w:rsidRDefault="00BB63F1" w:rsidP="001A5680">
      <w:pPr>
        <w:pStyle w:val="ANormal"/>
        <w:rPr>
          <w:color w:val="000000" w:themeColor="text1"/>
        </w:rPr>
      </w:pPr>
      <w:r w:rsidRPr="00FE3108">
        <w:rPr>
          <w:color w:val="000000" w:themeColor="text1"/>
        </w:rPr>
        <w:t xml:space="preserve">Under vissa omständigheter skulle </w:t>
      </w:r>
      <w:r w:rsidR="008A3C49" w:rsidRPr="00FE3108">
        <w:rPr>
          <w:color w:val="000000" w:themeColor="text1"/>
        </w:rPr>
        <w:t>samhällsutvecklingen kunna bli lidande om det på inga villkor vore möjligt att trots sekretess likväl lämna ut up</w:t>
      </w:r>
      <w:r w:rsidR="008A3C49" w:rsidRPr="00FE3108">
        <w:rPr>
          <w:color w:val="000000" w:themeColor="text1"/>
        </w:rPr>
        <w:t>p</w:t>
      </w:r>
      <w:r w:rsidR="008A3C49" w:rsidRPr="00FE3108">
        <w:rPr>
          <w:color w:val="000000" w:themeColor="text1"/>
        </w:rPr>
        <w:t>gifter ur exempelvis journaler för att understödja seriös verksamhet som bedrivs i forskningssyfte. Med tanke därpå finns det vid sidan av sekretes</w:t>
      </w:r>
      <w:r w:rsidR="008A3C49" w:rsidRPr="00FE3108">
        <w:rPr>
          <w:color w:val="000000" w:themeColor="text1"/>
        </w:rPr>
        <w:t>s</w:t>
      </w:r>
      <w:r w:rsidR="008A3C49" w:rsidRPr="00FE3108">
        <w:rPr>
          <w:color w:val="000000" w:themeColor="text1"/>
        </w:rPr>
        <w:t>bestämmelser även bestämmelser i offentlighetslagen som möjliggör så</w:t>
      </w:r>
      <w:r w:rsidR="008A3C49" w:rsidRPr="00FE3108">
        <w:rPr>
          <w:color w:val="000000" w:themeColor="text1"/>
        </w:rPr>
        <w:t>d</w:t>
      </w:r>
      <w:r w:rsidR="008A3C49" w:rsidRPr="00FE3108">
        <w:rPr>
          <w:color w:val="000000" w:themeColor="text1"/>
        </w:rPr>
        <w:t xml:space="preserve">ana förfaranden. Att lagstiftaren </w:t>
      </w:r>
      <w:r w:rsidR="003770E0" w:rsidRPr="00FE3108">
        <w:rPr>
          <w:color w:val="000000" w:themeColor="text1"/>
        </w:rPr>
        <w:t>vid offentlighetlagens haft nämnda o</w:t>
      </w:r>
      <w:r w:rsidR="003770E0" w:rsidRPr="00FE3108">
        <w:rPr>
          <w:color w:val="000000" w:themeColor="text1"/>
        </w:rPr>
        <w:t>m</w:t>
      </w:r>
      <w:r w:rsidR="003770E0" w:rsidRPr="00FE3108">
        <w:rPr>
          <w:color w:val="000000" w:themeColor="text1"/>
        </w:rPr>
        <w:t>ständigheter i åtanke framgår av förarbetena till offentlighetslagen.</w:t>
      </w:r>
      <w:r w:rsidR="008A3C49" w:rsidRPr="00FE3108">
        <w:rPr>
          <w:color w:val="000000" w:themeColor="text1"/>
        </w:rPr>
        <w:t xml:space="preserve"> </w:t>
      </w:r>
      <w:r w:rsidR="001A5680" w:rsidRPr="00FE3108">
        <w:rPr>
          <w:color w:val="000000" w:themeColor="text1"/>
        </w:rPr>
        <w:t>Bla</w:t>
      </w:r>
      <w:r w:rsidR="001A5680" w:rsidRPr="00FE3108">
        <w:rPr>
          <w:color w:val="000000" w:themeColor="text1"/>
        </w:rPr>
        <w:t>n</w:t>
      </w:r>
      <w:r w:rsidR="001A5680" w:rsidRPr="00FE3108">
        <w:rPr>
          <w:color w:val="000000" w:themeColor="text1"/>
        </w:rPr>
        <w:t xml:space="preserve">kettlagen </w:t>
      </w:r>
      <w:r w:rsidR="00242471" w:rsidRPr="00FE3108">
        <w:rPr>
          <w:color w:val="000000" w:themeColor="text1"/>
        </w:rPr>
        <w:t xml:space="preserve">har anpassats till detta vilket betyder att hänvisningen </w:t>
      </w:r>
      <w:r w:rsidR="00104484" w:rsidRPr="00FE3108">
        <w:rPr>
          <w:color w:val="000000" w:themeColor="text1"/>
        </w:rPr>
        <w:t>i de</w:t>
      </w:r>
      <w:r w:rsidR="00104484" w:rsidRPr="00FE3108">
        <w:rPr>
          <w:color w:val="000000" w:themeColor="text1"/>
        </w:rPr>
        <w:t>n</w:t>
      </w:r>
      <w:r w:rsidR="00104484" w:rsidRPr="00FE3108">
        <w:rPr>
          <w:color w:val="000000" w:themeColor="text1"/>
        </w:rPr>
        <w:lastRenderedPageBreak/>
        <w:t xml:space="preserve">samma </w:t>
      </w:r>
      <w:r w:rsidR="006A754C" w:rsidRPr="00FE3108">
        <w:rPr>
          <w:color w:val="000000" w:themeColor="text1"/>
        </w:rPr>
        <w:t>i dess 2</w:t>
      </w:r>
      <w:r w:rsidR="00F5066E">
        <w:rPr>
          <w:color w:val="000000" w:themeColor="text1"/>
        </w:rPr>
        <w:t> §</w:t>
      </w:r>
      <w:r w:rsidR="006A754C" w:rsidRPr="00FE3108">
        <w:rPr>
          <w:color w:val="000000" w:themeColor="text1"/>
        </w:rPr>
        <w:t xml:space="preserve"> 5</w:t>
      </w:r>
      <w:r w:rsidR="00F5066E">
        <w:rPr>
          <w:color w:val="000000" w:themeColor="text1"/>
        </w:rPr>
        <w:t> punkt</w:t>
      </w:r>
      <w:r w:rsidR="006A754C" w:rsidRPr="00FE3108">
        <w:rPr>
          <w:color w:val="000000" w:themeColor="text1"/>
        </w:rPr>
        <w:t xml:space="preserve"> </w:t>
      </w:r>
      <w:r w:rsidR="00242471" w:rsidRPr="00FE3108">
        <w:rPr>
          <w:color w:val="000000" w:themeColor="text1"/>
        </w:rPr>
        <w:t>till</w:t>
      </w:r>
      <w:r w:rsidR="001A5680" w:rsidRPr="00FE3108">
        <w:rPr>
          <w:color w:val="000000" w:themeColor="text1"/>
        </w:rPr>
        <w:t xml:space="preserve"> 13</w:t>
      </w:r>
      <w:r w:rsidR="00F5066E">
        <w:rPr>
          <w:color w:val="000000" w:themeColor="text1"/>
        </w:rPr>
        <w:t> §</w:t>
      </w:r>
      <w:r w:rsidR="001A5680" w:rsidRPr="00FE3108">
        <w:rPr>
          <w:color w:val="000000" w:themeColor="text1"/>
        </w:rPr>
        <w:t xml:space="preserve"> 5</w:t>
      </w:r>
      <w:r w:rsidR="00F5066E">
        <w:rPr>
          <w:color w:val="000000" w:themeColor="text1"/>
        </w:rPr>
        <w:t> mom.</w:t>
      </w:r>
      <w:r w:rsidR="001A5680" w:rsidRPr="00FE3108">
        <w:rPr>
          <w:color w:val="000000" w:themeColor="text1"/>
        </w:rPr>
        <w:t xml:space="preserve"> </w:t>
      </w:r>
      <w:r w:rsidR="00242471" w:rsidRPr="00FE3108">
        <w:rPr>
          <w:color w:val="000000" w:themeColor="text1"/>
        </w:rPr>
        <w:t xml:space="preserve">i rikets patentlag </w:t>
      </w:r>
      <w:r w:rsidR="006A754C" w:rsidRPr="00FE3108">
        <w:rPr>
          <w:color w:val="000000" w:themeColor="text1"/>
        </w:rPr>
        <w:t>inte ska tolkas som att 13</w:t>
      </w:r>
      <w:r w:rsidR="00F5066E">
        <w:rPr>
          <w:color w:val="000000" w:themeColor="text1"/>
        </w:rPr>
        <w:t> §</w:t>
      </w:r>
      <w:r w:rsidR="006A754C" w:rsidRPr="00FE3108">
        <w:rPr>
          <w:color w:val="000000" w:themeColor="text1"/>
        </w:rPr>
        <w:t xml:space="preserve"> 5</w:t>
      </w:r>
      <w:r w:rsidR="00F5066E">
        <w:rPr>
          <w:color w:val="000000" w:themeColor="text1"/>
        </w:rPr>
        <w:t> mom.</w:t>
      </w:r>
      <w:r w:rsidR="006A754C" w:rsidRPr="00FE3108">
        <w:rPr>
          <w:color w:val="000000" w:themeColor="text1"/>
        </w:rPr>
        <w:t xml:space="preserve"> </w:t>
      </w:r>
      <w:r w:rsidR="001A5680" w:rsidRPr="00FE3108">
        <w:rPr>
          <w:color w:val="000000" w:themeColor="text1"/>
        </w:rPr>
        <w:t>inte överhuvudtaget blir tillämpligt på Åland</w:t>
      </w:r>
      <w:r w:rsidR="006A754C" w:rsidRPr="00FE3108">
        <w:rPr>
          <w:color w:val="000000" w:themeColor="text1"/>
        </w:rPr>
        <w:t>.</w:t>
      </w:r>
      <w:r w:rsidR="001A5680" w:rsidRPr="00FE3108">
        <w:rPr>
          <w:color w:val="000000" w:themeColor="text1"/>
        </w:rPr>
        <w:t xml:space="preserve"> </w:t>
      </w:r>
      <w:r w:rsidR="006A754C" w:rsidRPr="00FE3108">
        <w:rPr>
          <w:color w:val="000000" w:themeColor="text1"/>
        </w:rPr>
        <w:t>Tvärtom ska det tillämpas</w:t>
      </w:r>
      <w:r w:rsidR="00656BD9">
        <w:rPr>
          <w:color w:val="000000" w:themeColor="text1"/>
        </w:rPr>
        <w:t xml:space="preserve">, </w:t>
      </w:r>
      <w:r w:rsidR="00975519" w:rsidRPr="00FE3108">
        <w:rPr>
          <w:color w:val="000000" w:themeColor="text1"/>
        </w:rPr>
        <w:t xml:space="preserve">dock </w:t>
      </w:r>
      <w:r w:rsidR="006A754C" w:rsidRPr="00FE3108">
        <w:rPr>
          <w:color w:val="000000" w:themeColor="text1"/>
        </w:rPr>
        <w:t xml:space="preserve">med den reservationen att </w:t>
      </w:r>
      <w:r w:rsidR="001A5680" w:rsidRPr="00FE3108">
        <w:rPr>
          <w:color w:val="000000" w:themeColor="text1"/>
        </w:rPr>
        <w:t xml:space="preserve">hänvisningen till rikets offentlighetslag </w:t>
      </w:r>
      <w:r w:rsidR="006A754C" w:rsidRPr="00FE3108">
        <w:rPr>
          <w:color w:val="000000" w:themeColor="text1"/>
        </w:rPr>
        <w:t xml:space="preserve">i lagrummet ifråga </w:t>
      </w:r>
      <w:r w:rsidR="001A5680" w:rsidRPr="00FE3108">
        <w:rPr>
          <w:color w:val="000000" w:themeColor="text1"/>
        </w:rPr>
        <w:t xml:space="preserve">ska på Åland avse en hänvisning till </w:t>
      </w:r>
      <w:r w:rsidR="009C7D95" w:rsidRPr="00FE3108">
        <w:rPr>
          <w:color w:val="000000" w:themeColor="text1"/>
        </w:rPr>
        <w:t xml:space="preserve">den åländska </w:t>
      </w:r>
      <w:r w:rsidR="001A5680" w:rsidRPr="00FE3108">
        <w:rPr>
          <w:color w:val="000000" w:themeColor="text1"/>
        </w:rPr>
        <w:t>offentlighetslag</w:t>
      </w:r>
      <w:r w:rsidR="009C7D95" w:rsidRPr="00FE3108">
        <w:rPr>
          <w:color w:val="000000" w:themeColor="text1"/>
        </w:rPr>
        <w:t>en</w:t>
      </w:r>
      <w:r w:rsidR="001A5680" w:rsidRPr="00FE3108">
        <w:rPr>
          <w:color w:val="000000" w:themeColor="text1"/>
        </w:rPr>
        <w:t>. Det betyder att man i samband med utlämna</w:t>
      </w:r>
      <w:r w:rsidR="001A5680" w:rsidRPr="00FE3108">
        <w:rPr>
          <w:color w:val="000000" w:themeColor="text1"/>
        </w:rPr>
        <w:t>n</w:t>
      </w:r>
      <w:r w:rsidR="001A5680" w:rsidRPr="00FE3108">
        <w:rPr>
          <w:color w:val="000000" w:themeColor="text1"/>
        </w:rPr>
        <w:t xml:space="preserve">det av uppgifter, i det sammanhang som </w:t>
      </w:r>
      <w:r w:rsidR="00FB306E" w:rsidRPr="00FE3108">
        <w:rPr>
          <w:color w:val="000000" w:themeColor="text1"/>
        </w:rPr>
        <w:t>härvid avses</w:t>
      </w:r>
      <w:r w:rsidR="001A5680" w:rsidRPr="00FE3108">
        <w:rPr>
          <w:color w:val="000000" w:themeColor="text1"/>
        </w:rPr>
        <w:t xml:space="preserve">, ska iaktta vad som följer av </w:t>
      </w:r>
      <w:r w:rsidR="00EC563F" w:rsidRPr="00FE3108">
        <w:rPr>
          <w:color w:val="000000" w:themeColor="text1"/>
        </w:rPr>
        <w:t xml:space="preserve">den </w:t>
      </w:r>
      <w:r w:rsidR="00E30FB7" w:rsidRPr="00FE3108">
        <w:rPr>
          <w:color w:val="000000" w:themeColor="text1"/>
        </w:rPr>
        <w:t>landskaps</w:t>
      </w:r>
      <w:r w:rsidR="00EC563F" w:rsidRPr="00FE3108">
        <w:rPr>
          <w:color w:val="000000" w:themeColor="text1"/>
        </w:rPr>
        <w:t>lagen.</w:t>
      </w:r>
    </w:p>
    <w:p w:rsidR="001A5680" w:rsidRPr="00FE3108" w:rsidRDefault="00713A85" w:rsidP="001A5680">
      <w:pPr>
        <w:pStyle w:val="ANormal"/>
        <w:rPr>
          <w:color w:val="000000" w:themeColor="text1"/>
        </w:rPr>
      </w:pPr>
      <w:r w:rsidRPr="00FE3108">
        <w:rPr>
          <w:color w:val="000000" w:themeColor="text1"/>
        </w:rPr>
        <w:tab/>
        <w:t>I 16</w:t>
      </w:r>
      <w:r w:rsidR="00F5066E">
        <w:rPr>
          <w:color w:val="000000" w:themeColor="text1"/>
        </w:rPr>
        <w:t> §</w:t>
      </w:r>
      <w:r w:rsidRPr="00FE3108">
        <w:rPr>
          <w:color w:val="000000" w:themeColor="text1"/>
        </w:rPr>
        <w:t xml:space="preserve"> i offentlighetslagen jämte bestämmelserna i 9 och 15</w:t>
      </w:r>
      <w:r w:rsidR="00F5066E">
        <w:rPr>
          <w:color w:val="000000" w:themeColor="text1"/>
        </w:rPr>
        <w:t> §</w:t>
      </w:r>
      <w:r w:rsidRPr="00FE3108">
        <w:rPr>
          <w:color w:val="000000" w:themeColor="text1"/>
        </w:rPr>
        <w:t xml:space="preserve">§ </w:t>
      </w:r>
      <w:r w:rsidR="009D4ABC">
        <w:rPr>
          <w:color w:val="000000" w:themeColor="text1"/>
        </w:rPr>
        <w:t xml:space="preserve">i </w:t>
      </w:r>
      <w:r w:rsidRPr="00FE3108">
        <w:rPr>
          <w:color w:val="000000" w:themeColor="text1"/>
        </w:rPr>
        <w:t>samma lag finns de verktyg som möjliggör utlämnande av sekretessbelagda uppgi</w:t>
      </w:r>
      <w:r w:rsidRPr="00FE3108">
        <w:rPr>
          <w:color w:val="000000" w:themeColor="text1"/>
        </w:rPr>
        <w:t>f</w:t>
      </w:r>
      <w:r w:rsidRPr="00FE3108">
        <w:rPr>
          <w:color w:val="000000" w:themeColor="text1"/>
        </w:rPr>
        <w:t>ter för exempelvis forskningsändamål, under förutsättning att vissa krav är uppfyllda.</w:t>
      </w:r>
      <w:r w:rsidR="00607A1D" w:rsidRPr="00FE3108">
        <w:rPr>
          <w:color w:val="000000" w:themeColor="text1"/>
        </w:rPr>
        <w:t xml:space="preserve"> </w:t>
      </w:r>
      <w:r w:rsidR="00177F7B" w:rsidRPr="00FE3108">
        <w:rPr>
          <w:color w:val="000000" w:themeColor="text1"/>
        </w:rPr>
        <w:t>I</w:t>
      </w:r>
      <w:r w:rsidR="001A5680" w:rsidRPr="00FE3108">
        <w:rPr>
          <w:color w:val="000000" w:themeColor="text1"/>
        </w:rPr>
        <w:t xml:space="preserve"> 16</w:t>
      </w:r>
      <w:r w:rsidR="00F5066E">
        <w:rPr>
          <w:color w:val="000000" w:themeColor="text1"/>
        </w:rPr>
        <w:t> §</w:t>
      </w:r>
      <w:r w:rsidR="001A5680" w:rsidRPr="00FE3108">
        <w:rPr>
          <w:color w:val="000000" w:themeColor="text1"/>
        </w:rPr>
        <w:t xml:space="preserve"> 2</w:t>
      </w:r>
      <w:r w:rsidR="00F5066E">
        <w:rPr>
          <w:color w:val="000000" w:themeColor="text1"/>
        </w:rPr>
        <w:t> mom.</w:t>
      </w:r>
      <w:r w:rsidR="001A5680" w:rsidRPr="00FE3108">
        <w:rPr>
          <w:color w:val="000000" w:themeColor="text1"/>
        </w:rPr>
        <w:t xml:space="preserve"> </w:t>
      </w:r>
      <w:r w:rsidR="00177F7B" w:rsidRPr="00FE3108">
        <w:rPr>
          <w:color w:val="000000" w:themeColor="text1"/>
        </w:rPr>
        <w:t xml:space="preserve">i </w:t>
      </w:r>
      <w:r w:rsidR="001A5680" w:rsidRPr="00FE3108">
        <w:rPr>
          <w:color w:val="000000" w:themeColor="text1"/>
        </w:rPr>
        <w:t>offentlighetslag</w:t>
      </w:r>
      <w:r w:rsidR="00177F7B" w:rsidRPr="00FE3108">
        <w:rPr>
          <w:color w:val="000000" w:themeColor="text1"/>
        </w:rPr>
        <w:t>en</w:t>
      </w:r>
      <w:r w:rsidR="001A5680" w:rsidRPr="00FE3108">
        <w:rPr>
          <w:color w:val="000000" w:themeColor="text1"/>
        </w:rPr>
        <w:t xml:space="preserve"> föreskrivs </w:t>
      </w:r>
      <w:r w:rsidR="00607A1D" w:rsidRPr="00FE3108">
        <w:rPr>
          <w:color w:val="000000" w:themeColor="text1"/>
        </w:rPr>
        <w:t>att landskapsreg</w:t>
      </w:r>
      <w:r w:rsidR="00607A1D" w:rsidRPr="00FE3108">
        <w:rPr>
          <w:color w:val="000000" w:themeColor="text1"/>
        </w:rPr>
        <w:t>e</w:t>
      </w:r>
      <w:r w:rsidR="00607A1D" w:rsidRPr="00FE3108">
        <w:rPr>
          <w:color w:val="000000" w:themeColor="text1"/>
        </w:rPr>
        <w:t>ringen</w:t>
      </w:r>
      <w:r w:rsidR="00DA29A2" w:rsidRPr="00FE3108">
        <w:rPr>
          <w:color w:val="000000" w:themeColor="text1"/>
        </w:rPr>
        <w:t>,</w:t>
      </w:r>
      <w:r w:rsidR="00607A1D" w:rsidRPr="00FE3108">
        <w:rPr>
          <w:color w:val="000000" w:themeColor="text1"/>
        </w:rPr>
        <w:t xml:space="preserve"> </w:t>
      </w:r>
      <w:r w:rsidR="00DA29A2" w:rsidRPr="00FE3108">
        <w:rPr>
          <w:color w:val="000000" w:themeColor="text1"/>
        </w:rPr>
        <w:t>om särskild orsak föreligger och om annat inte följer av 9</w:t>
      </w:r>
      <w:r w:rsidR="00F5066E">
        <w:rPr>
          <w:color w:val="000000" w:themeColor="text1"/>
        </w:rPr>
        <w:t> §</w:t>
      </w:r>
      <w:r w:rsidR="00DA29A2" w:rsidRPr="00FE3108">
        <w:rPr>
          <w:color w:val="000000" w:themeColor="text1"/>
        </w:rPr>
        <w:t xml:space="preserve"> 1</w:t>
      </w:r>
      <w:r w:rsidR="00F5066E">
        <w:rPr>
          <w:color w:val="000000" w:themeColor="text1"/>
        </w:rPr>
        <w:t> mom.</w:t>
      </w:r>
      <w:r w:rsidR="00DA29A2" w:rsidRPr="00FE3108">
        <w:rPr>
          <w:color w:val="000000" w:themeColor="text1"/>
        </w:rPr>
        <w:t xml:space="preserve"> a-c</w:t>
      </w:r>
      <w:r w:rsidR="00F5066E">
        <w:rPr>
          <w:color w:val="000000" w:themeColor="text1"/>
        </w:rPr>
        <w:t> punkt</w:t>
      </w:r>
      <w:r w:rsidR="00DA29A2" w:rsidRPr="00FE3108">
        <w:rPr>
          <w:color w:val="000000" w:themeColor="text1"/>
        </w:rPr>
        <w:t>erna eller 15</w:t>
      </w:r>
      <w:r w:rsidR="00F5066E">
        <w:rPr>
          <w:color w:val="000000" w:themeColor="text1"/>
        </w:rPr>
        <w:t> §</w:t>
      </w:r>
      <w:r w:rsidR="00DA29A2" w:rsidRPr="00FE3108">
        <w:rPr>
          <w:color w:val="000000" w:themeColor="text1"/>
        </w:rPr>
        <w:t xml:space="preserve"> 2</w:t>
      </w:r>
      <w:r w:rsidR="00F5066E">
        <w:rPr>
          <w:color w:val="000000" w:themeColor="text1"/>
        </w:rPr>
        <w:t> mom.</w:t>
      </w:r>
      <w:r w:rsidR="00DA29A2" w:rsidRPr="00FE3108">
        <w:rPr>
          <w:color w:val="000000" w:themeColor="text1"/>
        </w:rPr>
        <w:t xml:space="preserve">, i enskilt fall kan tillåta </w:t>
      </w:r>
      <w:r w:rsidR="001A5680" w:rsidRPr="00FE3108">
        <w:rPr>
          <w:color w:val="000000" w:themeColor="text1"/>
        </w:rPr>
        <w:t>att innehållet i hemlig handling yppas, ifall yppandet inte äventyrar hemlighållandets ä</w:t>
      </w:r>
      <w:r w:rsidR="001A5680" w:rsidRPr="00FE3108">
        <w:rPr>
          <w:color w:val="000000" w:themeColor="text1"/>
        </w:rPr>
        <w:t>n</w:t>
      </w:r>
      <w:r w:rsidR="001A5680" w:rsidRPr="00FE3108">
        <w:rPr>
          <w:color w:val="000000" w:themeColor="text1"/>
        </w:rPr>
        <w:t>damål. Bestämmelserna i 15</w:t>
      </w:r>
      <w:r w:rsidR="00F5066E">
        <w:rPr>
          <w:color w:val="000000" w:themeColor="text1"/>
        </w:rPr>
        <w:t> §</w:t>
      </w:r>
      <w:r w:rsidR="001A5680" w:rsidRPr="00FE3108">
        <w:rPr>
          <w:color w:val="000000" w:themeColor="text1"/>
        </w:rPr>
        <w:t xml:space="preserve"> 1</w:t>
      </w:r>
      <w:r w:rsidR="00F5066E">
        <w:rPr>
          <w:color w:val="000000" w:themeColor="text1"/>
        </w:rPr>
        <w:t> mom.</w:t>
      </w:r>
      <w:r w:rsidR="001A5680" w:rsidRPr="00FE3108">
        <w:rPr>
          <w:color w:val="000000" w:themeColor="text1"/>
        </w:rPr>
        <w:t xml:space="preserve"> om villkor, föreskrifter och förbi</w:t>
      </w:r>
      <w:r w:rsidR="001A5680" w:rsidRPr="00FE3108">
        <w:rPr>
          <w:color w:val="000000" w:themeColor="text1"/>
        </w:rPr>
        <w:t>n</w:t>
      </w:r>
      <w:r w:rsidR="001A5680" w:rsidRPr="00FE3108">
        <w:rPr>
          <w:color w:val="000000" w:themeColor="text1"/>
        </w:rPr>
        <w:t>delse kan härvid tillämpas enligt landskapsregeringens prövning.</w:t>
      </w:r>
    </w:p>
    <w:p w:rsidR="00E95823" w:rsidRPr="00FE3108" w:rsidRDefault="00ED419B" w:rsidP="00E95823">
      <w:pPr>
        <w:pStyle w:val="ANormal"/>
        <w:rPr>
          <w:color w:val="000000" w:themeColor="text1"/>
        </w:rPr>
      </w:pPr>
      <w:r w:rsidRPr="00FE3108">
        <w:rPr>
          <w:color w:val="000000" w:themeColor="text1"/>
        </w:rPr>
        <w:tab/>
        <w:t>I</w:t>
      </w:r>
      <w:r w:rsidR="001A5680" w:rsidRPr="00FE3108">
        <w:rPr>
          <w:color w:val="000000" w:themeColor="text1"/>
        </w:rPr>
        <w:t xml:space="preserve"> 9</w:t>
      </w:r>
      <w:r w:rsidR="00F5066E">
        <w:rPr>
          <w:color w:val="000000" w:themeColor="text1"/>
        </w:rPr>
        <w:t> §</w:t>
      </w:r>
      <w:r w:rsidR="001A5680" w:rsidRPr="00FE3108">
        <w:rPr>
          <w:color w:val="000000" w:themeColor="text1"/>
        </w:rPr>
        <w:t xml:space="preserve"> 1</w:t>
      </w:r>
      <w:r w:rsidR="00F5066E">
        <w:rPr>
          <w:color w:val="000000" w:themeColor="text1"/>
        </w:rPr>
        <w:t> mom.</w:t>
      </w:r>
      <w:r w:rsidR="001A5680" w:rsidRPr="00FE3108">
        <w:rPr>
          <w:color w:val="000000" w:themeColor="text1"/>
        </w:rPr>
        <w:t xml:space="preserve"> a-c</w:t>
      </w:r>
      <w:r w:rsidR="00F5066E">
        <w:rPr>
          <w:color w:val="000000" w:themeColor="text1"/>
        </w:rPr>
        <w:t> punkt</w:t>
      </w:r>
      <w:r w:rsidR="001A5680" w:rsidRPr="00FE3108">
        <w:rPr>
          <w:color w:val="000000" w:themeColor="text1"/>
        </w:rPr>
        <w:t xml:space="preserve">erna </w:t>
      </w:r>
      <w:r w:rsidRPr="00FE3108">
        <w:rPr>
          <w:color w:val="000000" w:themeColor="text1"/>
        </w:rPr>
        <w:t>föreskrivs att en handling ska hållas hemlig</w:t>
      </w:r>
    </w:p>
    <w:p w:rsidR="001A5680" w:rsidRPr="00FE3108" w:rsidRDefault="00E95823" w:rsidP="00E95823">
      <w:pPr>
        <w:pStyle w:val="ANormal"/>
        <w:rPr>
          <w:color w:val="000000" w:themeColor="text1"/>
        </w:rPr>
      </w:pPr>
      <w:r w:rsidRPr="00FE3108">
        <w:rPr>
          <w:color w:val="000000" w:themeColor="text1"/>
        </w:rPr>
        <w:tab/>
      </w:r>
      <w:r w:rsidR="001A5680" w:rsidRPr="00FE3108">
        <w:rPr>
          <w:color w:val="000000" w:themeColor="text1"/>
        </w:rPr>
        <w:t>a) då hemlighållande påkallas av statens säkerhet eller dess förhållande till främmande makt, försvarets intresse eller förekommande eller bei</w:t>
      </w:r>
      <w:r w:rsidR="001A5680" w:rsidRPr="00FE3108">
        <w:rPr>
          <w:color w:val="000000" w:themeColor="text1"/>
        </w:rPr>
        <w:t>v</w:t>
      </w:r>
      <w:r w:rsidR="001A5680" w:rsidRPr="00FE3108">
        <w:rPr>
          <w:color w:val="000000" w:themeColor="text1"/>
        </w:rPr>
        <w:t>rande av brott, i enlighet med vad därom närmare stadgas i rikslagstiftnin</w:t>
      </w:r>
      <w:r w:rsidR="001A5680" w:rsidRPr="00FE3108">
        <w:rPr>
          <w:color w:val="000000" w:themeColor="text1"/>
        </w:rPr>
        <w:t>g</w:t>
      </w:r>
      <w:r w:rsidR="001A5680" w:rsidRPr="00FE3108">
        <w:rPr>
          <w:color w:val="000000" w:themeColor="text1"/>
        </w:rPr>
        <w:t>en,</w:t>
      </w:r>
    </w:p>
    <w:p w:rsidR="001A5680" w:rsidRPr="00FE3108" w:rsidRDefault="00E95823" w:rsidP="001A5680">
      <w:pPr>
        <w:pStyle w:val="ANormal"/>
        <w:rPr>
          <w:color w:val="000000" w:themeColor="text1"/>
        </w:rPr>
      </w:pPr>
      <w:r w:rsidRPr="00FE3108">
        <w:rPr>
          <w:color w:val="000000" w:themeColor="text1"/>
        </w:rPr>
        <w:tab/>
      </w:r>
      <w:r w:rsidR="001A5680" w:rsidRPr="00FE3108">
        <w:rPr>
          <w:color w:val="000000" w:themeColor="text1"/>
        </w:rPr>
        <w:t>b) då handlingen är avsedd att nyttjas av fångvårdsmyndigheterna och innehåller uppgifter om fånge, i enlighet med vad därom närmare stadgas i rikslagstiftningen,</w:t>
      </w:r>
    </w:p>
    <w:p w:rsidR="001A5680" w:rsidRPr="00FE3108" w:rsidRDefault="00E95823" w:rsidP="001A5680">
      <w:pPr>
        <w:pStyle w:val="ANormal"/>
        <w:rPr>
          <w:color w:val="000000" w:themeColor="text1"/>
        </w:rPr>
      </w:pPr>
      <w:r w:rsidRPr="00FE3108">
        <w:rPr>
          <w:color w:val="000000" w:themeColor="text1"/>
        </w:rPr>
        <w:tab/>
      </w:r>
      <w:r w:rsidR="001A5680" w:rsidRPr="00FE3108">
        <w:rPr>
          <w:color w:val="000000" w:themeColor="text1"/>
        </w:rPr>
        <w:t xml:space="preserve">c) då handlingen </w:t>
      </w:r>
      <w:r w:rsidRPr="00FE3108">
        <w:rPr>
          <w:color w:val="000000" w:themeColor="text1"/>
        </w:rPr>
        <w:t>annars</w:t>
      </w:r>
      <w:r w:rsidR="001A5680" w:rsidRPr="00FE3108">
        <w:rPr>
          <w:color w:val="000000" w:themeColor="text1"/>
        </w:rPr>
        <w:t xml:space="preserve"> rör ärende som underligger</w:t>
      </w:r>
      <w:r w:rsidR="008A3FF6" w:rsidRPr="00FE3108">
        <w:rPr>
          <w:color w:val="000000" w:themeColor="text1"/>
        </w:rPr>
        <w:t xml:space="preserve"> </w:t>
      </w:r>
      <w:r w:rsidR="001A5680" w:rsidRPr="00FE3108">
        <w:rPr>
          <w:color w:val="000000" w:themeColor="text1"/>
        </w:rPr>
        <w:t>riksmyndighets fö</w:t>
      </w:r>
      <w:r w:rsidR="001A5680" w:rsidRPr="00FE3108">
        <w:rPr>
          <w:color w:val="000000" w:themeColor="text1"/>
        </w:rPr>
        <w:t>r</w:t>
      </w:r>
      <w:r w:rsidR="001A5680" w:rsidRPr="00FE3108">
        <w:rPr>
          <w:color w:val="000000" w:themeColor="text1"/>
        </w:rPr>
        <w:t>valtningsbehörighet och den enligt i riket gällande bestämmelser bör he</w:t>
      </w:r>
      <w:r w:rsidR="001A5680" w:rsidRPr="00FE3108">
        <w:rPr>
          <w:color w:val="000000" w:themeColor="text1"/>
        </w:rPr>
        <w:t>m</w:t>
      </w:r>
      <w:r w:rsidR="001A5680" w:rsidRPr="00FE3108">
        <w:rPr>
          <w:color w:val="000000" w:themeColor="text1"/>
        </w:rPr>
        <w:t>lighållas</w:t>
      </w:r>
      <w:r w:rsidR="008A3FF6" w:rsidRPr="00FE3108">
        <w:rPr>
          <w:color w:val="000000" w:themeColor="text1"/>
        </w:rPr>
        <w:t>.</w:t>
      </w:r>
    </w:p>
    <w:p w:rsidR="001A5680" w:rsidRPr="00FE3108" w:rsidRDefault="008A3FF6" w:rsidP="001A5680">
      <w:pPr>
        <w:pStyle w:val="ANormal"/>
        <w:rPr>
          <w:color w:val="000000" w:themeColor="text1"/>
        </w:rPr>
      </w:pPr>
      <w:r w:rsidRPr="00FE3108">
        <w:rPr>
          <w:color w:val="000000" w:themeColor="text1"/>
        </w:rPr>
        <w:tab/>
      </w:r>
      <w:r w:rsidR="00713A85" w:rsidRPr="00FE3108">
        <w:rPr>
          <w:color w:val="000000" w:themeColor="text1"/>
        </w:rPr>
        <w:t>I 15</w:t>
      </w:r>
      <w:r w:rsidR="00F5066E">
        <w:rPr>
          <w:color w:val="000000" w:themeColor="text1"/>
        </w:rPr>
        <w:t> §</w:t>
      </w:r>
      <w:r w:rsidR="00713A85" w:rsidRPr="00FE3108">
        <w:rPr>
          <w:color w:val="000000" w:themeColor="text1"/>
        </w:rPr>
        <w:t xml:space="preserve"> </w:t>
      </w:r>
      <w:r w:rsidR="0033666C" w:rsidRPr="00FE3108">
        <w:rPr>
          <w:color w:val="000000" w:themeColor="text1"/>
        </w:rPr>
        <w:t>1</w:t>
      </w:r>
      <w:r w:rsidR="00F5066E">
        <w:rPr>
          <w:color w:val="000000" w:themeColor="text1"/>
        </w:rPr>
        <w:t> mom.</w:t>
      </w:r>
      <w:r w:rsidR="0033666C" w:rsidRPr="00FE3108">
        <w:rPr>
          <w:color w:val="000000" w:themeColor="text1"/>
        </w:rPr>
        <w:t xml:space="preserve"> </w:t>
      </w:r>
      <w:r w:rsidR="00713A85" w:rsidRPr="00FE3108">
        <w:rPr>
          <w:color w:val="000000" w:themeColor="text1"/>
        </w:rPr>
        <w:t>i offentlighetslagen föreskrivs att h</w:t>
      </w:r>
      <w:r w:rsidR="001A5680" w:rsidRPr="00FE3108">
        <w:rPr>
          <w:color w:val="000000" w:themeColor="text1"/>
        </w:rPr>
        <w:t>andlingar som avses i 9</w:t>
      </w:r>
      <w:r w:rsidR="00F5066E">
        <w:rPr>
          <w:color w:val="000000" w:themeColor="text1"/>
        </w:rPr>
        <w:t> §</w:t>
      </w:r>
      <w:r w:rsidR="001A5680" w:rsidRPr="00FE3108">
        <w:rPr>
          <w:color w:val="000000" w:themeColor="text1"/>
        </w:rPr>
        <w:t xml:space="preserve"> 1</w:t>
      </w:r>
      <w:r w:rsidR="00F5066E">
        <w:rPr>
          <w:color w:val="000000" w:themeColor="text1"/>
        </w:rPr>
        <w:t> mom.</w:t>
      </w:r>
      <w:r w:rsidR="001A5680" w:rsidRPr="00FE3108">
        <w:rPr>
          <w:color w:val="000000" w:themeColor="text1"/>
        </w:rPr>
        <w:t xml:space="preserve"> e</w:t>
      </w:r>
      <w:r w:rsidR="00F5066E">
        <w:rPr>
          <w:color w:val="000000" w:themeColor="text1"/>
        </w:rPr>
        <w:t> punkt</w:t>
      </w:r>
      <w:r w:rsidR="001A5680" w:rsidRPr="00FE3108">
        <w:rPr>
          <w:color w:val="000000" w:themeColor="text1"/>
        </w:rPr>
        <w:t xml:space="preserve">en </w:t>
      </w:r>
      <w:r w:rsidRPr="00FE3108">
        <w:rPr>
          <w:color w:val="000000" w:themeColor="text1"/>
        </w:rPr>
        <w:t xml:space="preserve">(exempelvis handlingar som hänför sig till hälso- och sjukvården) </w:t>
      </w:r>
      <w:r w:rsidR="001A5680" w:rsidRPr="00FE3108">
        <w:rPr>
          <w:color w:val="000000" w:themeColor="text1"/>
        </w:rPr>
        <w:t>och 13</w:t>
      </w:r>
      <w:r w:rsidR="00F5066E">
        <w:rPr>
          <w:color w:val="000000" w:themeColor="text1"/>
        </w:rPr>
        <w:t> §</w:t>
      </w:r>
      <w:r w:rsidR="001A5680" w:rsidRPr="00FE3108">
        <w:rPr>
          <w:color w:val="000000" w:themeColor="text1"/>
        </w:rPr>
        <w:t xml:space="preserve"> </w:t>
      </w:r>
      <w:r w:rsidRPr="00FE3108">
        <w:rPr>
          <w:color w:val="000000" w:themeColor="text1"/>
        </w:rPr>
        <w:t xml:space="preserve">(enskilda brev som inte hör till handlingar i rättegång) </w:t>
      </w:r>
      <w:r w:rsidR="001A5680" w:rsidRPr="00FE3108">
        <w:rPr>
          <w:color w:val="000000" w:themeColor="text1"/>
        </w:rPr>
        <w:t>får, sedan de överförts till allmänt arkiv, på skriftlig motiverad begäran til</w:t>
      </w:r>
      <w:r w:rsidR="001A5680" w:rsidRPr="00FE3108">
        <w:rPr>
          <w:color w:val="000000" w:themeColor="text1"/>
        </w:rPr>
        <w:t>l</w:t>
      </w:r>
      <w:r w:rsidR="001A5680" w:rsidRPr="00FE3108">
        <w:rPr>
          <w:color w:val="000000" w:themeColor="text1"/>
        </w:rPr>
        <w:t>handahållas person som behöver handlingarna. För tillhandahållandet kan ställas villkor och ges särskilda föreskrifter. Innan handling sålunda tillha</w:t>
      </w:r>
      <w:r w:rsidR="001A5680" w:rsidRPr="00FE3108">
        <w:rPr>
          <w:color w:val="000000" w:themeColor="text1"/>
        </w:rPr>
        <w:t>n</w:t>
      </w:r>
      <w:r w:rsidR="001A5680" w:rsidRPr="00FE3108">
        <w:rPr>
          <w:color w:val="000000" w:themeColor="text1"/>
        </w:rPr>
        <w:t xml:space="preserve">dahålls, bör den person som begärt att få handlingen, avge förbindelse att iaktta villkoren och föreskrifterna för handlingens tillhandahållande och att </w:t>
      </w:r>
      <w:r w:rsidR="0033666C" w:rsidRPr="00FE3108">
        <w:rPr>
          <w:color w:val="000000" w:themeColor="text1"/>
        </w:rPr>
        <w:t>inte</w:t>
      </w:r>
      <w:r w:rsidR="001A5680" w:rsidRPr="00FE3108">
        <w:rPr>
          <w:color w:val="000000" w:themeColor="text1"/>
        </w:rPr>
        <w:t xml:space="preserve"> heller i övrigt bruka handlingen så, att detta kan skada eller förnedra den som berörs av handlingen eller anhörig till denne.</w:t>
      </w:r>
      <w:r w:rsidR="00507DFA" w:rsidRPr="00FE3108">
        <w:rPr>
          <w:color w:val="000000" w:themeColor="text1"/>
        </w:rPr>
        <w:t xml:space="preserve"> </w:t>
      </w:r>
      <w:r w:rsidR="001A5680" w:rsidRPr="00FE3108">
        <w:rPr>
          <w:color w:val="000000" w:themeColor="text1"/>
        </w:rPr>
        <w:t>Brev, eller annan e</w:t>
      </w:r>
      <w:r w:rsidR="001A5680" w:rsidRPr="00FE3108">
        <w:rPr>
          <w:color w:val="000000" w:themeColor="text1"/>
        </w:rPr>
        <w:t>n</w:t>
      </w:r>
      <w:r w:rsidR="001A5680" w:rsidRPr="00FE3108">
        <w:rPr>
          <w:color w:val="000000" w:themeColor="text1"/>
        </w:rPr>
        <w:t xml:space="preserve">skild handling som lämnats i förvar i allmänt arkiv, i bibliotek eller </w:t>
      </w:r>
      <w:r w:rsidR="0033666C" w:rsidRPr="00FE3108">
        <w:rPr>
          <w:color w:val="000000" w:themeColor="text1"/>
        </w:rPr>
        <w:t>annars</w:t>
      </w:r>
      <w:r w:rsidR="001A5680" w:rsidRPr="00FE3108">
        <w:rPr>
          <w:color w:val="000000" w:themeColor="text1"/>
        </w:rPr>
        <w:t xml:space="preserve"> hos myndighet, får </w:t>
      </w:r>
      <w:r w:rsidR="0033666C" w:rsidRPr="00FE3108">
        <w:rPr>
          <w:color w:val="000000" w:themeColor="text1"/>
        </w:rPr>
        <w:t>enligt 15</w:t>
      </w:r>
      <w:r w:rsidR="00F5066E">
        <w:rPr>
          <w:color w:val="000000" w:themeColor="text1"/>
        </w:rPr>
        <w:t> §</w:t>
      </w:r>
      <w:r w:rsidR="0033666C" w:rsidRPr="00FE3108">
        <w:rPr>
          <w:color w:val="000000" w:themeColor="text1"/>
        </w:rPr>
        <w:t xml:space="preserve"> 2</w:t>
      </w:r>
      <w:r w:rsidR="00F5066E">
        <w:rPr>
          <w:color w:val="000000" w:themeColor="text1"/>
        </w:rPr>
        <w:t> mom.</w:t>
      </w:r>
      <w:r w:rsidR="0033666C" w:rsidRPr="00FE3108">
        <w:rPr>
          <w:color w:val="000000" w:themeColor="text1"/>
        </w:rPr>
        <w:t xml:space="preserve"> i offentlighetslagen </w:t>
      </w:r>
      <w:r w:rsidR="001A5680" w:rsidRPr="00FE3108">
        <w:rPr>
          <w:color w:val="000000" w:themeColor="text1"/>
        </w:rPr>
        <w:t>i</w:t>
      </w:r>
      <w:r w:rsidR="0033666C" w:rsidRPr="00FE3108">
        <w:rPr>
          <w:color w:val="000000" w:themeColor="text1"/>
        </w:rPr>
        <w:t>nte</w:t>
      </w:r>
      <w:r w:rsidR="001A5680" w:rsidRPr="00FE3108">
        <w:rPr>
          <w:color w:val="000000" w:themeColor="text1"/>
        </w:rPr>
        <w:t xml:space="preserve"> tillhand</w:t>
      </w:r>
      <w:r w:rsidR="001A5680" w:rsidRPr="00FE3108">
        <w:rPr>
          <w:color w:val="000000" w:themeColor="text1"/>
        </w:rPr>
        <w:t>a</w:t>
      </w:r>
      <w:r w:rsidR="001A5680" w:rsidRPr="00FE3108">
        <w:rPr>
          <w:color w:val="000000" w:themeColor="text1"/>
        </w:rPr>
        <w:t>hållas</w:t>
      </w:r>
      <w:r w:rsidR="00507DFA" w:rsidRPr="00FE3108">
        <w:rPr>
          <w:color w:val="000000" w:themeColor="text1"/>
        </w:rPr>
        <w:t>, inte heller får</w:t>
      </w:r>
      <w:r w:rsidR="001A5680" w:rsidRPr="00FE3108">
        <w:rPr>
          <w:color w:val="000000" w:themeColor="text1"/>
        </w:rPr>
        <w:t xml:space="preserve"> handlingens innehåll yppas i strid med villkor som f</w:t>
      </w:r>
      <w:r w:rsidR="001A5680" w:rsidRPr="00FE3108">
        <w:rPr>
          <w:color w:val="000000" w:themeColor="text1"/>
        </w:rPr>
        <w:t>ö</w:t>
      </w:r>
      <w:r w:rsidR="001A5680" w:rsidRPr="00FE3108">
        <w:rPr>
          <w:color w:val="000000" w:themeColor="text1"/>
        </w:rPr>
        <w:t>reskrivits i samband med överlämnandet.</w:t>
      </w:r>
    </w:p>
    <w:p w:rsidR="001A5680" w:rsidRPr="00FE3108" w:rsidRDefault="00507DFA" w:rsidP="001A5680">
      <w:pPr>
        <w:pStyle w:val="ANormal"/>
        <w:rPr>
          <w:color w:val="000000" w:themeColor="text1"/>
        </w:rPr>
      </w:pPr>
      <w:r w:rsidRPr="00FE3108">
        <w:rPr>
          <w:color w:val="000000" w:themeColor="text1"/>
        </w:rPr>
        <w:tab/>
        <w:t xml:space="preserve">Sammanfattningsvis ger </w:t>
      </w:r>
      <w:r w:rsidR="007A70A7" w:rsidRPr="00FE3108">
        <w:rPr>
          <w:color w:val="000000" w:themeColor="text1"/>
        </w:rPr>
        <w:t>en korrekt tolkning av</w:t>
      </w:r>
      <w:r w:rsidR="001A5680" w:rsidRPr="00FE3108">
        <w:rPr>
          <w:color w:val="000000" w:themeColor="text1"/>
        </w:rPr>
        <w:t xml:space="preserve"> </w:t>
      </w:r>
      <w:r w:rsidR="00AE77E5" w:rsidRPr="00FE3108">
        <w:rPr>
          <w:color w:val="000000" w:themeColor="text1"/>
        </w:rPr>
        <w:t xml:space="preserve">de </w:t>
      </w:r>
      <w:r w:rsidR="004B2D64" w:rsidRPr="00FE3108">
        <w:rPr>
          <w:color w:val="000000" w:themeColor="text1"/>
        </w:rPr>
        <w:t xml:space="preserve">här ovan </w:t>
      </w:r>
      <w:r w:rsidR="00DC0568" w:rsidRPr="00FE3108">
        <w:rPr>
          <w:color w:val="000000" w:themeColor="text1"/>
        </w:rPr>
        <w:t xml:space="preserve">nämnda </w:t>
      </w:r>
      <w:r w:rsidR="001A5680" w:rsidRPr="00FE3108">
        <w:rPr>
          <w:color w:val="000000" w:themeColor="text1"/>
        </w:rPr>
        <w:t>b</w:t>
      </w:r>
      <w:r w:rsidR="001A5680" w:rsidRPr="00FE3108">
        <w:rPr>
          <w:color w:val="000000" w:themeColor="text1"/>
        </w:rPr>
        <w:t>e</w:t>
      </w:r>
      <w:r w:rsidR="001A5680" w:rsidRPr="00FE3108">
        <w:rPr>
          <w:color w:val="000000" w:themeColor="text1"/>
        </w:rPr>
        <w:t>stämmelser</w:t>
      </w:r>
      <w:r w:rsidR="00DC0568" w:rsidRPr="00FE3108">
        <w:rPr>
          <w:color w:val="000000" w:themeColor="text1"/>
        </w:rPr>
        <w:t>na</w:t>
      </w:r>
      <w:r w:rsidR="001A5680" w:rsidRPr="00FE3108">
        <w:rPr>
          <w:color w:val="000000" w:themeColor="text1"/>
        </w:rPr>
        <w:t xml:space="preserve"> </w:t>
      </w:r>
      <w:r w:rsidRPr="00FE3108">
        <w:rPr>
          <w:color w:val="000000" w:themeColor="text1"/>
        </w:rPr>
        <w:t xml:space="preserve">vid handen att det </w:t>
      </w:r>
      <w:r w:rsidR="007A70A7" w:rsidRPr="00FE3108">
        <w:rPr>
          <w:color w:val="000000" w:themeColor="text1"/>
        </w:rPr>
        <w:t xml:space="preserve">finns </w:t>
      </w:r>
      <w:r w:rsidR="001A5680" w:rsidRPr="00FE3108">
        <w:rPr>
          <w:color w:val="000000" w:themeColor="text1"/>
        </w:rPr>
        <w:t>en möjlighet att på vissa strikta pr</w:t>
      </w:r>
      <w:r w:rsidR="001A5680" w:rsidRPr="00FE3108">
        <w:rPr>
          <w:color w:val="000000" w:themeColor="text1"/>
        </w:rPr>
        <w:t>e</w:t>
      </w:r>
      <w:r w:rsidR="001A5680" w:rsidRPr="00FE3108">
        <w:rPr>
          <w:color w:val="000000" w:themeColor="text1"/>
        </w:rPr>
        <w:t xml:space="preserve">misser lämna ut sådana uppgifter </w:t>
      </w:r>
      <w:r w:rsidR="007A70A7" w:rsidRPr="00FE3108">
        <w:rPr>
          <w:color w:val="000000" w:themeColor="text1"/>
        </w:rPr>
        <w:t>varom här är fråga i syfte att främja den vetenskapliga forskningen</w:t>
      </w:r>
      <w:r w:rsidR="001A5680" w:rsidRPr="00FE3108">
        <w:rPr>
          <w:color w:val="000000" w:themeColor="text1"/>
        </w:rPr>
        <w:t>.</w:t>
      </w:r>
      <w:r w:rsidR="00896B10" w:rsidRPr="00FE3108">
        <w:rPr>
          <w:color w:val="000000" w:themeColor="text1"/>
        </w:rPr>
        <w:t xml:space="preserve"> Det bör tilläggas att sekretessbelagda handlin</w:t>
      </w:r>
      <w:r w:rsidR="00896B10" w:rsidRPr="00FE3108">
        <w:rPr>
          <w:color w:val="000000" w:themeColor="text1"/>
        </w:rPr>
        <w:t>g</w:t>
      </w:r>
      <w:r w:rsidR="00896B10" w:rsidRPr="00FE3108">
        <w:rPr>
          <w:color w:val="000000" w:themeColor="text1"/>
        </w:rPr>
        <w:t xml:space="preserve">ar </w:t>
      </w:r>
      <w:r w:rsidR="008251F2" w:rsidRPr="00FE3108">
        <w:rPr>
          <w:color w:val="000000" w:themeColor="text1"/>
        </w:rPr>
        <w:t xml:space="preserve">då </w:t>
      </w:r>
      <w:r w:rsidR="00896B10" w:rsidRPr="00FE3108">
        <w:rPr>
          <w:color w:val="000000" w:themeColor="text1"/>
        </w:rPr>
        <w:t xml:space="preserve">kan lämnas ut men efter det att myndigheten anonymiserat handlingen </w:t>
      </w:r>
      <w:r w:rsidR="008251F2" w:rsidRPr="00FE3108">
        <w:rPr>
          <w:color w:val="000000" w:themeColor="text1"/>
        </w:rPr>
        <w:t xml:space="preserve">vilket innebär att </w:t>
      </w:r>
      <w:r w:rsidR="00896B10" w:rsidRPr="00FE3108">
        <w:rPr>
          <w:color w:val="000000" w:themeColor="text1"/>
        </w:rPr>
        <w:t xml:space="preserve">vissa </w:t>
      </w:r>
      <w:r w:rsidR="00BB1399" w:rsidRPr="00FE3108">
        <w:rPr>
          <w:color w:val="000000" w:themeColor="text1"/>
        </w:rPr>
        <w:t xml:space="preserve">uppgifter som med tanke på forskningsändamålet inte behövs döljs på ett </w:t>
      </w:r>
      <w:r w:rsidR="008251F2" w:rsidRPr="00FE3108">
        <w:rPr>
          <w:color w:val="000000" w:themeColor="text1"/>
        </w:rPr>
        <w:t>tillfredsställande</w:t>
      </w:r>
      <w:r w:rsidR="00BB1399" w:rsidRPr="00FE3108">
        <w:rPr>
          <w:color w:val="000000" w:themeColor="text1"/>
        </w:rPr>
        <w:t xml:space="preserve"> sätt.</w:t>
      </w:r>
    </w:p>
    <w:p w:rsidR="001C77BD" w:rsidRPr="00FE3108" w:rsidRDefault="001C77BD" w:rsidP="001C77BD">
      <w:pPr>
        <w:pStyle w:val="ANormal"/>
        <w:rPr>
          <w:color w:val="000000" w:themeColor="text1"/>
        </w:rPr>
      </w:pPr>
    </w:p>
    <w:p w:rsidR="00627D5E" w:rsidRDefault="00627D5E" w:rsidP="00627D5E">
      <w:pPr>
        <w:pStyle w:val="RubrikB"/>
      </w:pPr>
      <w:bookmarkStart w:id="13" w:name="_Toc536088445"/>
      <w:r>
        <w:t>4. Förslagets konsekvenser</w:t>
      </w:r>
      <w:bookmarkEnd w:id="13"/>
    </w:p>
    <w:p w:rsidR="00627D5E" w:rsidRDefault="00627D5E" w:rsidP="00627D5E">
      <w:pPr>
        <w:pStyle w:val="Rubrikmellanrum"/>
      </w:pPr>
    </w:p>
    <w:p w:rsidR="00A065BF" w:rsidRDefault="00A065BF" w:rsidP="00A065BF">
      <w:pPr>
        <w:pStyle w:val="ANormal"/>
      </w:pPr>
      <w:r>
        <w:t xml:space="preserve">Oklarheten beträffande sekretesstiderna för allmänna handlingar inom hälso- och sjukvården </w:t>
      </w:r>
      <w:r w:rsidR="0094471F">
        <w:t xml:space="preserve">samt socialvården </w:t>
      </w:r>
      <w:r>
        <w:t>skapar tolkningssvårigheter</w:t>
      </w:r>
      <w:r w:rsidR="00AD199F">
        <w:t>.</w:t>
      </w:r>
      <w:r>
        <w:t xml:space="preserve"> De föreslagna ändringarna medför att en mycket oklar situation undanröjs</w:t>
      </w:r>
      <w:r w:rsidR="0094471F">
        <w:t>, till nytta både för den enskilde och för samhället</w:t>
      </w:r>
      <w:r>
        <w:t>.</w:t>
      </w:r>
    </w:p>
    <w:p w:rsidR="00AA4837" w:rsidRDefault="00A065BF" w:rsidP="00627D5E">
      <w:pPr>
        <w:pStyle w:val="ANormal"/>
      </w:pPr>
      <w:r>
        <w:tab/>
      </w:r>
      <w:r w:rsidR="005614C7">
        <w:t xml:space="preserve">Förslaget har </w:t>
      </w:r>
      <w:r>
        <w:t xml:space="preserve">i övrigt </w:t>
      </w:r>
      <w:r w:rsidR="005614C7">
        <w:t xml:space="preserve">inga avgörande ekonomiska eller administrativa konsekvenser. Såvitt bekant påverkar förslaget inte heller jämställdheten </w:t>
      </w:r>
      <w:r w:rsidR="005614C7">
        <w:lastRenderedPageBreak/>
        <w:t xml:space="preserve">mellan kvinnor och män eller miljön. </w:t>
      </w:r>
      <w:r w:rsidR="00FA47D1">
        <w:t>Vad gäller barnkonsekvenserna inn</w:t>
      </w:r>
      <w:r w:rsidR="00FA47D1">
        <w:t>e</w:t>
      </w:r>
      <w:r w:rsidR="00FA47D1">
        <w:t>bär förslaget att förlängda sekretesstider ytterligare stärker barns rätt att inte utsättas för obehag</w:t>
      </w:r>
      <w:r w:rsidR="005B6183">
        <w:t>.</w:t>
      </w:r>
      <w:r w:rsidR="00FA47D1">
        <w:t xml:space="preserve"> </w:t>
      </w:r>
      <w:r w:rsidR="005B6183">
        <w:t xml:space="preserve">Genom </w:t>
      </w:r>
      <w:r w:rsidR="00FA47D1">
        <w:t xml:space="preserve">att </w:t>
      </w:r>
      <w:r w:rsidR="00EB5C06">
        <w:t xml:space="preserve">lagstiftningsvägen göra det möjligt att </w:t>
      </w:r>
      <w:r w:rsidR="005B6183">
        <w:t xml:space="preserve">under en tillräckligt lång </w:t>
      </w:r>
      <w:r w:rsidR="00476F1D">
        <w:t xml:space="preserve">tid </w:t>
      </w:r>
      <w:r w:rsidR="005B6183">
        <w:t xml:space="preserve">hemlighålla </w:t>
      </w:r>
      <w:r w:rsidR="00FA47D1">
        <w:t xml:space="preserve">känsliga uppgifter om </w:t>
      </w:r>
      <w:r w:rsidR="005B6183">
        <w:t xml:space="preserve">exempelvis </w:t>
      </w:r>
      <w:r w:rsidR="00FA47D1">
        <w:t xml:space="preserve">barns föräldrar </w:t>
      </w:r>
      <w:r w:rsidR="006A5A4E">
        <w:t xml:space="preserve">minskar </w:t>
      </w:r>
      <w:r w:rsidR="008E450D">
        <w:t xml:space="preserve">även </w:t>
      </w:r>
      <w:r w:rsidR="006A5A4E">
        <w:t>risken för</w:t>
      </w:r>
      <w:r w:rsidR="005B6183">
        <w:t xml:space="preserve"> att </w:t>
      </w:r>
      <w:r w:rsidR="00BF099E">
        <w:t>föräldrarnas integritet äventyras</w:t>
      </w:r>
      <w:r w:rsidR="004A6EDE">
        <w:t>,</w:t>
      </w:r>
      <w:r w:rsidR="006A5A4E">
        <w:t xml:space="preserve"> något som </w:t>
      </w:r>
      <w:r w:rsidR="00465353">
        <w:t xml:space="preserve">annars </w:t>
      </w:r>
      <w:r w:rsidR="006A5A4E">
        <w:t xml:space="preserve">skulle kunna bli följden om </w:t>
      </w:r>
      <w:r w:rsidR="00BF099E">
        <w:t>känsliga uppgifter</w:t>
      </w:r>
      <w:r w:rsidR="006A5A4E">
        <w:t xml:space="preserve"> offentliggjordes i ett alltför tidigt skede.</w:t>
      </w:r>
      <w:r w:rsidR="001D00DC">
        <w:t xml:space="preserve"> Uppgifterna skulle exempelvis kunna gälla allva</w:t>
      </w:r>
      <w:r w:rsidR="001D00DC">
        <w:t>r</w:t>
      </w:r>
      <w:r w:rsidR="001D00DC">
        <w:t>liga sjukdomar.</w:t>
      </w:r>
    </w:p>
    <w:p w:rsidR="005B6183" w:rsidRDefault="005B6183" w:rsidP="00627D5E">
      <w:pPr>
        <w:pStyle w:val="ANormal"/>
      </w:pPr>
    </w:p>
    <w:p w:rsidR="00627D5E" w:rsidRDefault="00627D5E" w:rsidP="00627D5E">
      <w:pPr>
        <w:pStyle w:val="RubrikB"/>
      </w:pPr>
      <w:bookmarkStart w:id="14" w:name="_Toc536088446"/>
      <w:r>
        <w:t>5. Beredningsarbete</w:t>
      </w:r>
      <w:bookmarkEnd w:id="14"/>
    </w:p>
    <w:p w:rsidR="00627D5E" w:rsidRDefault="00627D5E" w:rsidP="00627D5E">
      <w:pPr>
        <w:pStyle w:val="Rubrikmellanrum"/>
      </w:pPr>
    </w:p>
    <w:p w:rsidR="00627D5E" w:rsidRDefault="00170020" w:rsidP="00627D5E">
      <w:pPr>
        <w:pStyle w:val="ANormal"/>
      </w:pPr>
      <w:r>
        <w:t xml:space="preserve">Förslaget har i samarbete med social- och miljöavdelningen beretts som tjänstemannauppdrag </w:t>
      </w:r>
      <w:r w:rsidR="0023788A">
        <w:t>vid lagberedningen.</w:t>
      </w:r>
    </w:p>
    <w:p w:rsidR="008A6FF8" w:rsidRDefault="008A6FF8" w:rsidP="00627D5E">
      <w:pPr>
        <w:pStyle w:val="ANormal"/>
      </w:pPr>
    </w:p>
    <w:p w:rsidR="008A6FF8" w:rsidRPr="00B713B9" w:rsidRDefault="003C2428" w:rsidP="0028083F">
      <w:pPr>
        <w:pStyle w:val="RubrikB"/>
        <w:rPr>
          <w:color w:val="000000" w:themeColor="text1"/>
        </w:rPr>
      </w:pPr>
      <w:bookmarkStart w:id="15" w:name="_Toc536088447"/>
      <w:r w:rsidRPr="00B713B9">
        <w:rPr>
          <w:color w:val="000000" w:themeColor="text1"/>
        </w:rPr>
        <w:t>6. Övrig</w:t>
      </w:r>
      <w:r w:rsidR="00001D6C" w:rsidRPr="00B713B9">
        <w:rPr>
          <w:color w:val="000000" w:themeColor="text1"/>
        </w:rPr>
        <w:t>t</w:t>
      </w:r>
      <w:bookmarkEnd w:id="15"/>
    </w:p>
    <w:p w:rsidR="003C2428" w:rsidRPr="00B713B9" w:rsidRDefault="003C2428" w:rsidP="003C2428">
      <w:pPr>
        <w:pStyle w:val="Rubrikmellanrum"/>
        <w:rPr>
          <w:color w:val="000000" w:themeColor="text1"/>
        </w:rPr>
      </w:pPr>
    </w:p>
    <w:p w:rsidR="00FE59C2" w:rsidRPr="00B713B9" w:rsidRDefault="00424968" w:rsidP="003C2428">
      <w:pPr>
        <w:pStyle w:val="ANormal"/>
        <w:rPr>
          <w:color w:val="000000" w:themeColor="text1"/>
        </w:rPr>
      </w:pPr>
      <w:r w:rsidRPr="00424968">
        <w:rPr>
          <w:color w:val="000000" w:themeColor="text1"/>
        </w:rPr>
        <w:t>Det har bedömts att det är mest ändamålsenligt att på Åland i huvudsak ti</w:t>
      </w:r>
      <w:r w:rsidRPr="00424968">
        <w:rPr>
          <w:color w:val="000000" w:themeColor="text1"/>
        </w:rPr>
        <w:t>l</w:t>
      </w:r>
      <w:r w:rsidRPr="00424968">
        <w:rPr>
          <w:color w:val="000000" w:themeColor="text1"/>
        </w:rPr>
        <w:t>lämpa det materiella regelverk som gäller i riket vad gäller patientens stäl</w:t>
      </w:r>
      <w:r w:rsidRPr="00424968">
        <w:rPr>
          <w:color w:val="000000" w:themeColor="text1"/>
        </w:rPr>
        <w:t>l</w:t>
      </w:r>
      <w:r w:rsidRPr="00424968">
        <w:rPr>
          <w:color w:val="000000" w:themeColor="text1"/>
        </w:rPr>
        <w:t>ning och rättigheter. Det har i beredningen inte framkommit omständighe</w:t>
      </w:r>
      <w:r w:rsidRPr="00424968">
        <w:rPr>
          <w:color w:val="000000" w:themeColor="text1"/>
        </w:rPr>
        <w:t>t</w:t>
      </w:r>
      <w:r w:rsidRPr="00424968">
        <w:rPr>
          <w:color w:val="000000" w:themeColor="text1"/>
        </w:rPr>
        <w:t>er som skulle tala för att behålla dagens, svagare integritetsskydd på Åland.</w:t>
      </w:r>
      <w:r w:rsidR="005D6A1A" w:rsidRPr="00B713B9">
        <w:rPr>
          <w:color w:val="000000" w:themeColor="text1"/>
        </w:rPr>
        <w:tab/>
        <w:t>R</w:t>
      </w:r>
      <w:r w:rsidR="000643D9" w:rsidRPr="00B713B9">
        <w:rPr>
          <w:color w:val="000000" w:themeColor="text1"/>
        </w:rPr>
        <w:t xml:space="preserve">ikets patientlag innehåller </w:t>
      </w:r>
      <w:r w:rsidR="009A7150" w:rsidRPr="00B713B9">
        <w:rPr>
          <w:color w:val="000000" w:themeColor="text1"/>
        </w:rPr>
        <w:t>sekretess</w:t>
      </w:r>
      <w:r w:rsidR="000643D9" w:rsidRPr="00B713B9">
        <w:rPr>
          <w:color w:val="000000" w:themeColor="text1"/>
        </w:rPr>
        <w:t xml:space="preserve">bestämmelser </w:t>
      </w:r>
      <w:r w:rsidR="009A7150" w:rsidRPr="00B713B9">
        <w:rPr>
          <w:color w:val="000000" w:themeColor="text1"/>
        </w:rPr>
        <w:t>(13</w:t>
      </w:r>
      <w:r w:rsidR="00F5066E">
        <w:rPr>
          <w:color w:val="000000" w:themeColor="text1"/>
        </w:rPr>
        <w:t> §</w:t>
      </w:r>
      <w:r w:rsidR="009A7150" w:rsidRPr="00B713B9">
        <w:rPr>
          <w:color w:val="000000" w:themeColor="text1"/>
        </w:rPr>
        <w:t xml:space="preserve"> om sekretes</w:t>
      </w:r>
      <w:r w:rsidR="009A7150" w:rsidRPr="00B713B9">
        <w:rPr>
          <w:color w:val="000000" w:themeColor="text1"/>
        </w:rPr>
        <w:t>s</w:t>
      </w:r>
      <w:r w:rsidR="009A7150" w:rsidRPr="00B713B9">
        <w:rPr>
          <w:color w:val="000000" w:themeColor="text1"/>
        </w:rPr>
        <w:t xml:space="preserve">belagda uppgifter i </w:t>
      </w:r>
      <w:r w:rsidR="005D6A1A" w:rsidRPr="00B713B9">
        <w:rPr>
          <w:color w:val="000000" w:themeColor="text1"/>
        </w:rPr>
        <w:t xml:space="preserve">journalhandlingarna) </w:t>
      </w:r>
      <w:r w:rsidR="00FE59C2" w:rsidRPr="00B713B9">
        <w:rPr>
          <w:color w:val="000000" w:themeColor="text1"/>
        </w:rPr>
        <w:t xml:space="preserve">vilka i sin tur är kopplade till </w:t>
      </w:r>
      <w:r w:rsidR="005D6A1A" w:rsidRPr="00B713B9">
        <w:rPr>
          <w:color w:val="000000" w:themeColor="text1"/>
        </w:rPr>
        <w:t>b</w:t>
      </w:r>
      <w:r w:rsidR="005D6A1A" w:rsidRPr="00B713B9">
        <w:rPr>
          <w:color w:val="000000" w:themeColor="text1"/>
        </w:rPr>
        <w:t>e</w:t>
      </w:r>
      <w:r w:rsidR="005D6A1A" w:rsidRPr="00B713B9">
        <w:rPr>
          <w:color w:val="000000" w:themeColor="text1"/>
        </w:rPr>
        <w:t xml:space="preserve">stämmelser om sekretesstider i </w:t>
      </w:r>
      <w:r w:rsidR="00FE59C2" w:rsidRPr="00B713B9">
        <w:rPr>
          <w:color w:val="000000" w:themeColor="text1"/>
        </w:rPr>
        <w:t>rik</w:t>
      </w:r>
      <w:r w:rsidR="00DC278C" w:rsidRPr="00B713B9">
        <w:rPr>
          <w:color w:val="000000" w:themeColor="text1"/>
        </w:rPr>
        <w:t>ets lag om offentlighet i myndigheternas verksamhet (FFS 621/1999</w:t>
      </w:r>
      <w:r w:rsidR="005D6A1A" w:rsidRPr="00B713B9">
        <w:rPr>
          <w:color w:val="000000" w:themeColor="text1"/>
        </w:rPr>
        <w:t>, 31</w:t>
      </w:r>
      <w:r w:rsidR="00F5066E">
        <w:rPr>
          <w:color w:val="000000" w:themeColor="text1"/>
        </w:rPr>
        <w:t> §</w:t>
      </w:r>
      <w:r w:rsidR="005D6A1A" w:rsidRPr="00B713B9">
        <w:rPr>
          <w:color w:val="000000" w:themeColor="text1"/>
        </w:rPr>
        <w:t xml:space="preserve"> om upphörande av sekretess i fråga om en myndighetshandling</w:t>
      </w:r>
      <w:r w:rsidR="00DC278C" w:rsidRPr="00B713B9">
        <w:rPr>
          <w:color w:val="000000" w:themeColor="text1"/>
        </w:rPr>
        <w:t>)</w:t>
      </w:r>
      <w:r w:rsidR="005D6A1A" w:rsidRPr="00B713B9">
        <w:rPr>
          <w:color w:val="000000" w:themeColor="text1"/>
        </w:rPr>
        <w:t>. I nämnda 31</w:t>
      </w:r>
      <w:r w:rsidR="00F5066E">
        <w:rPr>
          <w:color w:val="000000" w:themeColor="text1"/>
        </w:rPr>
        <w:t> §</w:t>
      </w:r>
      <w:r w:rsidR="005D6A1A" w:rsidRPr="00B713B9">
        <w:rPr>
          <w:color w:val="000000" w:themeColor="text1"/>
        </w:rPr>
        <w:t xml:space="preserve"> i lagen om offentlighet i myndighe</w:t>
      </w:r>
      <w:r w:rsidR="005D6A1A" w:rsidRPr="00B713B9">
        <w:rPr>
          <w:color w:val="000000" w:themeColor="text1"/>
        </w:rPr>
        <w:t>t</w:t>
      </w:r>
      <w:r w:rsidR="005D6A1A" w:rsidRPr="00B713B9">
        <w:rPr>
          <w:color w:val="000000" w:themeColor="text1"/>
        </w:rPr>
        <w:t xml:space="preserve">ernas verksamhet finns föreskrifter som </w:t>
      </w:r>
      <w:r w:rsidR="0045695F" w:rsidRPr="00B713B9">
        <w:rPr>
          <w:color w:val="000000" w:themeColor="text1"/>
        </w:rPr>
        <w:t xml:space="preserve">bl.a. </w:t>
      </w:r>
      <w:r w:rsidR="005D6A1A" w:rsidRPr="00B713B9">
        <w:rPr>
          <w:color w:val="000000" w:themeColor="text1"/>
        </w:rPr>
        <w:t xml:space="preserve">anger förutsättningarna för </w:t>
      </w:r>
      <w:r w:rsidR="00CD60B2" w:rsidRPr="00B713B9">
        <w:rPr>
          <w:color w:val="000000" w:themeColor="text1"/>
        </w:rPr>
        <w:t>när en han</w:t>
      </w:r>
      <w:r w:rsidR="00DB57AF" w:rsidRPr="00B713B9">
        <w:rPr>
          <w:color w:val="000000" w:themeColor="text1"/>
        </w:rPr>
        <w:t xml:space="preserve">dling </w:t>
      </w:r>
      <w:r w:rsidR="0045695F" w:rsidRPr="00B713B9">
        <w:rPr>
          <w:color w:val="000000" w:themeColor="text1"/>
        </w:rPr>
        <w:t>ska bli offentlig efter 50 respektive 100 år. Den slutsats som kan dras av regelverkets uppbyggnad och innehåll är att 50</w:t>
      </w:r>
      <w:r w:rsidR="0007443C" w:rsidRPr="00B713B9">
        <w:rPr>
          <w:color w:val="000000" w:themeColor="text1"/>
        </w:rPr>
        <w:t>-</w:t>
      </w:r>
      <w:r w:rsidR="0045695F" w:rsidRPr="00B713B9">
        <w:rPr>
          <w:color w:val="000000" w:themeColor="text1"/>
        </w:rPr>
        <w:t xml:space="preserve">årsgränsen </w:t>
      </w:r>
      <w:r w:rsidR="0007443C" w:rsidRPr="00B713B9">
        <w:rPr>
          <w:color w:val="000000" w:themeColor="text1"/>
        </w:rPr>
        <w:t xml:space="preserve">och 100-årsgränsen </w:t>
      </w:r>
      <w:r w:rsidR="00FC0B31" w:rsidRPr="00B713B9">
        <w:rPr>
          <w:color w:val="000000" w:themeColor="text1"/>
        </w:rPr>
        <w:t xml:space="preserve">i riket, </w:t>
      </w:r>
      <w:r w:rsidR="0007443C" w:rsidRPr="00B713B9">
        <w:rPr>
          <w:color w:val="000000" w:themeColor="text1"/>
        </w:rPr>
        <w:t xml:space="preserve">vad gäller </w:t>
      </w:r>
      <w:r w:rsidR="00FC0B31" w:rsidRPr="00B713B9">
        <w:rPr>
          <w:color w:val="000000" w:themeColor="text1"/>
        </w:rPr>
        <w:t xml:space="preserve">sådan </w:t>
      </w:r>
      <w:r w:rsidR="009F60B8" w:rsidRPr="00B713B9">
        <w:rPr>
          <w:color w:val="000000" w:themeColor="text1"/>
        </w:rPr>
        <w:t xml:space="preserve">handlingar </w:t>
      </w:r>
      <w:r w:rsidR="00FC0B31" w:rsidRPr="00B713B9">
        <w:rPr>
          <w:color w:val="000000" w:themeColor="text1"/>
        </w:rPr>
        <w:t xml:space="preserve">liknande de </w:t>
      </w:r>
      <w:r w:rsidR="009F60B8" w:rsidRPr="00B713B9">
        <w:rPr>
          <w:color w:val="000000" w:themeColor="text1"/>
        </w:rPr>
        <w:t xml:space="preserve">som avses i </w:t>
      </w:r>
      <w:r w:rsidR="008920C9" w:rsidRPr="00B713B9">
        <w:rPr>
          <w:color w:val="000000" w:themeColor="text1"/>
        </w:rPr>
        <w:t>den nedan föreslagna ändringen av 17</w:t>
      </w:r>
      <w:r w:rsidR="00F5066E">
        <w:rPr>
          <w:color w:val="000000" w:themeColor="text1"/>
        </w:rPr>
        <w:t> §</w:t>
      </w:r>
      <w:r w:rsidR="008920C9" w:rsidRPr="00B713B9">
        <w:rPr>
          <w:color w:val="000000" w:themeColor="text1"/>
        </w:rPr>
        <w:t xml:space="preserve"> i offentlighetslagen</w:t>
      </w:r>
      <w:r w:rsidR="00FC0B31" w:rsidRPr="00B713B9">
        <w:rPr>
          <w:color w:val="000000" w:themeColor="text1"/>
        </w:rPr>
        <w:t>,</w:t>
      </w:r>
      <w:r w:rsidR="008920C9" w:rsidRPr="00B713B9">
        <w:rPr>
          <w:color w:val="000000" w:themeColor="text1"/>
        </w:rPr>
        <w:t xml:space="preserve"> varit i</w:t>
      </w:r>
      <w:r w:rsidR="00652511">
        <w:rPr>
          <w:color w:val="000000" w:themeColor="text1"/>
        </w:rPr>
        <w:t xml:space="preserve"> </w:t>
      </w:r>
      <w:r w:rsidR="008920C9" w:rsidRPr="00B713B9">
        <w:rPr>
          <w:color w:val="000000" w:themeColor="text1"/>
        </w:rPr>
        <w:t xml:space="preserve">kraft alltsedan </w:t>
      </w:r>
      <w:r w:rsidR="00FC0B31" w:rsidRPr="00B713B9">
        <w:rPr>
          <w:color w:val="000000" w:themeColor="text1"/>
        </w:rPr>
        <w:t>1 december 1999.</w:t>
      </w:r>
    </w:p>
    <w:p w:rsidR="00C71F66" w:rsidRDefault="00DB57AF" w:rsidP="003C2428">
      <w:pPr>
        <w:pStyle w:val="ANormal"/>
        <w:rPr>
          <w:color w:val="000000" w:themeColor="text1"/>
        </w:rPr>
      </w:pPr>
      <w:r w:rsidRPr="00B713B9">
        <w:rPr>
          <w:color w:val="000000" w:themeColor="text1"/>
        </w:rPr>
        <w:tab/>
      </w:r>
      <w:r w:rsidR="009A7150" w:rsidRPr="00B713B9">
        <w:rPr>
          <w:color w:val="000000" w:themeColor="text1"/>
        </w:rPr>
        <w:t>Blankettlagen i kombination med de föreslagna bestämmelserna om fö</w:t>
      </w:r>
      <w:r w:rsidR="009A7150" w:rsidRPr="00B713B9">
        <w:rPr>
          <w:color w:val="000000" w:themeColor="text1"/>
        </w:rPr>
        <w:t>r</w:t>
      </w:r>
      <w:r w:rsidR="009A7150" w:rsidRPr="00B713B9">
        <w:rPr>
          <w:color w:val="000000" w:themeColor="text1"/>
        </w:rPr>
        <w:t>längda sekretesstider i offentlighets</w:t>
      </w:r>
      <w:r w:rsidR="00DC278C" w:rsidRPr="00B713B9">
        <w:rPr>
          <w:color w:val="000000" w:themeColor="text1"/>
        </w:rPr>
        <w:t>lagen</w:t>
      </w:r>
      <w:r w:rsidR="009A7150" w:rsidRPr="00B713B9">
        <w:rPr>
          <w:color w:val="000000" w:themeColor="text1"/>
        </w:rPr>
        <w:t xml:space="preserve"> skapar</w:t>
      </w:r>
      <w:r w:rsidR="00DC278C" w:rsidRPr="00B713B9">
        <w:rPr>
          <w:color w:val="000000" w:themeColor="text1"/>
        </w:rPr>
        <w:t>,</w:t>
      </w:r>
      <w:r w:rsidR="009A7150" w:rsidRPr="00B713B9">
        <w:rPr>
          <w:color w:val="000000" w:themeColor="text1"/>
        </w:rPr>
        <w:t xml:space="preserve"> inom ramen för </w:t>
      </w:r>
      <w:r w:rsidR="00DC278C" w:rsidRPr="00B713B9">
        <w:rPr>
          <w:color w:val="000000" w:themeColor="text1"/>
        </w:rPr>
        <w:t>utgång</w:t>
      </w:r>
      <w:r w:rsidR="00DC278C" w:rsidRPr="00B713B9">
        <w:rPr>
          <w:color w:val="000000" w:themeColor="text1"/>
        </w:rPr>
        <w:t>s</w:t>
      </w:r>
      <w:r w:rsidR="00DC278C" w:rsidRPr="00B713B9">
        <w:rPr>
          <w:color w:val="000000" w:themeColor="text1"/>
        </w:rPr>
        <w:t>punkterna och avgränsningarna i detta lagförslag</w:t>
      </w:r>
      <w:r w:rsidRPr="00B713B9">
        <w:rPr>
          <w:color w:val="000000" w:themeColor="text1"/>
        </w:rPr>
        <w:t xml:space="preserve"> samt</w:t>
      </w:r>
      <w:r w:rsidR="00DC278C" w:rsidRPr="00B713B9">
        <w:rPr>
          <w:color w:val="000000" w:themeColor="text1"/>
        </w:rPr>
        <w:t xml:space="preserve"> </w:t>
      </w:r>
      <w:r w:rsidR="009A7150" w:rsidRPr="00B713B9">
        <w:rPr>
          <w:color w:val="000000" w:themeColor="text1"/>
        </w:rPr>
        <w:t xml:space="preserve">med tanke på den enskildes rätt att på Åland komma i åtnjutande av samma integritetsskydd som dennes motsvarighet </w:t>
      </w:r>
      <w:r w:rsidR="00FC0B31" w:rsidRPr="00B713B9">
        <w:rPr>
          <w:color w:val="000000" w:themeColor="text1"/>
        </w:rPr>
        <w:t xml:space="preserve">redan </w:t>
      </w:r>
      <w:r w:rsidR="009A7150" w:rsidRPr="00B713B9">
        <w:rPr>
          <w:color w:val="000000" w:themeColor="text1"/>
        </w:rPr>
        <w:t>tillerkänns i riket</w:t>
      </w:r>
      <w:r w:rsidR="00BA77BD" w:rsidRPr="00B713B9">
        <w:rPr>
          <w:color w:val="000000" w:themeColor="text1"/>
        </w:rPr>
        <w:t>,</w:t>
      </w:r>
      <w:r w:rsidRPr="00B713B9">
        <w:rPr>
          <w:color w:val="000000" w:themeColor="text1"/>
        </w:rPr>
        <w:t xml:space="preserve"> </w:t>
      </w:r>
      <w:r w:rsidR="0007443C" w:rsidRPr="00B713B9">
        <w:rPr>
          <w:color w:val="000000" w:themeColor="text1"/>
        </w:rPr>
        <w:t xml:space="preserve">ett </w:t>
      </w:r>
      <w:r w:rsidRPr="00B713B9">
        <w:rPr>
          <w:color w:val="000000" w:themeColor="text1"/>
        </w:rPr>
        <w:t xml:space="preserve">system </w:t>
      </w:r>
      <w:r w:rsidR="009A7150" w:rsidRPr="00B713B9">
        <w:rPr>
          <w:color w:val="000000" w:themeColor="text1"/>
        </w:rPr>
        <w:t xml:space="preserve">som </w:t>
      </w:r>
      <w:r w:rsidRPr="00B713B9">
        <w:rPr>
          <w:color w:val="000000" w:themeColor="text1"/>
        </w:rPr>
        <w:t>är mer konsekvent jämfört med de</w:t>
      </w:r>
      <w:r w:rsidR="00E64177" w:rsidRPr="00B713B9">
        <w:rPr>
          <w:color w:val="000000" w:themeColor="text1"/>
        </w:rPr>
        <w:t>t</w:t>
      </w:r>
      <w:r w:rsidRPr="00B713B9">
        <w:rPr>
          <w:color w:val="000000" w:themeColor="text1"/>
        </w:rPr>
        <w:t xml:space="preserve"> nuvarande med kortare sekretesstider.</w:t>
      </w:r>
      <w:r w:rsidR="0007443C" w:rsidRPr="00B713B9">
        <w:rPr>
          <w:color w:val="000000" w:themeColor="text1"/>
        </w:rPr>
        <w:t xml:space="preserve"> E</w:t>
      </w:r>
      <w:r w:rsidR="0007443C" w:rsidRPr="00B713B9">
        <w:rPr>
          <w:color w:val="000000" w:themeColor="text1"/>
        </w:rPr>
        <w:t>f</w:t>
      </w:r>
      <w:r w:rsidR="0007443C" w:rsidRPr="00B713B9">
        <w:rPr>
          <w:color w:val="000000" w:themeColor="text1"/>
        </w:rPr>
        <w:t>tersom det på Åland valts en blankettlagstiftningsmodell bör blankettlagen vara kopplad till generella bestämmelser om sekretesstider i offentlighet</w:t>
      </w:r>
      <w:r w:rsidR="0007443C" w:rsidRPr="00B713B9">
        <w:rPr>
          <w:color w:val="000000" w:themeColor="text1"/>
        </w:rPr>
        <w:t>s</w:t>
      </w:r>
      <w:r w:rsidR="0007443C" w:rsidRPr="00B713B9">
        <w:rPr>
          <w:color w:val="000000" w:themeColor="text1"/>
        </w:rPr>
        <w:t>lagen i likhet med hur rikets patientlag är kopplad till generella bestämme</w:t>
      </w:r>
      <w:r w:rsidR="0007443C" w:rsidRPr="00B713B9">
        <w:rPr>
          <w:color w:val="000000" w:themeColor="text1"/>
        </w:rPr>
        <w:t>l</w:t>
      </w:r>
      <w:r w:rsidR="0007443C" w:rsidRPr="00B713B9">
        <w:rPr>
          <w:color w:val="000000" w:themeColor="text1"/>
        </w:rPr>
        <w:t>ser om sekretesstider i lagen om offentlighet i myndigheternas verksamhet. I annat fall iakttas enligt landskapsregeringens bedömning inte grundpri</w:t>
      </w:r>
      <w:r w:rsidR="0007443C" w:rsidRPr="00B713B9">
        <w:rPr>
          <w:color w:val="000000" w:themeColor="text1"/>
        </w:rPr>
        <w:t>n</w:t>
      </w:r>
      <w:r w:rsidR="0007443C" w:rsidRPr="00B713B9">
        <w:rPr>
          <w:color w:val="000000" w:themeColor="text1"/>
        </w:rPr>
        <w:t xml:space="preserve">cipen om </w:t>
      </w:r>
      <w:r w:rsidR="001B2FAB" w:rsidRPr="00B713B9">
        <w:rPr>
          <w:color w:val="000000" w:themeColor="text1"/>
        </w:rPr>
        <w:t xml:space="preserve">att </w:t>
      </w:r>
      <w:r w:rsidR="0007443C" w:rsidRPr="00B713B9">
        <w:rPr>
          <w:color w:val="000000" w:themeColor="text1"/>
        </w:rPr>
        <w:t xml:space="preserve">medborgare bosatta på Åland åtminstone </w:t>
      </w:r>
      <w:r w:rsidR="001B2FAB" w:rsidRPr="00B713B9">
        <w:rPr>
          <w:color w:val="000000" w:themeColor="text1"/>
        </w:rPr>
        <w:t xml:space="preserve">ska </w:t>
      </w:r>
      <w:r w:rsidR="0007443C" w:rsidRPr="00B713B9">
        <w:rPr>
          <w:color w:val="000000" w:themeColor="text1"/>
        </w:rPr>
        <w:t>ha samma grun</w:t>
      </w:r>
      <w:r w:rsidR="0007443C" w:rsidRPr="00B713B9">
        <w:rPr>
          <w:color w:val="000000" w:themeColor="text1"/>
        </w:rPr>
        <w:t>d</w:t>
      </w:r>
      <w:r w:rsidR="0007443C" w:rsidRPr="00B713B9">
        <w:rPr>
          <w:color w:val="000000" w:themeColor="text1"/>
        </w:rPr>
        <w:t>rättigheter som medborgare bosatta i riket.</w:t>
      </w:r>
      <w:r w:rsidR="00FC0B31" w:rsidRPr="00B713B9">
        <w:rPr>
          <w:color w:val="000000" w:themeColor="text1"/>
        </w:rPr>
        <w:t xml:space="preserve"> Det nuvarande systemet är asym</w:t>
      </w:r>
      <w:r w:rsidR="00001D6C" w:rsidRPr="00B713B9">
        <w:rPr>
          <w:color w:val="000000" w:themeColor="text1"/>
        </w:rPr>
        <w:t>m</w:t>
      </w:r>
      <w:r w:rsidR="00FC0B31" w:rsidRPr="00B713B9">
        <w:rPr>
          <w:color w:val="000000" w:themeColor="text1"/>
        </w:rPr>
        <w:t>etriskt ur den aspekten</w:t>
      </w:r>
      <w:r w:rsidR="00001D6C" w:rsidRPr="00B713B9">
        <w:rPr>
          <w:color w:val="000000" w:themeColor="text1"/>
        </w:rPr>
        <w:t xml:space="preserve"> och lagstiftningsåtgärder bör vidtas för att komma till rätta med en otillfredsställande situation.</w:t>
      </w:r>
    </w:p>
    <w:p w:rsidR="00652511" w:rsidRPr="00B713B9" w:rsidRDefault="00652511" w:rsidP="003C2428">
      <w:pPr>
        <w:pStyle w:val="ANormal"/>
        <w:rPr>
          <w:color w:val="000000" w:themeColor="text1"/>
        </w:rPr>
      </w:pPr>
    </w:p>
    <w:p w:rsidR="00AF3004" w:rsidRPr="00501DAA" w:rsidRDefault="00AF3004">
      <w:pPr>
        <w:pStyle w:val="RubrikA"/>
      </w:pPr>
      <w:r w:rsidRPr="00FE59C2">
        <w:br w:type="page"/>
      </w:r>
      <w:bookmarkStart w:id="16" w:name="_Toc536088448"/>
      <w:r w:rsidRPr="00501DAA">
        <w:lastRenderedPageBreak/>
        <w:t>Lagtext</w:t>
      </w:r>
      <w:bookmarkEnd w:id="16"/>
    </w:p>
    <w:p w:rsidR="00AF3004" w:rsidRPr="00501DAA" w:rsidRDefault="00AF3004">
      <w:pPr>
        <w:pStyle w:val="Rubrikmellanrum"/>
      </w:pPr>
    </w:p>
    <w:p w:rsidR="00AF3004" w:rsidRPr="00501DAA" w:rsidRDefault="00AF3004">
      <w:pPr>
        <w:pStyle w:val="ANormal"/>
      </w:pPr>
      <w:r w:rsidRPr="00501DAA">
        <w:t>Landskapsregeringen föreslår att följande lag</w:t>
      </w:r>
      <w:r w:rsidR="00D76307">
        <w:t>ar</w:t>
      </w:r>
      <w:r w:rsidRPr="00501DAA">
        <w:t xml:space="preserve"> antas.</w:t>
      </w:r>
    </w:p>
    <w:p w:rsidR="00AF3004" w:rsidRPr="00501DAA" w:rsidRDefault="00AF3004">
      <w:pPr>
        <w:pStyle w:val="ANormal"/>
      </w:pPr>
    </w:p>
    <w:p w:rsidR="009649D0" w:rsidRPr="00E46932" w:rsidRDefault="009649D0" w:rsidP="009649D0">
      <w:pPr>
        <w:pStyle w:val="ANormal"/>
      </w:pPr>
      <w:bookmarkStart w:id="17" w:name="_Hlk528073469"/>
      <w:r>
        <w:t>1</w:t>
      </w:r>
      <w:r w:rsidRPr="00E46932">
        <w:t>.</w:t>
      </w:r>
    </w:p>
    <w:p w:rsidR="009649D0" w:rsidRPr="00E46932" w:rsidRDefault="009649D0" w:rsidP="009649D0">
      <w:pPr>
        <w:pStyle w:val="LagHuvRubr"/>
      </w:pPr>
      <w:bookmarkStart w:id="18" w:name="_Toc527022118"/>
      <w:bookmarkStart w:id="19" w:name="_Toc536088449"/>
      <w:r w:rsidRPr="00E46932">
        <w:t>L A N D S K A P S L A G</w:t>
      </w:r>
      <w:r w:rsidRPr="00E46932">
        <w:br/>
        <w:t>om</w:t>
      </w:r>
      <w:r>
        <w:t xml:space="preserve"> ändring av 9 och 17</w:t>
      </w:r>
      <w:r w:rsidR="00F5066E">
        <w:t> §</w:t>
      </w:r>
      <w:r>
        <w:t>§ landskapslagen om allmänna handlingars offentlighet</w:t>
      </w:r>
      <w:bookmarkEnd w:id="18"/>
      <w:bookmarkEnd w:id="19"/>
    </w:p>
    <w:p w:rsidR="009649D0" w:rsidRPr="00501DAA" w:rsidRDefault="009649D0" w:rsidP="009649D0">
      <w:pPr>
        <w:pStyle w:val="ANormal"/>
      </w:pPr>
    </w:p>
    <w:p w:rsidR="009649D0" w:rsidRDefault="009649D0" w:rsidP="009649D0">
      <w:pPr>
        <w:pStyle w:val="ANormal"/>
      </w:pPr>
      <w:r w:rsidRPr="00501DAA">
        <w:tab/>
      </w:r>
      <w:bookmarkStart w:id="20" w:name="_Hlk531687114"/>
      <w:r w:rsidRPr="00501DAA">
        <w:t>I enlighet med lagtingets beslut</w:t>
      </w:r>
      <w:r>
        <w:t xml:space="preserve"> </w:t>
      </w:r>
      <w:r>
        <w:rPr>
          <w:b/>
        </w:rPr>
        <w:t>ändras</w:t>
      </w:r>
      <w:r>
        <w:t xml:space="preserve"> 9</w:t>
      </w:r>
      <w:r w:rsidR="00F5066E">
        <w:t> §</w:t>
      </w:r>
      <w:r>
        <w:t xml:space="preserve"> 1</w:t>
      </w:r>
      <w:r w:rsidR="00F5066E">
        <w:t> mom.</w:t>
      </w:r>
      <w:r>
        <w:t xml:space="preserve"> e</w:t>
      </w:r>
      <w:r w:rsidR="00F5066E">
        <w:t> punkt</w:t>
      </w:r>
      <w:r>
        <w:t>en samt 17</w:t>
      </w:r>
      <w:r w:rsidR="00F5066E">
        <w:t> §</w:t>
      </w:r>
      <w:r>
        <w:t xml:space="preserve"> 1</w:t>
      </w:r>
      <w:r w:rsidR="00F5066E">
        <w:t> mom.</w:t>
      </w:r>
      <w:r w:rsidRPr="00F3777F">
        <w:rPr>
          <w:color w:val="000000" w:themeColor="text1"/>
        </w:rPr>
        <w:t xml:space="preserve"> </w:t>
      </w:r>
      <w:r w:rsidR="00070F97" w:rsidRPr="00F3777F">
        <w:rPr>
          <w:color w:val="000000" w:themeColor="text1"/>
        </w:rPr>
        <w:t>a och b</w:t>
      </w:r>
      <w:r w:rsidR="00F5066E">
        <w:rPr>
          <w:color w:val="000000" w:themeColor="text1"/>
        </w:rPr>
        <w:t> punkt</w:t>
      </w:r>
      <w:r w:rsidR="00070F97" w:rsidRPr="00F3777F">
        <w:rPr>
          <w:color w:val="000000" w:themeColor="text1"/>
        </w:rPr>
        <w:t xml:space="preserve">erna samt </w:t>
      </w:r>
      <w:r w:rsidRPr="00F3777F">
        <w:rPr>
          <w:color w:val="000000" w:themeColor="text1"/>
        </w:rPr>
        <w:t>2</w:t>
      </w:r>
      <w:r w:rsidR="00F5066E">
        <w:rPr>
          <w:color w:val="000000" w:themeColor="text1"/>
        </w:rPr>
        <w:t> mom.</w:t>
      </w:r>
      <w:r>
        <w:t xml:space="preserve"> som följer:</w:t>
      </w:r>
    </w:p>
    <w:bookmarkEnd w:id="20"/>
    <w:p w:rsidR="009649D0" w:rsidRDefault="009649D0" w:rsidP="009649D0">
      <w:pPr>
        <w:pStyle w:val="ANormal"/>
      </w:pPr>
    </w:p>
    <w:p w:rsidR="009649D0" w:rsidRPr="002D70CB" w:rsidRDefault="009649D0" w:rsidP="009649D0">
      <w:pPr>
        <w:pStyle w:val="LagParagraf"/>
        <w:rPr>
          <w:rStyle w:val="ffparagrafnummer"/>
          <w:b w:val="0"/>
          <w:bCs/>
        </w:rPr>
      </w:pPr>
      <w:r w:rsidRPr="002D70CB">
        <w:rPr>
          <w:rStyle w:val="ffparagrafnummer"/>
          <w:b w:val="0"/>
        </w:rPr>
        <w:t>9</w:t>
      </w:r>
      <w:r w:rsidR="00F5066E">
        <w:rPr>
          <w:rStyle w:val="ffparagrafnummer"/>
          <w:b w:val="0"/>
        </w:rPr>
        <w:t> §</w:t>
      </w:r>
    </w:p>
    <w:p w:rsidR="009649D0" w:rsidRPr="002D70CB" w:rsidRDefault="009649D0" w:rsidP="009649D0">
      <w:pPr>
        <w:pStyle w:val="ANormal"/>
      </w:pPr>
      <w:r>
        <w:tab/>
        <w:t>En handling ska hållas hemlig</w:t>
      </w:r>
    </w:p>
    <w:p w:rsidR="009649D0" w:rsidRDefault="009649D0" w:rsidP="009649D0">
      <w:pPr>
        <w:pStyle w:val="ANormal"/>
      </w:pPr>
      <w:r>
        <w:t>- - - - - - - - - - - - - - - - - - - - - - - - - - - - - - - - - - - - - - - - - - - - - - - - - - - -</w:t>
      </w:r>
    </w:p>
    <w:p w:rsidR="009649D0" w:rsidRPr="005D056A" w:rsidRDefault="009649D0" w:rsidP="009649D0">
      <w:pPr>
        <w:pStyle w:val="ANormal"/>
      </w:pPr>
      <w:r w:rsidRPr="005D056A">
        <w:tab/>
        <w:t xml:space="preserve">e) då handlingen hänför sig till själavården, hälso- och sjukvården, </w:t>
      </w:r>
      <w:r w:rsidRPr="005D056A">
        <w:rPr>
          <w:color w:val="000000" w:themeColor="text1"/>
        </w:rPr>
        <w:t>soc</w:t>
      </w:r>
      <w:r w:rsidRPr="005D056A">
        <w:rPr>
          <w:color w:val="000000" w:themeColor="text1"/>
        </w:rPr>
        <w:t>i</w:t>
      </w:r>
      <w:r w:rsidRPr="005D056A">
        <w:rPr>
          <w:color w:val="000000" w:themeColor="text1"/>
        </w:rPr>
        <w:t>alvården</w:t>
      </w:r>
      <w:r w:rsidRPr="005D056A">
        <w:t>, skolväsendet, beskattningen eller den offentliga kontrollverksa</w:t>
      </w:r>
      <w:r w:rsidRPr="005D056A">
        <w:t>m</w:t>
      </w:r>
      <w:r w:rsidRPr="005D056A">
        <w:t>heten och innehåller sådana uppgifter om enskild persons privata förhålla</w:t>
      </w:r>
      <w:r w:rsidRPr="005D056A">
        <w:t>n</w:t>
      </w:r>
      <w:r w:rsidRPr="005D056A">
        <w:t>den, att handlingens tillhandahållande kan utsätta berörda person eller hans anhöriga för skada, lidande eller obehag</w:t>
      </w:r>
      <w:r w:rsidRPr="00652511">
        <w:t>,</w:t>
      </w:r>
    </w:p>
    <w:p w:rsidR="001A3F2A" w:rsidRDefault="001A3F2A" w:rsidP="001A3F2A">
      <w:pPr>
        <w:pStyle w:val="ANormal"/>
      </w:pPr>
      <w:r>
        <w:t>- - - - - - - - - - - - - - - - - - - - - - - - - - - - - - - - - - - - - - - - - - - - - - - - - - - -</w:t>
      </w:r>
    </w:p>
    <w:p w:rsidR="009649D0" w:rsidRDefault="009649D0" w:rsidP="009649D0">
      <w:pPr>
        <w:pStyle w:val="ANormal"/>
        <w:rPr>
          <w:lang w:val="sv-FI"/>
        </w:rPr>
      </w:pPr>
    </w:p>
    <w:p w:rsidR="009649D0" w:rsidRPr="002D70CB" w:rsidRDefault="009649D0" w:rsidP="009649D0">
      <w:pPr>
        <w:pStyle w:val="LagParagraf"/>
        <w:rPr>
          <w:b/>
        </w:rPr>
      </w:pPr>
      <w:r w:rsidRPr="002D70CB">
        <w:rPr>
          <w:rStyle w:val="ffparagrafnummer"/>
          <w:b w:val="0"/>
        </w:rPr>
        <w:t>17</w:t>
      </w:r>
      <w:r w:rsidR="00F5066E">
        <w:rPr>
          <w:rStyle w:val="ffparagrafnummer"/>
          <w:b w:val="0"/>
        </w:rPr>
        <w:t> §</w:t>
      </w:r>
    </w:p>
    <w:p w:rsidR="009649D0" w:rsidRPr="005D056A" w:rsidRDefault="009649D0" w:rsidP="009649D0">
      <w:pPr>
        <w:pStyle w:val="ANormal"/>
      </w:pPr>
      <w:r w:rsidRPr="005D056A">
        <w:tab/>
        <w:t>Om inget annat följer av annan lagstiftning, blir en hemlig handling o</w:t>
      </w:r>
      <w:r w:rsidRPr="005D056A">
        <w:t>f</w:t>
      </w:r>
      <w:r w:rsidRPr="005D056A">
        <w:t xml:space="preserve">fentlig </w:t>
      </w:r>
      <w:r w:rsidR="00CE074D">
        <w:t>enligt följande</w:t>
      </w:r>
      <w:r w:rsidRPr="005D056A">
        <w:t>:</w:t>
      </w:r>
    </w:p>
    <w:p w:rsidR="009649D0" w:rsidRPr="00F3777F" w:rsidRDefault="009649D0" w:rsidP="009649D0">
      <w:pPr>
        <w:pStyle w:val="ANormal"/>
        <w:rPr>
          <w:color w:val="000000" w:themeColor="text1"/>
        </w:rPr>
      </w:pPr>
      <w:r w:rsidRPr="005D056A">
        <w:tab/>
        <w:t xml:space="preserve">a) </w:t>
      </w:r>
      <w:r w:rsidRPr="00F3777F">
        <w:rPr>
          <w:color w:val="000000" w:themeColor="text1"/>
        </w:rPr>
        <w:t>handling som avses i 9</w:t>
      </w:r>
      <w:r w:rsidR="00F5066E">
        <w:rPr>
          <w:color w:val="000000" w:themeColor="text1"/>
        </w:rPr>
        <w:t> §</w:t>
      </w:r>
      <w:r w:rsidRPr="00F3777F">
        <w:rPr>
          <w:color w:val="000000" w:themeColor="text1"/>
        </w:rPr>
        <w:t xml:space="preserve"> 1</w:t>
      </w:r>
      <w:r w:rsidR="00F5066E">
        <w:rPr>
          <w:color w:val="000000" w:themeColor="text1"/>
        </w:rPr>
        <w:t> mom.</w:t>
      </w:r>
      <w:r w:rsidRPr="00F3777F">
        <w:rPr>
          <w:color w:val="000000" w:themeColor="text1"/>
        </w:rPr>
        <w:t xml:space="preserve"> e</w:t>
      </w:r>
      <w:r w:rsidR="00F5066E">
        <w:rPr>
          <w:color w:val="000000" w:themeColor="text1"/>
        </w:rPr>
        <w:t> punkt</w:t>
      </w:r>
      <w:r w:rsidRPr="00F3777F">
        <w:rPr>
          <w:color w:val="000000" w:themeColor="text1"/>
        </w:rPr>
        <w:t xml:space="preserve">en, 20 år efter </w:t>
      </w:r>
      <w:r w:rsidR="00864FAC" w:rsidRPr="00F3777F">
        <w:rPr>
          <w:color w:val="000000" w:themeColor="text1"/>
        </w:rPr>
        <w:t xml:space="preserve">det </w:t>
      </w:r>
      <w:r w:rsidR="002A58AC" w:rsidRPr="00F3777F">
        <w:rPr>
          <w:color w:val="000000" w:themeColor="text1"/>
        </w:rPr>
        <w:t xml:space="preserve">att </w:t>
      </w:r>
      <w:r w:rsidRPr="00F3777F">
        <w:rPr>
          <w:color w:val="000000" w:themeColor="text1"/>
        </w:rPr>
        <w:t>den perso</w:t>
      </w:r>
      <w:r w:rsidR="00A0062D">
        <w:rPr>
          <w:color w:val="000000" w:themeColor="text1"/>
        </w:rPr>
        <w:t xml:space="preserve">n </w:t>
      </w:r>
      <w:r w:rsidRPr="00F3777F">
        <w:rPr>
          <w:color w:val="000000" w:themeColor="text1"/>
        </w:rPr>
        <w:t>som handlingen angår</w:t>
      </w:r>
      <w:r w:rsidR="002A58AC" w:rsidRPr="00F3777F">
        <w:rPr>
          <w:color w:val="000000" w:themeColor="text1"/>
        </w:rPr>
        <w:t xml:space="preserve"> avlidit</w:t>
      </w:r>
      <w:r w:rsidRPr="00F3777F">
        <w:rPr>
          <w:color w:val="000000" w:themeColor="text1"/>
        </w:rPr>
        <w:t xml:space="preserve">, dock så att om handlingen hänför sig hälso- och sjukvården eller socialvården blir handlingen offentlig först 50 år </w:t>
      </w:r>
      <w:r w:rsidR="002A58AC" w:rsidRPr="00F3777F">
        <w:rPr>
          <w:color w:val="000000" w:themeColor="text1"/>
        </w:rPr>
        <w:t xml:space="preserve">efter </w:t>
      </w:r>
      <w:r w:rsidR="006164E2" w:rsidRPr="00F3777F">
        <w:rPr>
          <w:color w:val="000000" w:themeColor="text1"/>
        </w:rPr>
        <w:t xml:space="preserve">det </w:t>
      </w:r>
      <w:r w:rsidR="002A58AC" w:rsidRPr="00F3777F">
        <w:rPr>
          <w:color w:val="000000" w:themeColor="text1"/>
        </w:rPr>
        <w:t>att den person</w:t>
      </w:r>
      <w:r w:rsidR="00F3777F" w:rsidRPr="00F3777F">
        <w:rPr>
          <w:color w:val="000000" w:themeColor="text1"/>
        </w:rPr>
        <w:t xml:space="preserve"> </w:t>
      </w:r>
      <w:r w:rsidR="002A58AC" w:rsidRPr="00F3777F">
        <w:rPr>
          <w:color w:val="000000" w:themeColor="text1"/>
        </w:rPr>
        <w:t>som handlingen angår avlidit,</w:t>
      </w:r>
    </w:p>
    <w:p w:rsidR="002A58AC" w:rsidRPr="00F3777F" w:rsidRDefault="002A58AC" w:rsidP="002A58AC">
      <w:pPr>
        <w:pStyle w:val="ANormal"/>
        <w:rPr>
          <w:color w:val="000000" w:themeColor="text1"/>
        </w:rPr>
      </w:pPr>
      <w:r w:rsidRPr="00F3777F">
        <w:rPr>
          <w:color w:val="000000" w:themeColor="text1"/>
        </w:rPr>
        <w:tab/>
        <w:t>b) handling som avses i 13</w:t>
      </w:r>
      <w:r w:rsidR="00F5066E">
        <w:rPr>
          <w:color w:val="000000" w:themeColor="text1"/>
        </w:rPr>
        <w:t> §</w:t>
      </w:r>
      <w:r w:rsidRPr="00F3777F">
        <w:rPr>
          <w:color w:val="000000" w:themeColor="text1"/>
        </w:rPr>
        <w:t xml:space="preserve">, 20 år efter </w:t>
      </w:r>
      <w:r w:rsidR="00864FAC" w:rsidRPr="00F3777F">
        <w:rPr>
          <w:color w:val="000000" w:themeColor="text1"/>
        </w:rPr>
        <w:t xml:space="preserve">det </w:t>
      </w:r>
      <w:r w:rsidRPr="00F3777F">
        <w:rPr>
          <w:color w:val="000000" w:themeColor="text1"/>
        </w:rPr>
        <w:t>att brevskrivaren avlidit, såvida annat inte följer av 15</w:t>
      </w:r>
      <w:r w:rsidR="00F5066E">
        <w:rPr>
          <w:color w:val="000000" w:themeColor="text1"/>
        </w:rPr>
        <w:t> §</w:t>
      </w:r>
      <w:r w:rsidRPr="00F3777F">
        <w:rPr>
          <w:color w:val="000000" w:themeColor="text1"/>
        </w:rPr>
        <w:t xml:space="preserve"> 2</w:t>
      </w:r>
      <w:r w:rsidR="00F5066E">
        <w:rPr>
          <w:color w:val="000000" w:themeColor="text1"/>
        </w:rPr>
        <w:t> mom.</w:t>
      </w:r>
      <w:r w:rsidRPr="00F3777F">
        <w:rPr>
          <w:color w:val="000000" w:themeColor="text1"/>
        </w:rPr>
        <w:t xml:space="preserve">, </w:t>
      </w:r>
    </w:p>
    <w:p w:rsidR="009649D0" w:rsidRPr="00F3777F" w:rsidRDefault="009649D0" w:rsidP="002A58AC">
      <w:pPr>
        <w:pStyle w:val="ANormal"/>
        <w:rPr>
          <w:color w:val="000000" w:themeColor="text1"/>
        </w:rPr>
      </w:pPr>
      <w:r w:rsidRPr="00F3777F">
        <w:rPr>
          <w:color w:val="000000" w:themeColor="text1"/>
        </w:rPr>
        <w:t>- - - - - - - - - - - - - - - - - - - - - - - - - - - - - - - - - - - - - - - - - - - - - - - - - - - -</w:t>
      </w:r>
    </w:p>
    <w:p w:rsidR="009649D0" w:rsidRPr="005D056A" w:rsidRDefault="009649D0" w:rsidP="009649D0">
      <w:pPr>
        <w:pStyle w:val="ANormal"/>
      </w:pPr>
      <w:r w:rsidRPr="00F3777F">
        <w:rPr>
          <w:color w:val="000000" w:themeColor="text1"/>
        </w:rPr>
        <w:tab/>
        <w:t>Utreds inte beträffande handlingar som avses i a eller b</w:t>
      </w:r>
      <w:r w:rsidR="00F5066E">
        <w:rPr>
          <w:color w:val="000000" w:themeColor="text1"/>
        </w:rPr>
        <w:t> punkt</w:t>
      </w:r>
      <w:r w:rsidRPr="00F3777F">
        <w:rPr>
          <w:color w:val="000000" w:themeColor="text1"/>
        </w:rPr>
        <w:t xml:space="preserve">en, </w:t>
      </w:r>
      <w:r w:rsidR="00864FAC" w:rsidRPr="00F3777F">
        <w:rPr>
          <w:color w:val="000000" w:themeColor="text1"/>
        </w:rPr>
        <w:t>den dag vederbörande person eller brevskrivare avlidit</w:t>
      </w:r>
      <w:r w:rsidRPr="00F3777F">
        <w:rPr>
          <w:color w:val="000000" w:themeColor="text1"/>
        </w:rPr>
        <w:t>, blir handlingarna o</w:t>
      </w:r>
      <w:r w:rsidRPr="00F3777F">
        <w:rPr>
          <w:color w:val="000000" w:themeColor="text1"/>
        </w:rPr>
        <w:t>f</w:t>
      </w:r>
      <w:r w:rsidRPr="00F3777F">
        <w:rPr>
          <w:color w:val="000000" w:themeColor="text1"/>
        </w:rPr>
        <w:t xml:space="preserve">fentliga 50 år efter den dag de daterats eller inkommit till myndighet, dock så att om handlingarna hänför sig hälso- och sjukvården eller socialvården gäller att handlingarna bli offentliga först 100 år efter den dag de </w:t>
      </w:r>
      <w:r w:rsidRPr="005D056A">
        <w:t>daterats eller inkommit till myndighet.</w:t>
      </w:r>
    </w:p>
    <w:p w:rsidR="009649D0" w:rsidRPr="005D056A" w:rsidRDefault="009649D0" w:rsidP="009649D0">
      <w:pPr>
        <w:pStyle w:val="ANormal"/>
        <w:rPr>
          <w:lang w:val="sv-FI"/>
        </w:rPr>
      </w:pPr>
    </w:p>
    <w:p w:rsidR="009649D0" w:rsidRPr="00501DAA" w:rsidRDefault="00214BF8" w:rsidP="009649D0">
      <w:pPr>
        <w:pStyle w:val="ANormal"/>
        <w:jc w:val="center"/>
      </w:pPr>
      <w:hyperlink w:anchor="_top" w:tooltip="Klicka för att gå till toppen av dokumentet" w:history="1">
        <w:r w:rsidR="009649D0" w:rsidRPr="00501DAA">
          <w:rPr>
            <w:rStyle w:val="Hyperlnk"/>
          </w:rPr>
          <w:t>__________________</w:t>
        </w:r>
      </w:hyperlink>
    </w:p>
    <w:bookmarkEnd w:id="17"/>
    <w:p w:rsidR="009649D0" w:rsidRDefault="009649D0" w:rsidP="009649D0">
      <w:pPr>
        <w:pStyle w:val="ANormal"/>
      </w:pPr>
    </w:p>
    <w:p w:rsidR="009649D0" w:rsidRDefault="009649D0" w:rsidP="009649D0">
      <w:pPr>
        <w:pStyle w:val="ANormal"/>
      </w:pPr>
      <w:r>
        <w:tab/>
        <w:t>Denna lag träder i</w:t>
      </w:r>
      <w:r w:rsidR="00652511">
        <w:t xml:space="preserve"> </w:t>
      </w:r>
      <w:r>
        <w:t>kraft</w:t>
      </w:r>
    </w:p>
    <w:p w:rsidR="009649D0" w:rsidRDefault="009649D0" w:rsidP="009649D0">
      <w:pPr>
        <w:pStyle w:val="ANormal"/>
      </w:pPr>
    </w:p>
    <w:p w:rsidR="009649D0" w:rsidRDefault="00214BF8" w:rsidP="009649D0">
      <w:pPr>
        <w:pStyle w:val="ANormal"/>
        <w:jc w:val="center"/>
      </w:pPr>
      <w:hyperlink w:anchor="_top" w:tooltip="Klicka för att gå till toppen av dokumentet" w:history="1">
        <w:r w:rsidR="009649D0">
          <w:rPr>
            <w:rStyle w:val="Hyperlnk"/>
          </w:rPr>
          <w:t>__________________</w:t>
        </w:r>
      </w:hyperlink>
    </w:p>
    <w:p w:rsidR="009649D0" w:rsidRDefault="009649D0">
      <w:pPr>
        <w:pStyle w:val="ANormal"/>
      </w:pPr>
    </w:p>
    <w:p w:rsidR="00F3777F" w:rsidRDefault="00F3777F">
      <w:r>
        <w:br w:type="page"/>
      </w:r>
    </w:p>
    <w:p w:rsidR="004A336E" w:rsidRPr="00501DAA" w:rsidRDefault="009649D0" w:rsidP="0096684E">
      <w:r>
        <w:lastRenderedPageBreak/>
        <w:t>2</w:t>
      </w:r>
      <w:r w:rsidR="00AF3004" w:rsidRPr="00501DAA">
        <w:t>.</w:t>
      </w:r>
    </w:p>
    <w:p w:rsidR="00D76307" w:rsidRPr="00E46932" w:rsidRDefault="00D76307" w:rsidP="00D76307">
      <w:pPr>
        <w:pStyle w:val="LagHuvRubr"/>
      </w:pPr>
      <w:bookmarkStart w:id="21" w:name="_Toc500921111"/>
      <w:bookmarkStart w:id="22" w:name="_Toc528640435"/>
      <w:bookmarkStart w:id="23" w:name="_Toc527022117"/>
      <w:bookmarkStart w:id="24" w:name="_Toc536088450"/>
      <w:r w:rsidRPr="00E46932">
        <w:t>L A N D S K A P S L A G</w:t>
      </w:r>
      <w:r w:rsidRPr="00E46932">
        <w:br/>
        <w:t>om</w:t>
      </w:r>
      <w:bookmarkEnd w:id="21"/>
      <w:bookmarkEnd w:id="22"/>
      <w:r w:rsidRPr="00E46932">
        <w:t xml:space="preserve"> ändring</w:t>
      </w:r>
      <w:r>
        <w:t xml:space="preserve"> av 2</w:t>
      </w:r>
      <w:r w:rsidR="00F5066E">
        <w:t> §</w:t>
      </w:r>
      <w:r>
        <w:t xml:space="preserve"> landskapslagen om tillämpning i landskapet Åland av lagen om patientens ställning och rättigheter</w:t>
      </w:r>
      <w:bookmarkEnd w:id="23"/>
      <w:bookmarkEnd w:id="24"/>
    </w:p>
    <w:p w:rsidR="00AF3004" w:rsidRPr="00501DAA" w:rsidRDefault="00AF3004">
      <w:pPr>
        <w:pStyle w:val="ANormal"/>
      </w:pPr>
    </w:p>
    <w:p w:rsidR="00442E5D" w:rsidRDefault="00AF3004">
      <w:pPr>
        <w:pStyle w:val="ANormal"/>
      </w:pPr>
      <w:r w:rsidRPr="00501DAA">
        <w:tab/>
        <w:t>I enlighet med lagtingets beslut</w:t>
      </w:r>
      <w:r w:rsidR="00652511">
        <w:t xml:space="preserve"> </w:t>
      </w:r>
      <w:r w:rsidR="008F02BC">
        <w:rPr>
          <w:b/>
        </w:rPr>
        <w:t>ändras</w:t>
      </w:r>
      <w:r w:rsidR="008F02BC">
        <w:t xml:space="preserve"> </w:t>
      </w:r>
      <w:r w:rsidR="00DD4726">
        <w:t>2</w:t>
      </w:r>
      <w:r w:rsidR="00F5066E">
        <w:t> §</w:t>
      </w:r>
      <w:r w:rsidR="00DD4726">
        <w:t xml:space="preserve"> </w:t>
      </w:r>
      <w:r w:rsidR="00675A51" w:rsidRPr="00675A51">
        <w:t xml:space="preserve">landskapslagen </w:t>
      </w:r>
      <w:r w:rsidR="00675A51">
        <w:t xml:space="preserve">(1993:61) </w:t>
      </w:r>
      <w:r w:rsidR="00675A51" w:rsidRPr="00675A51">
        <w:t>om tillämpning i landskapet Åland av lagen om patientens ställning och rä</w:t>
      </w:r>
      <w:r w:rsidR="00675A51" w:rsidRPr="00675A51">
        <w:t>t</w:t>
      </w:r>
      <w:r w:rsidR="00675A51" w:rsidRPr="00675A51">
        <w:t>tigheter</w:t>
      </w:r>
      <w:r w:rsidR="00675A51">
        <w:t xml:space="preserve"> </w:t>
      </w:r>
      <w:r w:rsidR="00D42F18">
        <w:t>sådan den lyder i landskapslagarna 2013/124 och 2014/37 som fö</w:t>
      </w:r>
      <w:r w:rsidR="00D42F18">
        <w:t>l</w:t>
      </w:r>
      <w:r w:rsidR="00D42F18">
        <w:t>jer:</w:t>
      </w:r>
    </w:p>
    <w:p w:rsidR="00373B9A" w:rsidRDefault="00373B9A">
      <w:pPr>
        <w:pStyle w:val="ANormal"/>
      </w:pPr>
    </w:p>
    <w:p w:rsidR="00527F1C" w:rsidRDefault="00373B9A" w:rsidP="0081455B">
      <w:pPr>
        <w:pStyle w:val="LagParagraf"/>
        <w:rPr>
          <w:rStyle w:val="ffparagrafnummer"/>
          <w:b w:val="0"/>
        </w:rPr>
      </w:pPr>
      <w:r w:rsidRPr="0081455B">
        <w:rPr>
          <w:rStyle w:val="ffparagrafnummer"/>
          <w:b w:val="0"/>
        </w:rPr>
        <w:t>2</w:t>
      </w:r>
      <w:r w:rsidR="00F5066E">
        <w:rPr>
          <w:rStyle w:val="ffparagrafnummer"/>
          <w:b w:val="0"/>
        </w:rPr>
        <w:t> §</w:t>
      </w:r>
    </w:p>
    <w:p w:rsidR="00373B9A" w:rsidRPr="005D056A" w:rsidRDefault="00527F1C" w:rsidP="0081455B">
      <w:pPr>
        <w:pStyle w:val="ANormal"/>
      </w:pPr>
      <w:r w:rsidRPr="005D056A">
        <w:tab/>
      </w:r>
      <w:r w:rsidR="00373B9A" w:rsidRPr="005D056A">
        <w:t>Den i l</w:t>
      </w:r>
      <w:r w:rsidR="00F5066E">
        <w:t> §</w:t>
      </w:r>
      <w:r w:rsidR="00373B9A" w:rsidRPr="005D056A">
        <w:t xml:space="preserve"> l</w:t>
      </w:r>
      <w:r w:rsidR="00F5066E">
        <w:t> mom.</w:t>
      </w:r>
      <w:r w:rsidR="00373B9A" w:rsidRPr="005D056A">
        <w:t xml:space="preserve"> </w:t>
      </w:r>
      <w:r w:rsidR="001528CE">
        <w:t xml:space="preserve">i </w:t>
      </w:r>
      <w:r w:rsidR="00373B9A" w:rsidRPr="005D056A">
        <w:t>nämnda lagen (patientlagen) ska inom landskapets behörighet tillämpas med följande avvikelser:</w:t>
      </w:r>
    </w:p>
    <w:p w:rsidR="00373B9A" w:rsidRPr="005D056A" w:rsidRDefault="0081455B" w:rsidP="0081455B">
      <w:pPr>
        <w:pStyle w:val="ANormal"/>
      </w:pPr>
      <w:r w:rsidRPr="005D056A">
        <w:tab/>
      </w:r>
      <w:r w:rsidR="00373B9A" w:rsidRPr="005D056A">
        <w:t xml:space="preserve">1) en verksamhetsenhet inom Ålands hälso- och sjukvård ska </w:t>
      </w:r>
      <w:r w:rsidR="00A328E8" w:rsidRPr="005D056A">
        <w:t xml:space="preserve">på Åland </w:t>
      </w:r>
      <w:r w:rsidR="00373B9A" w:rsidRPr="005D056A">
        <w:t>anses vara en i 2</w:t>
      </w:r>
      <w:r w:rsidR="00F5066E">
        <w:t> §</w:t>
      </w:r>
      <w:r w:rsidR="00373B9A" w:rsidRPr="005D056A">
        <w:t xml:space="preserve"> 4</w:t>
      </w:r>
      <w:r w:rsidR="00F5066E">
        <w:t> punkt</w:t>
      </w:r>
      <w:r w:rsidR="00373B9A" w:rsidRPr="005D056A">
        <w:t xml:space="preserve">en </w:t>
      </w:r>
      <w:r w:rsidR="00857E07" w:rsidRPr="005D056A">
        <w:t xml:space="preserve">i </w:t>
      </w:r>
      <w:r w:rsidR="00373B9A" w:rsidRPr="005D056A">
        <w:t>patientlagen avsedd verksamhetsenhet för hälso- och sjukvård,</w:t>
      </w:r>
    </w:p>
    <w:p w:rsidR="00373B9A" w:rsidRPr="005D056A" w:rsidRDefault="0081455B" w:rsidP="0081455B">
      <w:pPr>
        <w:pStyle w:val="ANormal"/>
      </w:pPr>
      <w:r w:rsidRPr="005D056A">
        <w:tab/>
      </w:r>
      <w:r w:rsidR="00373B9A" w:rsidRPr="005D056A">
        <w:t>2) bestämmelserna i 3</w:t>
      </w:r>
      <w:r w:rsidR="00F5066E">
        <w:t> §</w:t>
      </w:r>
      <w:r w:rsidR="00373B9A" w:rsidRPr="005D056A">
        <w:t xml:space="preserve"> l</w:t>
      </w:r>
      <w:r w:rsidR="00F5066E">
        <w:t> mom.</w:t>
      </w:r>
      <w:r w:rsidR="00857E07" w:rsidRPr="005D056A">
        <w:t>,</w:t>
      </w:r>
      <w:r w:rsidR="00373B9A" w:rsidRPr="005D056A">
        <w:t xml:space="preserve"> 4</w:t>
      </w:r>
      <w:r w:rsidR="00F5066E">
        <w:t> §</w:t>
      </w:r>
      <w:r w:rsidR="00373B9A" w:rsidRPr="005D056A">
        <w:t xml:space="preserve"> 2</w:t>
      </w:r>
      <w:r w:rsidR="00F5066E">
        <w:t> mom.</w:t>
      </w:r>
      <w:r w:rsidR="00373B9A" w:rsidRPr="005D056A">
        <w:t xml:space="preserve"> </w:t>
      </w:r>
      <w:r w:rsidR="00BE0180" w:rsidRPr="005D056A">
        <w:t>och 10</w:t>
      </w:r>
      <w:r w:rsidR="00075BFB">
        <w:t xml:space="preserve"> </w:t>
      </w:r>
      <w:r w:rsidR="00BE0180" w:rsidRPr="005D056A">
        <w:t>a</w:t>
      </w:r>
      <w:r w:rsidR="00F5066E">
        <w:t> §</w:t>
      </w:r>
      <w:r w:rsidR="00BE0180" w:rsidRPr="005D056A">
        <w:t xml:space="preserve"> </w:t>
      </w:r>
      <w:r w:rsidR="00857E07" w:rsidRPr="005D056A">
        <w:t xml:space="preserve">i </w:t>
      </w:r>
      <w:r w:rsidR="00373B9A" w:rsidRPr="005D056A">
        <w:t xml:space="preserve">patientlagen </w:t>
      </w:r>
      <w:r w:rsidR="00BE0180" w:rsidRPr="005D056A">
        <w:t xml:space="preserve">ska </w:t>
      </w:r>
      <w:r w:rsidR="00373B9A" w:rsidRPr="005D056A">
        <w:t>inte tillämpas</w:t>
      </w:r>
      <w:r w:rsidR="00451C40" w:rsidRPr="005D056A">
        <w:t xml:space="preserve"> på Åland</w:t>
      </w:r>
      <w:r w:rsidR="00373B9A" w:rsidRPr="005D056A">
        <w:t>,</w:t>
      </w:r>
    </w:p>
    <w:p w:rsidR="00373B9A" w:rsidRPr="005D056A" w:rsidRDefault="0081455B" w:rsidP="0081455B">
      <w:pPr>
        <w:pStyle w:val="ANormal"/>
      </w:pPr>
      <w:r w:rsidRPr="005D056A">
        <w:tab/>
      </w:r>
      <w:r w:rsidR="00373B9A" w:rsidRPr="005D056A">
        <w:t>3) om den i 5</w:t>
      </w:r>
      <w:r w:rsidR="00F5066E">
        <w:t> §</w:t>
      </w:r>
      <w:r w:rsidR="00373B9A" w:rsidRPr="005D056A">
        <w:t xml:space="preserve"> 3</w:t>
      </w:r>
      <w:r w:rsidR="00F5066E">
        <w:t> mom.</w:t>
      </w:r>
      <w:r w:rsidR="00373B9A" w:rsidRPr="005D056A">
        <w:t xml:space="preserve"> </w:t>
      </w:r>
      <w:r w:rsidR="00E54CF3" w:rsidRPr="005D056A">
        <w:t xml:space="preserve">i </w:t>
      </w:r>
      <w:r w:rsidR="00373B9A" w:rsidRPr="005D056A">
        <w:t>patientlagen avsedda rätten för patient att ko</w:t>
      </w:r>
      <w:r w:rsidR="00373B9A" w:rsidRPr="005D056A">
        <w:t>n</w:t>
      </w:r>
      <w:r w:rsidR="00373B9A" w:rsidRPr="005D056A">
        <w:t xml:space="preserve">trollera uppgifter i journalhandlingar som gäller patienten själv </w:t>
      </w:r>
      <w:r w:rsidR="00C454D7" w:rsidRPr="005D056A">
        <w:t xml:space="preserve">ska på Åland </w:t>
      </w:r>
      <w:r w:rsidR="00373B9A" w:rsidRPr="005D056A">
        <w:t xml:space="preserve">gälla </w:t>
      </w:r>
      <w:r w:rsidR="008E0B4D">
        <w:t xml:space="preserve">vad </w:t>
      </w:r>
      <w:r w:rsidR="00C454D7" w:rsidRPr="005D056A">
        <w:t xml:space="preserve">som bestäms om detta </w:t>
      </w:r>
      <w:r w:rsidR="00373B9A" w:rsidRPr="005D056A">
        <w:t>i landskapslagen (1977:72) om al</w:t>
      </w:r>
      <w:r w:rsidR="00373B9A" w:rsidRPr="005D056A">
        <w:t>l</w:t>
      </w:r>
      <w:r w:rsidR="00373B9A" w:rsidRPr="005D056A">
        <w:t xml:space="preserve">männa handlingars offentlighet </w:t>
      </w:r>
      <w:r w:rsidR="00857E07" w:rsidRPr="005D056A">
        <w:t xml:space="preserve">och </w:t>
      </w:r>
      <w:r w:rsidR="001528CE">
        <w:t xml:space="preserve">i </w:t>
      </w:r>
      <w:r w:rsidR="00857E07" w:rsidRPr="005D056A">
        <w:t xml:space="preserve">landskapslagen </w:t>
      </w:r>
      <w:r w:rsidR="00B17EC8" w:rsidRPr="005D056A">
        <w:t>(</w:t>
      </w:r>
      <w:r w:rsidR="00004C28" w:rsidRPr="005D056A">
        <w:t xml:space="preserve"> : ) </w:t>
      </w:r>
      <w:r w:rsidR="00857E07" w:rsidRPr="005D056A">
        <w:t>om dataskydd inom landskaps- och kommunalförvaltningen</w:t>
      </w:r>
      <w:r w:rsidR="00373B9A" w:rsidRPr="005D056A">
        <w:t>,</w:t>
      </w:r>
    </w:p>
    <w:p w:rsidR="00373B9A" w:rsidRPr="005D056A" w:rsidRDefault="0081455B" w:rsidP="0081455B">
      <w:pPr>
        <w:pStyle w:val="ANormal"/>
      </w:pPr>
      <w:r w:rsidRPr="005D056A">
        <w:tab/>
      </w:r>
      <w:r w:rsidR="00373B9A" w:rsidRPr="005D056A">
        <w:t xml:space="preserve">4) </w:t>
      </w:r>
      <w:r w:rsidR="000E2D24">
        <w:t>b</w:t>
      </w:r>
      <w:r w:rsidR="00373B9A" w:rsidRPr="005D056A">
        <w:t>estämmelserna i 11</w:t>
      </w:r>
      <w:r w:rsidR="00F5066E">
        <w:t> §</w:t>
      </w:r>
      <w:r w:rsidR="00373B9A" w:rsidRPr="005D056A">
        <w:t xml:space="preserve"> i patientlagen ska inte tillämpas</w:t>
      </w:r>
      <w:r w:rsidR="00451C40" w:rsidRPr="005D056A">
        <w:t xml:space="preserve"> på Åland</w:t>
      </w:r>
      <w:r w:rsidR="00373B9A" w:rsidRPr="005D056A">
        <w:t>. Motsvarande bestämmelser finns i 6</w:t>
      </w:r>
      <w:r w:rsidR="00F5066E">
        <w:t> §</w:t>
      </w:r>
      <w:r w:rsidR="00373B9A" w:rsidRPr="005D056A">
        <w:t xml:space="preserve"> i landskapslagen (2014:33) om Ålands ombudsmannamyndighet,</w:t>
      </w:r>
    </w:p>
    <w:p w:rsidR="00373B9A" w:rsidRPr="005D056A" w:rsidRDefault="0081455B" w:rsidP="0081455B">
      <w:pPr>
        <w:pStyle w:val="ANormal"/>
      </w:pPr>
      <w:r w:rsidRPr="005D056A">
        <w:tab/>
      </w:r>
      <w:r w:rsidR="00373B9A" w:rsidRPr="005D056A">
        <w:t>5) om det i 13</w:t>
      </w:r>
      <w:r w:rsidR="00F5066E">
        <w:t> §</w:t>
      </w:r>
      <w:r w:rsidR="005D056A" w:rsidRPr="005D056A">
        <w:t xml:space="preserve"> </w:t>
      </w:r>
      <w:r w:rsidR="00CA1895" w:rsidRPr="005D056A">
        <w:t>5</w:t>
      </w:r>
      <w:r w:rsidR="00F5066E">
        <w:t> mom.</w:t>
      </w:r>
      <w:r w:rsidR="00373B9A" w:rsidRPr="005D056A">
        <w:t xml:space="preserve"> </w:t>
      </w:r>
      <w:r w:rsidR="00E54CF3" w:rsidRPr="005D056A">
        <w:t xml:space="preserve">i </w:t>
      </w:r>
      <w:r w:rsidR="00373B9A" w:rsidRPr="005D056A">
        <w:t xml:space="preserve">patientlagen avsedda utlämnandet av uppgifter ur journalhandlingarna </w:t>
      </w:r>
      <w:r w:rsidR="00BE0180" w:rsidRPr="005D056A">
        <w:t xml:space="preserve">ska på Åland </w:t>
      </w:r>
      <w:r w:rsidR="00373B9A" w:rsidRPr="005D056A">
        <w:t xml:space="preserve">gälla vad </w:t>
      </w:r>
      <w:r w:rsidR="00BE0180" w:rsidRPr="005D056A">
        <w:t xml:space="preserve">som bestäms om detta </w:t>
      </w:r>
      <w:r w:rsidR="00373B9A" w:rsidRPr="005D056A">
        <w:t xml:space="preserve">i landskapslagen om allmänna handlingars offentlighet </w:t>
      </w:r>
      <w:r w:rsidR="00E54CF3" w:rsidRPr="005D056A">
        <w:t>och landskapslagen om dataskydd inom landskaps- och kommunalförvaltningen</w:t>
      </w:r>
      <w:r w:rsidR="00373B9A" w:rsidRPr="005D056A">
        <w:t>,</w:t>
      </w:r>
    </w:p>
    <w:p w:rsidR="00373B9A" w:rsidRPr="005D056A" w:rsidRDefault="0081455B" w:rsidP="0081455B">
      <w:pPr>
        <w:pStyle w:val="ANormal"/>
      </w:pPr>
      <w:r w:rsidRPr="005D056A">
        <w:tab/>
      </w:r>
      <w:r w:rsidR="00373B9A" w:rsidRPr="005D056A">
        <w:t>6) bestämmelserna i 17</w:t>
      </w:r>
      <w:r w:rsidR="00F5066E">
        <w:t> §</w:t>
      </w:r>
      <w:r w:rsidR="00373B9A" w:rsidRPr="005D056A">
        <w:t xml:space="preserve"> </w:t>
      </w:r>
      <w:r w:rsidR="002B4822">
        <w:t xml:space="preserve">i </w:t>
      </w:r>
      <w:r w:rsidR="00373B9A" w:rsidRPr="005D056A">
        <w:t xml:space="preserve">patientlagen ska inte tillämpas </w:t>
      </w:r>
      <w:r w:rsidR="00BE0180" w:rsidRPr="005D056A">
        <w:t>på Åland samt</w:t>
      </w:r>
    </w:p>
    <w:p w:rsidR="00675A51" w:rsidRPr="005D056A" w:rsidRDefault="001260A8" w:rsidP="00373B9A">
      <w:pPr>
        <w:pStyle w:val="ANormal"/>
      </w:pPr>
      <w:r w:rsidRPr="005D056A">
        <w:tab/>
      </w:r>
      <w:r w:rsidR="00373B9A" w:rsidRPr="005D056A">
        <w:t>7) Ålands hälso- och sjukvård är skyldig att på begäran avgiftsfritt och utan hinder av sekretessbestämmelser ge Ålands miljö- och hälsoskydd</w:t>
      </w:r>
      <w:r w:rsidR="00373B9A" w:rsidRPr="005D056A">
        <w:t>s</w:t>
      </w:r>
      <w:r w:rsidR="00373B9A" w:rsidRPr="005D056A">
        <w:t>myndighet de upplysningar och utredningar som behövs för utövandet av den tillsyn som avses i 2</w:t>
      </w:r>
      <w:r w:rsidR="00F5066E">
        <w:t> §</w:t>
      </w:r>
      <w:r w:rsidR="00373B9A" w:rsidRPr="005D056A">
        <w:t xml:space="preserve"> 3</w:t>
      </w:r>
      <w:r w:rsidR="00F5066E">
        <w:t> mom.</w:t>
      </w:r>
      <w:r w:rsidR="00373B9A" w:rsidRPr="005D056A">
        <w:t xml:space="preserve"> </w:t>
      </w:r>
      <w:r w:rsidR="000612CC">
        <w:t xml:space="preserve">i </w:t>
      </w:r>
      <w:r w:rsidR="00373B9A" w:rsidRPr="005D056A">
        <w:t>landskapslagen (2011:114) om hälso- och sjukvård</w:t>
      </w:r>
      <w:r w:rsidR="00BE0180" w:rsidRPr="005D056A">
        <w:t>.</w:t>
      </w:r>
    </w:p>
    <w:p w:rsidR="00675A51" w:rsidRPr="008F02BC" w:rsidRDefault="00675A51">
      <w:pPr>
        <w:pStyle w:val="ANormal"/>
      </w:pPr>
    </w:p>
    <w:p w:rsidR="00AF3004" w:rsidRPr="00501DAA" w:rsidRDefault="00214BF8">
      <w:pPr>
        <w:pStyle w:val="ANormal"/>
        <w:jc w:val="center"/>
      </w:pPr>
      <w:hyperlink w:anchor="_top" w:tooltip="Klicka för att gå till toppen av dokumentet" w:history="1">
        <w:r w:rsidR="00AF3004" w:rsidRPr="00501DAA">
          <w:rPr>
            <w:rStyle w:val="Hyperlnk"/>
          </w:rPr>
          <w:t>__________________</w:t>
        </w:r>
      </w:hyperlink>
    </w:p>
    <w:p w:rsidR="009D438B" w:rsidRDefault="009D438B">
      <w:pPr>
        <w:pStyle w:val="ANormal"/>
      </w:pPr>
    </w:p>
    <w:p w:rsidR="00AF3004" w:rsidRDefault="009D438B">
      <w:pPr>
        <w:pStyle w:val="ANormal"/>
      </w:pPr>
      <w:r>
        <w:tab/>
        <w:t>Denna lag träder i kraft den</w:t>
      </w:r>
    </w:p>
    <w:p w:rsidR="002D70CB" w:rsidRDefault="002D70CB">
      <w:pPr>
        <w:pStyle w:val="ANormal"/>
      </w:pPr>
    </w:p>
    <w:p w:rsidR="009D438B" w:rsidRDefault="00214BF8">
      <w:pPr>
        <w:pStyle w:val="ANormal"/>
        <w:jc w:val="center"/>
      </w:pPr>
      <w:hyperlink w:anchor="_top" w:tooltip="Klicka för att gå till toppen av dokumentet" w:history="1">
        <w:r w:rsidR="009D438B">
          <w:rPr>
            <w:rStyle w:val="Hyperlnk"/>
          </w:rPr>
          <w:t>__________________</w:t>
        </w:r>
      </w:hyperlink>
    </w:p>
    <w:p w:rsidR="009D438B" w:rsidRDefault="009D438B">
      <w:pPr>
        <w:pStyle w:val="ANormal"/>
      </w:pPr>
    </w:p>
    <w:p w:rsidR="006164E2" w:rsidRDefault="00616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rsidRPr="00501DAA">
        <w:trPr>
          <w:cantSplit/>
        </w:trPr>
        <w:tc>
          <w:tcPr>
            <w:tcW w:w="7931" w:type="dxa"/>
            <w:gridSpan w:val="2"/>
          </w:tcPr>
          <w:p w:rsidR="00AF3004" w:rsidRPr="00501DAA" w:rsidRDefault="00AF3004">
            <w:pPr>
              <w:pStyle w:val="ANormal"/>
              <w:keepNext/>
            </w:pPr>
            <w:r w:rsidRPr="00501DAA">
              <w:t xml:space="preserve">Mariehamn </w:t>
            </w:r>
            <w:r w:rsidR="00BC4BB7">
              <w:t>den 24 januari 2019</w:t>
            </w:r>
          </w:p>
        </w:tc>
      </w:tr>
      <w:tr w:rsidR="00AF3004" w:rsidRPr="00501DAA">
        <w:tc>
          <w:tcPr>
            <w:tcW w:w="4454" w:type="dxa"/>
            <w:vAlign w:val="bottom"/>
          </w:tcPr>
          <w:p w:rsidR="00AF3004" w:rsidRPr="00501DAA" w:rsidRDefault="00AF3004">
            <w:pPr>
              <w:pStyle w:val="ANormal"/>
              <w:keepNext/>
            </w:pPr>
          </w:p>
          <w:p w:rsidR="00AF3004" w:rsidRPr="00501DAA" w:rsidRDefault="00AF3004">
            <w:pPr>
              <w:pStyle w:val="ANormal"/>
              <w:keepNext/>
            </w:pPr>
          </w:p>
          <w:p w:rsidR="00AF3004" w:rsidRPr="00501DAA" w:rsidRDefault="00BC4BB7">
            <w:pPr>
              <w:pStyle w:val="ANormal"/>
              <w:keepNext/>
            </w:pPr>
            <w:r>
              <w:t>Minister</w:t>
            </w:r>
          </w:p>
        </w:tc>
        <w:tc>
          <w:tcPr>
            <w:tcW w:w="3477" w:type="dxa"/>
            <w:vAlign w:val="bottom"/>
          </w:tcPr>
          <w:p w:rsidR="00AF3004" w:rsidRPr="00501DAA" w:rsidRDefault="00AF3004">
            <w:pPr>
              <w:pStyle w:val="ANormal"/>
              <w:keepNext/>
            </w:pPr>
          </w:p>
          <w:p w:rsidR="00AF3004" w:rsidRPr="00501DAA" w:rsidRDefault="00AF3004">
            <w:pPr>
              <w:pStyle w:val="ANormal"/>
              <w:keepNext/>
            </w:pPr>
          </w:p>
          <w:p w:rsidR="00AF3004" w:rsidRPr="00501DAA" w:rsidRDefault="00F5066E">
            <w:pPr>
              <w:pStyle w:val="ANormal"/>
              <w:keepNext/>
            </w:pPr>
            <w:r>
              <w:t>Nina Fellman</w:t>
            </w:r>
          </w:p>
        </w:tc>
      </w:tr>
      <w:tr w:rsidR="00AF3004" w:rsidRPr="00501DAA">
        <w:tc>
          <w:tcPr>
            <w:tcW w:w="4454" w:type="dxa"/>
            <w:vAlign w:val="bottom"/>
          </w:tcPr>
          <w:p w:rsidR="00AF3004" w:rsidRPr="00501DAA" w:rsidRDefault="00AF3004">
            <w:pPr>
              <w:pStyle w:val="ANormal"/>
              <w:keepNext/>
            </w:pPr>
          </w:p>
          <w:p w:rsidR="00AF3004" w:rsidRPr="00501DAA" w:rsidRDefault="00AF3004">
            <w:pPr>
              <w:pStyle w:val="ANormal"/>
              <w:keepNext/>
            </w:pPr>
          </w:p>
          <w:p w:rsidR="00AF3004" w:rsidRPr="00501DAA" w:rsidRDefault="00AF3004">
            <w:pPr>
              <w:pStyle w:val="ANormal"/>
              <w:keepNext/>
            </w:pPr>
            <w:r w:rsidRPr="00501DAA">
              <w:t xml:space="preserve">Föredragande </w:t>
            </w:r>
            <w:r w:rsidR="00097DE0">
              <w:t>minister</w:t>
            </w:r>
          </w:p>
        </w:tc>
        <w:tc>
          <w:tcPr>
            <w:tcW w:w="3477" w:type="dxa"/>
            <w:vAlign w:val="bottom"/>
          </w:tcPr>
          <w:p w:rsidR="00AF3004" w:rsidRPr="00501DAA" w:rsidRDefault="00AF3004">
            <w:pPr>
              <w:pStyle w:val="ANormal"/>
              <w:keepNext/>
            </w:pPr>
          </w:p>
          <w:p w:rsidR="00AF3004" w:rsidRPr="00501DAA" w:rsidRDefault="00AF3004">
            <w:pPr>
              <w:pStyle w:val="ANormal"/>
              <w:keepNext/>
            </w:pPr>
          </w:p>
          <w:p w:rsidR="00AF3004" w:rsidRPr="00501DAA" w:rsidRDefault="00F5066E">
            <w:pPr>
              <w:pStyle w:val="ANormal"/>
              <w:keepNext/>
            </w:pPr>
            <w:r>
              <w:t>Wille Valve</w:t>
            </w:r>
          </w:p>
        </w:tc>
      </w:tr>
    </w:tbl>
    <w:p w:rsidR="00652511" w:rsidRDefault="00652511">
      <w:pPr>
        <w:pStyle w:val="ANormal"/>
      </w:pPr>
    </w:p>
    <w:p w:rsidR="00652511" w:rsidRDefault="00652511">
      <w:pPr>
        <w:rPr>
          <w:sz w:val="22"/>
          <w:szCs w:val="20"/>
        </w:rPr>
      </w:pPr>
      <w:r>
        <w:br w:type="page"/>
      </w:r>
    </w:p>
    <w:p w:rsidR="00AF3004" w:rsidRDefault="00652511" w:rsidP="00652511">
      <w:pPr>
        <w:pStyle w:val="RubrikA"/>
      </w:pPr>
      <w:bookmarkStart w:id="25" w:name="_Toc536088451"/>
      <w:r>
        <w:lastRenderedPageBreak/>
        <w:t>Parallelltexter</w:t>
      </w:r>
      <w:bookmarkEnd w:id="25"/>
    </w:p>
    <w:p w:rsidR="00652511" w:rsidRDefault="00652511" w:rsidP="00652511">
      <w:pPr>
        <w:pStyle w:val="Rubrikmellanrum"/>
      </w:pPr>
    </w:p>
    <w:p w:rsidR="00652511" w:rsidRPr="00652511" w:rsidRDefault="00214BF8" w:rsidP="00652511">
      <w:pPr>
        <w:pStyle w:val="ArendeUnderRubrik"/>
      </w:pPr>
      <w:hyperlink r:id="rId13" w:history="1">
        <w:r w:rsidR="00652511" w:rsidRPr="00214BF8">
          <w:rPr>
            <w:rStyle w:val="Hyperlnk"/>
          </w:rPr>
          <w:t xml:space="preserve">Parallelltexter till landskapsregeringens lagförslag nr </w:t>
        </w:r>
        <w:r w:rsidR="00066AE9" w:rsidRPr="00214BF8">
          <w:rPr>
            <w:rStyle w:val="Hyperlnk"/>
          </w:rPr>
          <w:t>10</w:t>
        </w:r>
        <w:r w:rsidR="00652511" w:rsidRPr="00214BF8">
          <w:rPr>
            <w:rStyle w:val="Hyperlnk"/>
          </w:rPr>
          <w:t>/2018-2019</w:t>
        </w:r>
      </w:hyperlink>
      <w:bookmarkStart w:id="26" w:name="_GoBack"/>
      <w:bookmarkEnd w:id="26"/>
    </w:p>
    <w:sectPr w:rsidR="00652511" w:rsidRPr="00652511">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9A" w:rsidRDefault="0002019A">
      <w:r>
        <w:separator/>
      </w:r>
    </w:p>
  </w:endnote>
  <w:endnote w:type="continuationSeparator" w:id="0">
    <w:p w:rsidR="0002019A" w:rsidRDefault="0002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Pr="00652511" w:rsidRDefault="00652511">
    <w:pPr>
      <w:pStyle w:val="Sidfot"/>
      <w:rPr>
        <w:lang w:val="sv-FI"/>
      </w:rPr>
    </w:pPr>
    <w:r>
      <w:rPr>
        <w:lang w:val="sv-FI"/>
      </w:rPr>
      <w:t>LF</w:t>
    </w:r>
    <w:r w:rsidR="00B10FEF">
      <w:rPr>
        <w:lang w:val="sv-FI"/>
      </w:rPr>
      <w:t>10</w:t>
    </w:r>
    <w:r>
      <w:rPr>
        <w:lang w:val="sv-FI"/>
      </w:rPr>
      <w:t>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9A" w:rsidRDefault="0002019A">
      <w:r>
        <w:separator/>
      </w:r>
    </w:p>
  </w:footnote>
  <w:footnote w:type="continuationSeparator" w:id="0">
    <w:p w:rsidR="0002019A" w:rsidRDefault="0002019A">
      <w:r>
        <w:continuationSeparator/>
      </w:r>
    </w:p>
  </w:footnote>
  <w:footnote w:id="1">
    <w:p w:rsidR="0080001D" w:rsidRPr="00AA4837" w:rsidRDefault="00774CCD" w:rsidP="00AA4837">
      <w:pPr>
        <w:jc w:val="both"/>
        <w:rPr>
          <w:sz w:val="20"/>
          <w:szCs w:val="20"/>
        </w:rPr>
      </w:pPr>
      <w:r>
        <w:rPr>
          <w:rStyle w:val="Fotnotsreferens"/>
        </w:rPr>
        <w:footnoteRef/>
      </w:r>
      <w:r>
        <w:t xml:space="preserve"> </w:t>
      </w:r>
      <w:r w:rsidR="0080001D" w:rsidRPr="00532362">
        <w:rPr>
          <w:sz w:val="20"/>
          <w:szCs w:val="20"/>
          <w:lang w:val="sv-FI"/>
        </w:rPr>
        <w:t>I 8a</w:t>
      </w:r>
      <w:r w:rsidR="00F5066E">
        <w:rPr>
          <w:sz w:val="20"/>
          <w:szCs w:val="20"/>
          <w:lang w:val="sv-FI"/>
        </w:rPr>
        <w:t> kap.</w:t>
      </w:r>
      <w:r w:rsidR="0080001D" w:rsidRPr="00532362">
        <w:rPr>
          <w:sz w:val="20"/>
          <w:szCs w:val="20"/>
          <w:lang w:val="sv-FI"/>
        </w:rPr>
        <w:t xml:space="preserve"> i rikets förvaltningslag om förvaltningsklagan finns bestämmelser om </w:t>
      </w:r>
      <w:r w:rsidR="005B12A9">
        <w:rPr>
          <w:sz w:val="20"/>
          <w:szCs w:val="20"/>
          <w:lang w:val="sv-FI"/>
        </w:rPr>
        <w:t xml:space="preserve">bl.a. </w:t>
      </w:r>
      <w:r w:rsidR="00532362" w:rsidRPr="00532362">
        <w:rPr>
          <w:sz w:val="20"/>
          <w:szCs w:val="20"/>
        </w:rPr>
        <w:t xml:space="preserve">anförande av förvaltningsklagan </w:t>
      </w:r>
      <w:r w:rsidR="00532362" w:rsidRPr="00532362">
        <w:rPr>
          <w:i/>
          <w:sz w:val="20"/>
          <w:szCs w:val="20"/>
        </w:rPr>
        <w:t>(53 a</w:t>
      </w:r>
      <w:r w:rsidR="00F5066E">
        <w:rPr>
          <w:i/>
          <w:sz w:val="20"/>
          <w:szCs w:val="20"/>
        </w:rPr>
        <w:t> §</w:t>
      </w:r>
      <w:r w:rsidR="00532362" w:rsidRPr="00532362">
        <w:rPr>
          <w:i/>
          <w:sz w:val="20"/>
          <w:szCs w:val="20"/>
        </w:rPr>
        <w:t>)</w:t>
      </w:r>
      <w:r w:rsidR="005B12A9">
        <w:rPr>
          <w:sz w:val="20"/>
          <w:szCs w:val="20"/>
        </w:rPr>
        <w:t xml:space="preserve"> och </w:t>
      </w:r>
      <w:r w:rsidR="00532362" w:rsidRPr="00532362">
        <w:rPr>
          <w:sz w:val="20"/>
          <w:szCs w:val="20"/>
        </w:rPr>
        <w:t>behandling av förvaltningskl</w:t>
      </w:r>
      <w:r w:rsidR="00532362" w:rsidRPr="00532362">
        <w:rPr>
          <w:sz w:val="20"/>
          <w:szCs w:val="20"/>
        </w:rPr>
        <w:t>a</w:t>
      </w:r>
      <w:r w:rsidR="00532362" w:rsidRPr="00532362">
        <w:rPr>
          <w:sz w:val="20"/>
          <w:szCs w:val="20"/>
        </w:rPr>
        <w:t xml:space="preserve">gan </w:t>
      </w:r>
      <w:r w:rsidR="00532362" w:rsidRPr="00532362">
        <w:rPr>
          <w:i/>
          <w:sz w:val="20"/>
          <w:szCs w:val="20"/>
        </w:rPr>
        <w:t>(53</w:t>
      </w:r>
      <w:r w:rsidR="00FD6536">
        <w:rPr>
          <w:i/>
          <w:sz w:val="20"/>
          <w:szCs w:val="20"/>
        </w:rPr>
        <w:t> </w:t>
      </w:r>
      <w:r w:rsidR="00532362" w:rsidRPr="00532362">
        <w:rPr>
          <w:i/>
          <w:sz w:val="20"/>
          <w:szCs w:val="20"/>
        </w:rPr>
        <w:t>b</w:t>
      </w:r>
      <w:r w:rsidR="00F5066E">
        <w:rPr>
          <w:i/>
          <w:sz w:val="20"/>
          <w:szCs w:val="20"/>
        </w:rPr>
        <w:t> §</w:t>
      </w:r>
      <w:r w:rsidR="00532362" w:rsidRPr="00532362">
        <w:rPr>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14BF8">
      <w:rPr>
        <w:rStyle w:val="Sidnummer"/>
        <w:noProof/>
      </w:rPr>
      <w:t>10</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14BF8">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7A"/>
    <w:rsid w:val="00001D6C"/>
    <w:rsid w:val="00004C28"/>
    <w:rsid w:val="00010DCD"/>
    <w:rsid w:val="00011FA0"/>
    <w:rsid w:val="0002019A"/>
    <w:rsid w:val="00021206"/>
    <w:rsid w:val="000274D0"/>
    <w:rsid w:val="0002775D"/>
    <w:rsid w:val="00033958"/>
    <w:rsid w:val="00037943"/>
    <w:rsid w:val="00043C94"/>
    <w:rsid w:val="0004562A"/>
    <w:rsid w:val="000574F9"/>
    <w:rsid w:val="000612CC"/>
    <w:rsid w:val="000643D9"/>
    <w:rsid w:val="000645F3"/>
    <w:rsid w:val="00066AE9"/>
    <w:rsid w:val="00070F97"/>
    <w:rsid w:val="0007443C"/>
    <w:rsid w:val="00075BFB"/>
    <w:rsid w:val="00081CE1"/>
    <w:rsid w:val="00082E43"/>
    <w:rsid w:val="00087874"/>
    <w:rsid w:val="00091DA6"/>
    <w:rsid w:val="00097DE0"/>
    <w:rsid w:val="000A0FA1"/>
    <w:rsid w:val="000A4DFD"/>
    <w:rsid w:val="000A7C3F"/>
    <w:rsid w:val="000B777B"/>
    <w:rsid w:val="000D2E5F"/>
    <w:rsid w:val="000D384B"/>
    <w:rsid w:val="000E2D24"/>
    <w:rsid w:val="000E375F"/>
    <w:rsid w:val="000E7116"/>
    <w:rsid w:val="000F18AA"/>
    <w:rsid w:val="000F441A"/>
    <w:rsid w:val="000F5F3D"/>
    <w:rsid w:val="00104484"/>
    <w:rsid w:val="0012449F"/>
    <w:rsid w:val="001260A8"/>
    <w:rsid w:val="0012631F"/>
    <w:rsid w:val="00143D39"/>
    <w:rsid w:val="00146C6A"/>
    <w:rsid w:val="001528CE"/>
    <w:rsid w:val="00152AE1"/>
    <w:rsid w:val="001555D0"/>
    <w:rsid w:val="00161D6F"/>
    <w:rsid w:val="00162B3B"/>
    <w:rsid w:val="00167AF4"/>
    <w:rsid w:val="00170020"/>
    <w:rsid w:val="00177F7B"/>
    <w:rsid w:val="001923CB"/>
    <w:rsid w:val="0019331A"/>
    <w:rsid w:val="001A3F2A"/>
    <w:rsid w:val="001A5680"/>
    <w:rsid w:val="001A7291"/>
    <w:rsid w:val="001B2FAB"/>
    <w:rsid w:val="001C3091"/>
    <w:rsid w:val="001C5F9A"/>
    <w:rsid w:val="001C77BD"/>
    <w:rsid w:val="001D00DC"/>
    <w:rsid w:val="001D71DE"/>
    <w:rsid w:val="001E1ACD"/>
    <w:rsid w:val="001E5254"/>
    <w:rsid w:val="001E532D"/>
    <w:rsid w:val="001E561C"/>
    <w:rsid w:val="001F10A4"/>
    <w:rsid w:val="002000A2"/>
    <w:rsid w:val="00202894"/>
    <w:rsid w:val="00213010"/>
    <w:rsid w:val="00214BF8"/>
    <w:rsid w:val="002237FA"/>
    <w:rsid w:val="00226D71"/>
    <w:rsid w:val="002306B0"/>
    <w:rsid w:val="002353E6"/>
    <w:rsid w:val="0023788A"/>
    <w:rsid w:val="00242471"/>
    <w:rsid w:val="00247ECB"/>
    <w:rsid w:val="002509E8"/>
    <w:rsid w:val="00265724"/>
    <w:rsid w:val="0028020C"/>
    <w:rsid w:val="0028083F"/>
    <w:rsid w:val="002852BA"/>
    <w:rsid w:val="0029013C"/>
    <w:rsid w:val="00290C6A"/>
    <w:rsid w:val="00291221"/>
    <w:rsid w:val="002A2264"/>
    <w:rsid w:val="002A58AC"/>
    <w:rsid w:val="002A6E39"/>
    <w:rsid w:val="002B4822"/>
    <w:rsid w:val="002B4BD0"/>
    <w:rsid w:val="002C7FF6"/>
    <w:rsid w:val="002D0FCE"/>
    <w:rsid w:val="002D70CB"/>
    <w:rsid w:val="002E39D8"/>
    <w:rsid w:val="002E3FDB"/>
    <w:rsid w:val="002F1B23"/>
    <w:rsid w:val="002F7A53"/>
    <w:rsid w:val="00311F1A"/>
    <w:rsid w:val="00317B88"/>
    <w:rsid w:val="00320FA2"/>
    <w:rsid w:val="003271DB"/>
    <w:rsid w:val="003300D6"/>
    <w:rsid w:val="0033666C"/>
    <w:rsid w:val="003377FC"/>
    <w:rsid w:val="003407D9"/>
    <w:rsid w:val="00342315"/>
    <w:rsid w:val="00342FC4"/>
    <w:rsid w:val="00344AA0"/>
    <w:rsid w:val="00355803"/>
    <w:rsid w:val="00356313"/>
    <w:rsid w:val="00363814"/>
    <w:rsid w:val="00373B9A"/>
    <w:rsid w:val="003770E0"/>
    <w:rsid w:val="00394A31"/>
    <w:rsid w:val="00395583"/>
    <w:rsid w:val="00396B35"/>
    <w:rsid w:val="00397CAF"/>
    <w:rsid w:val="003B1A33"/>
    <w:rsid w:val="003C2428"/>
    <w:rsid w:val="003C733B"/>
    <w:rsid w:val="003E446B"/>
    <w:rsid w:val="003E76B2"/>
    <w:rsid w:val="003F07DB"/>
    <w:rsid w:val="003F49B8"/>
    <w:rsid w:val="00413E86"/>
    <w:rsid w:val="004176CB"/>
    <w:rsid w:val="00417D62"/>
    <w:rsid w:val="00420D98"/>
    <w:rsid w:val="00422D6B"/>
    <w:rsid w:val="00424968"/>
    <w:rsid w:val="004320C8"/>
    <w:rsid w:val="00432F43"/>
    <w:rsid w:val="00440292"/>
    <w:rsid w:val="00442E5D"/>
    <w:rsid w:val="00445B1F"/>
    <w:rsid w:val="00446931"/>
    <w:rsid w:val="00451954"/>
    <w:rsid w:val="00451C40"/>
    <w:rsid w:val="0045695F"/>
    <w:rsid w:val="00464E03"/>
    <w:rsid w:val="00465353"/>
    <w:rsid w:val="0046725F"/>
    <w:rsid w:val="00476F1D"/>
    <w:rsid w:val="00485119"/>
    <w:rsid w:val="004920FE"/>
    <w:rsid w:val="004A336E"/>
    <w:rsid w:val="004A6BA1"/>
    <w:rsid w:val="004A6EDE"/>
    <w:rsid w:val="004B2D64"/>
    <w:rsid w:val="004C32E4"/>
    <w:rsid w:val="004E5E56"/>
    <w:rsid w:val="004F2788"/>
    <w:rsid w:val="00501257"/>
    <w:rsid w:val="00501DAA"/>
    <w:rsid w:val="00507DFA"/>
    <w:rsid w:val="00527F1C"/>
    <w:rsid w:val="00532362"/>
    <w:rsid w:val="005371C9"/>
    <w:rsid w:val="005377D0"/>
    <w:rsid w:val="005465B0"/>
    <w:rsid w:val="00547EAC"/>
    <w:rsid w:val="00550FA3"/>
    <w:rsid w:val="0055410A"/>
    <w:rsid w:val="005614C7"/>
    <w:rsid w:val="00584C78"/>
    <w:rsid w:val="00590883"/>
    <w:rsid w:val="005B12A9"/>
    <w:rsid w:val="005B57D8"/>
    <w:rsid w:val="005B6183"/>
    <w:rsid w:val="005C365C"/>
    <w:rsid w:val="005C6C05"/>
    <w:rsid w:val="005D056A"/>
    <w:rsid w:val="005D63E8"/>
    <w:rsid w:val="005D6A1A"/>
    <w:rsid w:val="005F1DF9"/>
    <w:rsid w:val="005F3C35"/>
    <w:rsid w:val="00607A1D"/>
    <w:rsid w:val="00611506"/>
    <w:rsid w:val="0061236D"/>
    <w:rsid w:val="006164E2"/>
    <w:rsid w:val="00621211"/>
    <w:rsid w:val="00627D5E"/>
    <w:rsid w:val="00652511"/>
    <w:rsid w:val="00652EB2"/>
    <w:rsid w:val="00656BD9"/>
    <w:rsid w:val="00664C54"/>
    <w:rsid w:val="00675A51"/>
    <w:rsid w:val="00685BD2"/>
    <w:rsid w:val="006A5A4E"/>
    <w:rsid w:val="006A6C4B"/>
    <w:rsid w:val="006A754C"/>
    <w:rsid w:val="006B633C"/>
    <w:rsid w:val="006C5740"/>
    <w:rsid w:val="006D0F1C"/>
    <w:rsid w:val="006D1D7A"/>
    <w:rsid w:val="006D5439"/>
    <w:rsid w:val="006D6AB9"/>
    <w:rsid w:val="006E48FB"/>
    <w:rsid w:val="006E599C"/>
    <w:rsid w:val="006E6DFE"/>
    <w:rsid w:val="006F08A8"/>
    <w:rsid w:val="006F5EBF"/>
    <w:rsid w:val="00707B93"/>
    <w:rsid w:val="00713A85"/>
    <w:rsid w:val="0071434B"/>
    <w:rsid w:val="00722128"/>
    <w:rsid w:val="0072224D"/>
    <w:rsid w:val="007273C7"/>
    <w:rsid w:val="00735DA7"/>
    <w:rsid w:val="00755D23"/>
    <w:rsid w:val="00774CCD"/>
    <w:rsid w:val="00781690"/>
    <w:rsid w:val="007829D6"/>
    <w:rsid w:val="00790190"/>
    <w:rsid w:val="007A5697"/>
    <w:rsid w:val="007A5AB6"/>
    <w:rsid w:val="007A70A7"/>
    <w:rsid w:val="007B2C17"/>
    <w:rsid w:val="007B699A"/>
    <w:rsid w:val="007D4C73"/>
    <w:rsid w:val="007D7203"/>
    <w:rsid w:val="0080001D"/>
    <w:rsid w:val="00801D73"/>
    <w:rsid w:val="00803528"/>
    <w:rsid w:val="00803808"/>
    <w:rsid w:val="008053B5"/>
    <w:rsid w:val="008053E3"/>
    <w:rsid w:val="00810428"/>
    <w:rsid w:val="0081352C"/>
    <w:rsid w:val="0081455B"/>
    <w:rsid w:val="008251F2"/>
    <w:rsid w:val="0082697C"/>
    <w:rsid w:val="00832C9E"/>
    <w:rsid w:val="008450DA"/>
    <w:rsid w:val="0084765C"/>
    <w:rsid w:val="008546CF"/>
    <w:rsid w:val="00857E07"/>
    <w:rsid w:val="00864FAC"/>
    <w:rsid w:val="00866677"/>
    <w:rsid w:val="008920C9"/>
    <w:rsid w:val="00896B10"/>
    <w:rsid w:val="008A3C49"/>
    <w:rsid w:val="008A3FF6"/>
    <w:rsid w:val="008A40B5"/>
    <w:rsid w:val="008A6FF8"/>
    <w:rsid w:val="008B06B8"/>
    <w:rsid w:val="008B141F"/>
    <w:rsid w:val="008B5E80"/>
    <w:rsid w:val="008C1843"/>
    <w:rsid w:val="008D51EC"/>
    <w:rsid w:val="008E0436"/>
    <w:rsid w:val="008E0B4D"/>
    <w:rsid w:val="008E450D"/>
    <w:rsid w:val="008E4D19"/>
    <w:rsid w:val="008E77DB"/>
    <w:rsid w:val="008F02BC"/>
    <w:rsid w:val="008F36E2"/>
    <w:rsid w:val="0092726A"/>
    <w:rsid w:val="00933BA3"/>
    <w:rsid w:val="0094471F"/>
    <w:rsid w:val="0094704F"/>
    <w:rsid w:val="00951C2F"/>
    <w:rsid w:val="00955306"/>
    <w:rsid w:val="00956BC0"/>
    <w:rsid w:val="00962C6D"/>
    <w:rsid w:val="009649D0"/>
    <w:rsid w:val="00965699"/>
    <w:rsid w:val="0096684E"/>
    <w:rsid w:val="00975519"/>
    <w:rsid w:val="00976A54"/>
    <w:rsid w:val="00977843"/>
    <w:rsid w:val="0098188E"/>
    <w:rsid w:val="0098760C"/>
    <w:rsid w:val="009A2435"/>
    <w:rsid w:val="009A606F"/>
    <w:rsid w:val="009A7150"/>
    <w:rsid w:val="009B5011"/>
    <w:rsid w:val="009C11D3"/>
    <w:rsid w:val="009C736E"/>
    <w:rsid w:val="009C7D95"/>
    <w:rsid w:val="009D0297"/>
    <w:rsid w:val="009D438B"/>
    <w:rsid w:val="009D4ABC"/>
    <w:rsid w:val="009D62E4"/>
    <w:rsid w:val="009E5368"/>
    <w:rsid w:val="009E7581"/>
    <w:rsid w:val="009F087B"/>
    <w:rsid w:val="009F4194"/>
    <w:rsid w:val="009F60B8"/>
    <w:rsid w:val="009F6923"/>
    <w:rsid w:val="00A0062D"/>
    <w:rsid w:val="00A065BF"/>
    <w:rsid w:val="00A158F1"/>
    <w:rsid w:val="00A16DF3"/>
    <w:rsid w:val="00A24848"/>
    <w:rsid w:val="00A32351"/>
    <w:rsid w:val="00A328E8"/>
    <w:rsid w:val="00A36213"/>
    <w:rsid w:val="00A367D8"/>
    <w:rsid w:val="00A460A5"/>
    <w:rsid w:val="00A62ABC"/>
    <w:rsid w:val="00A62D8A"/>
    <w:rsid w:val="00A657A5"/>
    <w:rsid w:val="00A93035"/>
    <w:rsid w:val="00A95D30"/>
    <w:rsid w:val="00A97209"/>
    <w:rsid w:val="00AA4837"/>
    <w:rsid w:val="00AA6119"/>
    <w:rsid w:val="00AB7787"/>
    <w:rsid w:val="00AC38C1"/>
    <w:rsid w:val="00AD199F"/>
    <w:rsid w:val="00AE063C"/>
    <w:rsid w:val="00AE1372"/>
    <w:rsid w:val="00AE1629"/>
    <w:rsid w:val="00AE77E5"/>
    <w:rsid w:val="00AF3004"/>
    <w:rsid w:val="00AF69A8"/>
    <w:rsid w:val="00B10FEF"/>
    <w:rsid w:val="00B1749D"/>
    <w:rsid w:val="00B17EC8"/>
    <w:rsid w:val="00B20BBB"/>
    <w:rsid w:val="00B21C43"/>
    <w:rsid w:val="00B32667"/>
    <w:rsid w:val="00B36010"/>
    <w:rsid w:val="00B3625F"/>
    <w:rsid w:val="00B56DEE"/>
    <w:rsid w:val="00B67341"/>
    <w:rsid w:val="00B713B9"/>
    <w:rsid w:val="00B71A60"/>
    <w:rsid w:val="00B72BDC"/>
    <w:rsid w:val="00B74E4E"/>
    <w:rsid w:val="00B77858"/>
    <w:rsid w:val="00B84939"/>
    <w:rsid w:val="00B9083A"/>
    <w:rsid w:val="00B9534B"/>
    <w:rsid w:val="00B96440"/>
    <w:rsid w:val="00BA77BD"/>
    <w:rsid w:val="00BB1399"/>
    <w:rsid w:val="00BB2488"/>
    <w:rsid w:val="00BB2BA9"/>
    <w:rsid w:val="00BB4143"/>
    <w:rsid w:val="00BB63F1"/>
    <w:rsid w:val="00BC1408"/>
    <w:rsid w:val="00BC2EC0"/>
    <w:rsid w:val="00BC4BB7"/>
    <w:rsid w:val="00BE0180"/>
    <w:rsid w:val="00BE1FA1"/>
    <w:rsid w:val="00BE4D52"/>
    <w:rsid w:val="00BF08D0"/>
    <w:rsid w:val="00BF099E"/>
    <w:rsid w:val="00BF1947"/>
    <w:rsid w:val="00BF42E7"/>
    <w:rsid w:val="00BF4745"/>
    <w:rsid w:val="00C2525E"/>
    <w:rsid w:val="00C31019"/>
    <w:rsid w:val="00C31761"/>
    <w:rsid w:val="00C4117B"/>
    <w:rsid w:val="00C43148"/>
    <w:rsid w:val="00C454D7"/>
    <w:rsid w:val="00C558D0"/>
    <w:rsid w:val="00C71F66"/>
    <w:rsid w:val="00C74BAF"/>
    <w:rsid w:val="00C81029"/>
    <w:rsid w:val="00C81138"/>
    <w:rsid w:val="00C92A7F"/>
    <w:rsid w:val="00C94025"/>
    <w:rsid w:val="00C943F4"/>
    <w:rsid w:val="00CA1895"/>
    <w:rsid w:val="00CB5DAC"/>
    <w:rsid w:val="00CC58EA"/>
    <w:rsid w:val="00CC6320"/>
    <w:rsid w:val="00CD0D36"/>
    <w:rsid w:val="00CD34BC"/>
    <w:rsid w:val="00CD60B2"/>
    <w:rsid w:val="00CE074D"/>
    <w:rsid w:val="00CE6424"/>
    <w:rsid w:val="00CE6CB2"/>
    <w:rsid w:val="00CF573F"/>
    <w:rsid w:val="00CF6F22"/>
    <w:rsid w:val="00D073E7"/>
    <w:rsid w:val="00D15EAA"/>
    <w:rsid w:val="00D23F4C"/>
    <w:rsid w:val="00D270BA"/>
    <w:rsid w:val="00D378BD"/>
    <w:rsid w:val="00D4160D"/>
    <w:rsid w:val="00D42008"/>
    <w:rsid w:val="00D42F18"/>
    <w:rsid w:val="00D43163"/>
    <w:rsid w:val="00D520E2"/>
    <w:rsid w:val="00D60C5F"/>
    <w:rsid w:val="00D714A7"/>
    <w:rsid w:val="00D73FBA"/>
    <w:rsid w:val="00D74E78"/>
    <w:rsid w:val="00D76307"/>
    <w:rsid w:val="00D972B4"/>
    <w:rsid w:val="00DA29A2"/>
    <w:rsid w:val="00DA64A3"/>
    <w:rsid w:val="00DB57AF"/>
    <w:rsid w:val="00DB68AB"/>
    <w:rsid w:val="00DB7245"/>
    <w:rsid w:val="00DC0568"/>
    <w:rsid w:val="00DC12F8"/>
    <w:rsid w:val="00DC278C"/>
    <w:rsid w:val="00DC5400"/>
    <w:rsid w:val="00DD4726"/>
    <w:rsid w:val="00DD5E39"/>
    <w:rsid w:val="00DF240B"/>
    <w:rsid w:val="00DF43A1"/>
    <w:rsid w:val="00DF6822"/>
    <w:rsid w:val="00E05B0D"/>
    <w:rsid w:val="00E06595"/>
    <w:rsid w:val="00E1474D"/>
    <w:rsid w:val="00E207A2"/>
    <w:rsid w:val="00E30FB7"/>
    <w:rsid w:val="00E33F32"/>
    <w:rsid w:val="00E344D1"/>
    <w:rsid w:val="00E349D8"/>
    <w:rsid w:val="00E36925"/>
    <w:rsid w:val="00E44722"/>
    <w:rsid w:val="00E536EB"/>
    <w:rsid w:val="00E54CF3"/>
    <w:rsid w:val="00E64177"/>
    <w:rsid w:val="00E66FA3"/>
    <w:rsid w:val="00E7120E"/>
    <w:rsid w:val="00E82D54"/>
    <w:rsid w:val="00E8469D"/>
    <w:rsid w:val="00E86C47"/>
    <w:rsid w:val="00E95823"/>
    <w:rsid w:val="00EB5C06"/>
    <w:rsid w:val="00EC1054"/>
    <w:rsid w:val="00EC563F"/>
    <w:rsid w:val="00EC5C97"/>
    <w:rsid w:val="00ED0612"/>
    <w:rsid w:val="00ED419B"/>
    <w:rsid w:val="00EE6B8F"/>
    <w:rsid w:val="00EE7209"/>
    <w:rsid w:val="00EF5583"/>
    <w:rsid w:val="00F070DC"/>
    <w:rsid w:val="00F103FE"/>
    <w:rsid w:val="00F16BD4"/>
    <w:rsid w:val="00F17233"/>
    <w:rsid w:val="00F224AD"/>
    <w:rsid w:val="00F36364"/>
    <w:rsid w:val="00F3777F"/>
    <w:rsid w:val="00F5066E"/>
    <w:rsid w:val="00F6195C"/>
    <w:rsid w:val="00F62755"/>
    <w:rsid w:val="00F71042"/>
    <w:rsid w:val="00F8125F"/>
    <w:rsid w:val="00F90C9E"/>
    <w:rsid w:val="00F979C5"/>
    <w:rsid w:val="00FA1686"/>
    <w:rsid w:val="00FA47D1"/>
    <w:rsid w:val="00FB306E"/>
    <w:rsid w:val="00FC07F2"/>
    <w:rsid w:val="00FC0B31"/>
    <w:rsid w:val="00FD6449"/>
    <w:rsid w:val="00FD6536"/>
    <w:rsid w:val="00FD7311"/>
    <w:rsid w:val="00FE0330"/>
    <w:rsid w:val="00FE3108"/>
    <w:rsid w:val="00FE59C2"/>
    <w:rsid w:val="00FE6EF6"/>
    <w:rsid w:val="00FE72E8"/>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ffmomentChar">
    <w:name w:val="ffmoment Char"/>
    <w:basedOn w:val="Standardstycketeckensnitt"/>
    <w:link w:val="ffmoment"/>
    <w:locked/>
    <w:rsid w:val="00373B9A"/>
  </w:style>
  <w:style w:type="paragraph" w:customStyle="1" w:styleId="ffmoment">
    <w:name w:val="ffmoment"/>
    <w:link w:val="ffmomentChar"/>
    <w:rsid w:val="00373B9A"/>
    <w:pPr>
      <w:tabs>
        <w:tab w:val="left" w:pos="284"/>
      </w:tabs>
      <w:ind w:firstLine="284"/>
    </w:pPr>
  </w:style>
  <w:style w:type="character" w:customStyle="1" w:styleId="ffparagrafnummer">
    <w:name w:val="ffparagrafnummer"/>
    <w:rsid w:val="00373B9A"/>
    <w:rPr>
      <w:b/>
      <w:bCs w:val="0"/>
    </w:rPr>
  </w:style>
  <w:style w:type="paragraph" w:customStyle="1" w:styleId="ffmomentparagraf">
    <w:name w:val="ffmomentparagraf"/>
    <w:basedOn w:val="ffmoment"/>
    <w:next w:val="ffmoment"/>
    <w:link w:val="ffmomentparagrafChar"/>
    <w:rsid w:val="00373B9A"/>
    <w:pPr>
      <w:spacing w:before="120"/>
      <w:ind w:firstLine="0"/>
    </w:pPr>
    <w:rPr>
      <w:bCs/>
    </w:rPr>
  </w:style>
  <w:style w:type="character" w:customStyle="1" w:styleId="ffmomentparagrafChar">
    <w:name w:val="ffmomentparagraf Char"/>
    <w:link w:val="ffmomentparagraf"/>
    <w:locked/>
    <w:rsid w:val="00E66FA3"/>
    <w:rPr>
      <w:bCs/>
    </w:rPr>
  </w:style>
  <w:style w:type="paragraph" w:styleId="Fotnotstext">
    <w:name w:val="footnote text"/>
    <w:basedOn w:val="Normal"/>
    <w:link w:val="FotnotstextChar"/>
    <w:uiPriority w:val="99"/>
    <w:semiHidden/>
    <w:unhideWhenUsed/>
    <w:rsid w:val="00774CCD"/>
    <w:rPr>
      <w:sz w:val="20"/>
      <w:szCs w:val="20"/>
    </w:rPr>
  </w:style>
  <w:style w:type="character" w:customStyle="1" w:styleId="FotnotstextChar">
    <w:name w:val="Fotnotstext Char"/>
    <w:basedOn w:val="Standardstycketeckensnitt"/>
    <w:link w:val="Fotnotstext"/>
    <w:uiPriority w:val="99"/>
    <w:semiHidden/>
    <w:rsid w:val="00774CCD"/>
    <w:rPr>
      <w:lang w:val="sv-SE" w:eastAsia="sv-SE"/>
    </w:rPr>
  </w:style>
  <w:style w:type="character" w:styleId="Fotnotsreferens">
    <w:name w:val="footnote reference"/>
    <w:basedOn w:val="Standardstycketeckensnitt"/>
    <w:uiPriority w:val="99"/>
    <w:semiHidden/>
    <w:unhideWhenUsed/>
    <w:rsid w:val="00774CCD"/>
    <w:rPr>
      <w:vertAlign w:val="superscript"/>
    </w:rPr>
  </w:style>
  <w:style w:type="paragraph" w:styleId="Ballongtext">
    <w:name w:val="Balloon Text"/>
    <w:basedOn w:val="Normal"/>
    <w:link w:val="BallongtextChar"/>
    <w:uiPriority w:val="99"/>
    <w:semiHidden/>
    <w:unhideWhenUsed/>
    <w:rsid w:val="00D378BD"/>
    <w:rPr>
      <w:rFonts w:ascii="Tahoma" w:hAnsi="Tahoma" w:cs="Tahoma"/>
      <w:sz w:val="16"/>
      <w:szCs w:val="16"/>
    </w:rPr>
  </w:style>
  <w:style w:type="character" w:customStyle="1" w:styleId="BallongtextChar">
    <w:name w:val="Ballongtext Char"/>
    <w:basedOn w:val="Standardstycketeckensnitt"/>
    <w:link w:val="Ballongtext"/>
    <w:uiPriority w:val="99"/>
    <w:semiHidden/>
    <w:rsid w:val="00D378BD"/>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ffmomentChar">
    <w:name w:val="ffmoment Char"/>
    <w:basedOn w:val="Standardstycketeckensnitt"/>
    <w:link w:val="ffmoment"/>
    <w:locked/>
    <w:rsid w:val="00373B9A"/>
  </w:style>
  <w:style w:type="paragraph" w:customStyle="1" w:styleId="ffmoment">
    <w:name w:val="ffmoment"/>
    <w:link w:val="ffmomentChar"/>
    <w:rsid w:val="00373B9A"/>
    <w:pPr>
      <w:tabs>
        <w:tab w:val="left" w:pos="284"/>
      </w:tabs>
      <w:ind w:firstLine="284"/>
    </w:pPr>
  </w:style>
  <w:style w:type="character" w:customStyle="1" w:styleId="ffparagrafnummer">
    <w:name w:val="ffparagrafnummer"/>
    <w:rsid w:val="00373B9A"/>
    <w:rPr>
      <w:b/>
      <w:bCs w:val="0"/>
    </w:rPr>
  </w:style>
  <w:style w:type="paragraph" w:customStyle="1" w:styleId="ffmomentparagraf">
    <w:name w:val="ffmomentparagraf"/>
    <w:basedOn w:val="ffmoment"/>
    <w:next w:val="ffmoment"/>
    <w:link w:val="ffmomentparagrafChar"/>
    <w:rsid w:val="00373B9A"/>
    <w:pPr>
      <w:spacing w:before="120"/>
      <w:ind w:firstLine="0"/>
    </w:pPr>
    <w:rPr>
      <w:bCs/>
    </w:rPr>
  </w:style>
  <w:style w:type="character" w:customStyle="1" w:styleId="ffmomentparagrafChar">
    <w:name w:val="ffmomentparagraf Char"/>
    <w:link w:val="ffmomentparagraf"/>
    <w:locked/>
    <w:rsid w:val="00E66FA3"/>
    <w:rPr>
      <w:bCs/>
    </w:rPr>
  </w:style>
  <w:style w:type="paragraph" w:styleId="Fotnotstext">
    <w:name w:val="footnote text"/>
    <w:basedOn w:val="Normal"/>
    <w:link w:val="FotnotstextChar"/>
    <w:uiPriority w:val="99"/>
    <w:semiHidden/>
    <w:unhideWhenUsed/>
    <w:rsid w:val="00774CCD"/>
    <w:rPr>
      <w:sz w:val="20"/>
      <w:szCs w:val="20"/>
    </w:rPr>
  </w:style>
  <w:style w:type="character" w:customStyle="1" w:styleId="FotnotstextChar">
    <w:name w:val="Fotnotstext Char"/>
    <w:basedOn w:val="Standardstycketeckensnitt"/>
    <w:link w:val="Fotnotstext"/>
    <w:uiPriority w:val="99"/>
    <w:semiHidden/>
    <w:rsid w:val="00774CCD"/>
    <w:rPr>
      <w:lang w:val="sv-SE" w:eastAsia="sv-SE"/>
    </w:rPr>
  </w:style>
  <w:style w:type="character" w:styleId="Fotnotsreferens">
    <w:name w:val="footnote reference"/>
    <w:basedOn w:val="Standardstycketeckensnitt"/>
    <w:uiPriority w:val="99"/>
    <w:semiHidden/>
    <w:unhideWhenUsed/>
    <w:rsid w:val="00774CCD"/>
    <w:rPr>
      <w:vertAlign w:val="superscript"/>
    </w:rPr>
  </w:style>
  <w:style w:type="paragraph" w:styleId="Ballongtext">
    <w:name w:val="Balloon Text"/>
    <w:basedOn w:val="Normal"/>
    <w:link w:val="BallongtextChar"/>
    <w:uiPriority w:val="99"/>
    <w:semiHidden/>
    <w:unhideWhenUsed/>
    <w:rsid w:val="00D378BD"/>
    <w:rPr>
      <w:rFonts w:ascii="Tahoma" w:hAnsi="Tahoma" w:cs="Tahoma"/>
      <w:sz w:val="16"/>
      <w:szCs w:val="16"/>
    </w:rPr>
  </w:style>
  <w:style w:type="character" w:customStyle="1" w:styleId="BallongtextChar">
    <w:name w:val="Ballongtext Char"/>
    <w:basedOn w:val="Standardstycketeckensnitt"/>
    <w:link w:val="Ballongtext"/>
    <w:uiPriority w:val="99"/>
    <w:semiHidden/>
    <w:rsid w:val="00D378BD"/>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3470">
      <w:bodyDiv w:val="1"/>
      <w:marLeft w:val="0"/>
      <w:marRight w:val="0"/>
      <w:marTop w:val="0"/>
      <w:marBottom w:val="0"/>
      <w:divBdr>
        <w:top w:val="none" w:sz="0" w:space="0" w:color="auto"/>
        <w:left w:val="none" w:sz="0" w:space="0" w:color="auto"/>
        <w:bottom w:val="none" w:sz="0" w:space="0" w:color="auto"/>
        <w:right w:val="none" w:sz="0" w:space="0" w:color="auto"/>
      </w:divBdr>
    </w:div>
    <w:div w:id="1561162870">
      <w:bodyDiv w:val="1"/>
      <w:marLeft w:val="0"/>
      <w:marRight w:val="0"/>
      <w:marTop w:val="0"/>
      <w:marBottom w:val="0"/>
      <w:divBdr>
        <w:top w:val="none" w:sz="0" w:space="0" w:color="auto"/>
        <w:left w:val="none" w:sz="0" w:space="0" w:color="auto"/>
        <w:bottom w:val="none" w:sz="0" w:space="0" w:color="auto"/>
        <w:right w:val="none" w:sz="0" w:space="0" w:color="auto"/>
      </w:divBdr>
    </w:div>
    <w:div w:id="21423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kument.lagtinget.ax/handlingar/2018-2019/LF10/LF1020182019-p.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614B-2690-4B1F-B11A-9DB3FF89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3</TotalTime>
  <Pages>10</Pages>
  <Words>3279</Words>
  <Characters>20096</Characters>
  <Application>Microsoft Office Word</Application>
  <DocSecurity>0</DocSecurity>
  <Lines>167</Lines>
  <Paragraphs>46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23329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lastModifiedBy>Jessica Laaksonen</cp:lastModifiedBy>
  <cp:revision>3</cp:revision>
  <cp:lastPrinted>2019-01-23T08:49:00Z</cp:lastPrinted>
  <dcterms:created xsi:type="dcterms:W3CDTF">2019-01-24T13:03:00Z</dcterms:created>
  <dcterms:modified xsi:type="dcterms:W3CDTF">2019-01-24T13:40:00Z</dcterms:modified>
</cp:coreProperties>
</file>