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05174F">
            <w:pPr>
              <w:pStyle w:val="xLedtext"/>
              <w:rPr>
                <w:noProof/>
              </w:rPr>
            </w:pPr>
            <w:bookmarkStart w:id="0" w:name="_top"/>
            <w:bookmarkEnd w:id="0"/>
            <w:r>
              <w:rPr>
                <w:noProof/>
                <w:lang w:val="sv-FI" w:eastAsia="sv-FI"/>
              </w:rPr>
              <w:drawing>
                <wp:inline distT="0" distB="0" distL="0" distR="0">
                  <wp:extent cx="478155"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3895"/>
                          </a:xfrm>
                          <a:prstGeom prst="rect">
                            <a:avLst/>
                          </a:prstGeom>
                          <a:noFill/>
                          <a:ln>
                            <a:noFill/>
                          </a:ln>
                        </pic:spPr>
                      </pic:pic>
                    </a:graphicData>
                  </a:graphic>
                </wp:inline>
              </w:drawing>
            </w:r>
          </w:p>
        </w:tc>
        <w:tc>
          <w:tcPr>
            <w:tcW w:w="8736" w:type="dxa"/>
            <w:gridSpan w:val="3"/>
            <w:vAlign w:val="bottom"/>
          </w:tcPr>
          <w:p w:rsidR="002401D0" w:rsidRDefault="0005174F">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B458AA">
            <w:pPr>
              <w:pStyle w:val="xDokTypNr"/>
            </w:pPr>
            <w:r>
              <w:t xml:space="preserve">BETÄNKANDE nr </w:t>
            </w:r>
            <w:r w:rsidR="00B458AA">
              <w:t>5</w:t>
            </w:r>
            <w:r>
              <w:t>/20</w:t>
            </w:r>
            <w:r w:rsidR="00723B93">
              <w:t>1</w:t>
            </w:r>
            <w:r w:rsidR="00727BB6">
              <w:t>8</w:t>
            </w:r>
            <w:r w:rsidR="0015337C">
              <w:t>-20</w:t>
            </w:r>
            <w:r w:rsidR="009F7CE2">
              <w:t>1</w:t>
            </w:r>
            <w:r w:rsidR="00727BB6">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727BB6">
            <w:pPr>
              <w:pStyle w:val="xAvsandare2"/>
            </w:pPr>
            <w:r>
              <w:t>Social- och miljö</w:t>
            </w:r>
            <w:r w:rsidR="002401D0">
              <w:t>utskottet</w:t>
            </w:r>
          </w:p>
        </w:tc>
        <w:tc>
          <w:tcPr>
            <w:tcW w:w="1725" w:type="dxa"/>
            <w:vAlign w:val="center"/>
          </w:tcPr>
          <w:p w:rsidR="002401D0" w:rsidRDefault="002401D0" w:rsidP="00B458AA">
            <w:pPr>
              <w:pStyle w:val="xDatum1"/>
            </w:pPr>
            <w:r>
              <w:t>20</w:t>
            </w:r>
            <w:r w:rsidR="00B32E91">
              <w:t>1</w:t>
            </w:r>
            <w:r w:rsidR="00B458AA">
              <w:t>9</w:t>
            </w:r>
            <w:r w:rsidR="00727BB6">
              <w:t>-</w:t>
            </w:r>
            <w:r w:rsidR="00B458AA">
              <w:t>03</w:t>
            </w:r>
            <w:r w:rsidR="00727BB6">
              <w:t>-</w:t>
            </w:r>
            <w:r w:rsidR="00B458AA">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727BB6">
      <w:pPr>
        <w:pStyle w:val="ArendeOverRubrik"/>
      </w:pPr>
      <w:r>
        <w:lastRenderedPageBreak/>
        <w:t>Social- och miljö</w:t>
      </w:r>
      <w:r w:rsidR="002401D0">
        <w:t>utskottets betänkande</w:t>
      </w:r>
    </w:p>
    <w:p w:rsidR="002401D0" w:rsidRDefault="00083571">
      <w:pPr>
        <w:pStyle w:val="ArendeRubrik"/>
      </w:pPr>
      <w:r>
        <w:t>Utvidgad skyddsjakt</w:t>
      </w:r>
    </w:p>
    <w:p w:rsidR="002401D0" w:rsidRDefault="00727BB6">
      <w:pPr>
        <w:pStyle w:val="ArendeUnderRubrik"/>
      </w:pPr>
      <w:r>
        <w:t>Land</w:t>
      </w:r>
      <w:r w:rsidR="00083571">
        <w:t>skapsregeringens lagförslag nr 6</w:t>
      </w:r>
      <w:r>
        <w:t>/2018-2019</w:t>
      </w:r>
    </w:p>
    <w:p w:rsidR="002401D0" w:rsidRDefault="002401D0">
      <w:pPr>
        <w:pStyle w:val="ANormal"/>
      </w:pPr>
    </w:p>
    <w:p w:rsidR="002401D0" w:rsidRDefault="002401D0">
      <w:pPr>
        <w:pStyle w:val="Innehll1"/>
      </w:pPr>
      <w:r>
        <w:t>INNEHÅLL</w:t>
      </w:r>
    </w:p>
    <w:p w:rsidR="00EA58F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3356819" w:history="1">
        <w:r w:rsidR="00EA58F0" w:rsidRPr="00771675">
          <w:rPr>
            <w:rStyle w:val="Hyperlnk"/>
          </w:rPr>
          <w:t>Sammanfattning</w:t>
        </w:r>
        <w:r w:rsidR="00EA58F0">
          <w:rPr>
            <w:webHidden/>
          </w:rPr>
          <w:tab/>
        </w:r>
        <w:r w:rsidR="00EA58F0">
          <w:rPr>
            <w:webHidden/>
          </w:rPr>
          <w:fldChar w:fldCharType="begin"/>
        </w:r>
        <w:r w:rsidR="00EA58F0">
          <w:rPr>
            <w:webHidden/>
          </w:rPr>
          <w:instrText xml:space="preserve"> PAGEREF _Toc3356819 \h </w:instrText>
        </w:r>
        <w:r w:rsidR="00EA58F0">
          <w:rPr>
            <w:webHidden/>
          </w:rPr>
        </w:r>
        <w:r w:rsidR="00EA58F0">
          <w:rPr>
            <w:webHidden/>
          </w:rPr>
          <w:fldChar w:fldCharType="separate"/>
        </w:r>
        <w:r w:rsidR="002A0065">
          <w:rPr>
            <w:webHidden/>
          </w:rPr>
          <w:t>1</w:t>
        </w:r>
        <w:r w:rsidR="00EA58F0">
          <w:rPr>
            <w:webHidden/>
          </w:rPr>
          <w:fldChar w:fldCharType="end"/>
        </w:r>
      </w:hyperlink>
    </w:p>
    <w:p w:rsidR="00EA58F0" w:rsidRDefault="00EA6129">
      <w:pPr>
        <w:pStyle w:val="Innehll2"/>
        <w:rPr>
          <w:rFonts w:asciiTheme="minorHAnsi" w:eastAsiaTheme="minorEastAsia" w:hAnsiTheme="minorHAnsi" w:cstheme="minorBidi"/>
          <w:sz w:val="22"/>
          <w:szCs w:val="22"/>
          <w:lang w:val="sv-FI" w:eastAsia="sv-FI"/>
        </w:rPr>
      </w:pPr>
      <w:hyperlink w:anchor="_Toc3356820" w:history="1">
        <w:r w:rsidR="00EA58F0" w:rsidRPr="00771675">
          <w:rPr>
            <w:rStyle w:val="Hyperlnk"/>
          </w:rPr>
          <w:t>Landskapsregeringens förslag</w:t>
        </w:r>
        <w:r w:rsidR="00EA58F0">
          <w:rPr>
            <w:webHidden/>
          </w:rPr>
          <w:tab/>
        </w:r>
        <w:r w:rsidR="00EA58F0">
          <w:rPr>
            <w:webHidden/>
          </w:rPr>
          <w:fldChar w:fldCharType="begin"/>
        </w:r>
        <w:r w:rsidR="00EA58F0">
          <w:rPr>
            <w:webHidden/>
          </w:rPr>
          <w:instrText xml:space="preserve"> PAGEREF _Toc3356820 \h </w:instrText>
        </w:r>
        <w:r w:rsidR="00EA58F0">
          <w:rPr>
            <w:webHidden/>
          </w:rPr>
        </w:r>
        <w:r w:rsidR="00EA58F0">
          <w:rPr>
            <w:webHidden/>
          </w:rPr>
          <w:fldChar w:fldCharType="separate"/>
        </w:r>
        <w:r w:rsidR="002A0065">
          <w:rPr>
            <w:webHidden/>
          </w:rPr>
          <w:t>1</w:t>
        </w:r>
        <w:r w:rsidR="00EA58F0">
          <w:rPr>
            <w:webHidden/>
          </w:rPr>
          <w:fldChar w:fldCharType="end"/>
        </w:r>
      </w:hyperlink>
    </w:p>
    <w:p w:rsidR="00EA58F0" w:rsidRDefault="00EA6129">
      <w:pPr>
        <w:pStyle w:val="Innehll2"/>
        <w:rPr>
          <w:rFonts w:asciiTheme="minorHAnsi" w:eastAsiaTheme="minorEastAsia" w:hAnsiTheme="minorHAnsi" w:cstheme="minorBidi"/>
          <w:sz w:val="22"/>
          <w:szCs w:val="22"/>
          <w:lang w:val="sv-FI" w:eastAsia="sv-FI"/>
        </w:rPr>
      </w:pPr>
      <w:hyperlink w:anchor="_Toc3356821" w:history="1">
        <w:r w:rsidR="00EA58F0" w:rsidRPr="00771675">
          <w:rPr>
            <w:rStyle w:val="Hyperlnk"/>
          </w:rPr>
          <w:t>Utskottets förslag</w:t>
        </w:r>
        <w:r w:rsidR="00EA58F0">
          <w:rPr>
            <w:webHidden/>
          </w:rPr>
          <w:tab/>
        </w:r>
        <w:r w:rsidR="00EA58F0">
          <w:rPr>
            <w:webHidden/>
          </w:rPr>
          <w:fldChar w:fldCharType="begin"/>
        </w:r>
        <w:r w:rsidR="00EA58F0">
          <w:rPr>
            <w:webHidden/>
          </w:rPr>
          <w:instrText xml:space="preserve"> PAGEREF _Toc3356821 \h </w:instrText>
        </w:r>
        <w:r w:rsidR="00EA58F0">
          <w:rPr>
            <w:webHidden/>
          </w:rPr>
        </w:r>
        <w:r w:rsidR="00EA58F0">
          <w:rPr>
            <w:webHidden/>
          </w:rPr>
          <w:fldChar w:fldCharType="separate"/>
        </w:r>
        <w:r w:rsidR="002A0065">
          <w:rPr>
            <w:webHidden/>
          </w:rPr>
          <w:t>1</w:t>
        </w:r>
        <w:r w:rsidR="00EA58F0">
          <w:rPr>
            <w:webHidden/>
          </w:rPr>
          <w:fldChar w:fldCharType="end"/>
        </w:r>
      </w:hyperlink>
    </w:p>
    <w:p w:rsidR="00EA58F0" w:rsidRDefault="00EA6129">
      <w:pPr>
        <w:pStyle w:val="Innehll1"/>
        <w:rPr>
          <w:rFonts w:asciiTheme="minorHAnsi" w:eastAsiaTheme="minorEastAsia" w:hAnsiTheme="minorHAnsi" w:cstheme="minorBidi"/>
          <w:sz w:val="22"/>
          <w:szCs w:val="22"/>
          <w:lang w:val="sv-FI" w:eastAsia="sv-FI"/>
        </w:rPr>
      </w:pPr>
      <w:hyperlink w:anchor="_Toc3356822" w:history="1">
        <w:r w:rsidR="00EA58F0" w:rsidRPr="00771675">
          <w:rPr>
            <w:rStyle w:val="Hyperlnk"/>
          </w:rPr>
          <w:t>Ärendets behandling</w:t>
        </w:r>
        <w:r w:rsidR="00EA58F0">
          <w:rPr>
            <w:webHidden/>
          </w:rPr>
          <w:tab/>
        </w:r>
        <w:r w:rsidR="00EA58F0">
          <w:rPr>
            <w:webHidden/>
          </w:rPr>
          <w:fldChar w:fldCharType="begin"/>
        </w:r>
        <w:r w:rsidR="00EA58F0">
          <w:rPr>
            <w:webHidden/>
          </w:rPr>
          <w:instrText xml:space="preserve"> PAGEREF _Toc3356822 \h </w:instrText>
        </w:r>
        <w:r w:rsidR="00EA58F0">
          <w:rPr>
            <w:webHidden/>
          </w:rPr>
        </w:r>
        <w:r w:rsidR="00EA58F0">
          <w:rPr>
            <w:webHidden/>
          </w:rPr>
          <w:fldChar w:fldCharType="separate"/>
        </w:r>
        <w:r w:rsidR="002A0065">
          <w:rPr>
            <w:webHidden/>
          </w:rPr>
          <w:t>1</w:t>
        </w:r>
        <w:r w:rsidR="00EA58F0">
          <w:rPr>
            <w:webHidden/>
          </w:rPr>
          <w:fldChar w:fldCharType="end"/>
        </w:r>
      </w:hyperlink>
    </w:p>
    <w:p w:rsidR="00EA58F0" w:rsidRDefault="00EA6129">
      <w:pPr>
        <w:pStyle w:val="Innehll1"/>
        <w:rPr>
          <w:rFonts w:asciiTheme="minorHAnsi" w:eastAsiaTheme="minorEastAsia" w:hAnsiTheme="minorHAnsi" w:cstheme="minorBidi"/>
          <w:sz w:val="22"/>
          <w:szCs w:val="22"/>
          <w:lang w:val="sv-FI" w:eastAsia="sv-FI"/>
        </w:rPr>
      </w:pPr>
      <w:hyperlink w:anchor="_Toc3356823" w:history="1">
        <w:r w:rsidR="00EA58F0" w:rsidRPr="00771675">
          <w:rPr>
            <w:rStyle w:val="Hyperlnk"/>
          </w:rPr>
          <w:t>Utskottets förslag</w:t>
        </w:r>
        <w:r w:rsidR="00EA58F0">
          <w:rPr>
            <w:webHidden/>
          </w:rPr>
          <w:tab/>
        </w:r>
        <w:r w:rsidR="00EA58F0">
          <w:rPr>
            <w:webHidden/>
          </w:rPr>
          <w:fldChar w:fldCharType="begin"/>
        </w:r>
        <w:r w:rsidR="00EA58F0">
          <w:rPr>
            <w:webHidden/>
          </w:rPr>
          <w:instrText xml:space="preserve"> PAGEREF _Toc3356823 \h </w:instrText>
        </w:r>
        <w:r w:rsidR="00EA58F0">
          <w:rPr>
            <w:webHidden/>
          </w:rPr>
        </w:r>
        <w:r w:rsidR="00EA58F0">
          <w:rPr>
            <w:webHidden/>
          </w:rPr>
          <w:fldChar w:fldCharType="separate"/>
        </w:r>
        <w:r w:rsidR="002A0065">
          <w:rPr>
            <w:webHidden/>
          </w:rPr>
          <w:t>2</w:t>
        </w:r>
        <w:r w:rsidR="00EA58F0">
          <w:rPr>
            <w:webHidden/>
          </w:rPr>
          <w:fldChar w:fldCharType="end"/>
        </w:r>
      </w:hyperlink>
    </w:p>
    <w:p w:rsidR="002401D0" w:rsidRDefault="002401D0">
      <w:pPr>
        <w:pStyle w:val="ANormal"/>
      </w:pPr>
      <w:r>
        <w:rPr>
          <w:rFonts w:ascii="Verdana" w:hAnsi="Verdana"/>
          <w:noProof/>
          <w:sz w:val="16"/>
          <w:szCs w:val="36"/>
        </w:rPr>
        <w:fldChar w:fldCharType="end"/>
      </w:r>
    </w:p>
    <w:p w:rsidR="002401D0" w:rsidRDefault="002401D0">
      <w:pPr>
        <w:pStyle w:val="RubrikA"/>
      </w:pPr>
      <w:bookmarkStart w:id="1" w:name="_Toc529800932"/>
      <w:bookmarkStart w:id="2" w:name="_Toc3356819"/>
      <w:r>
        <w:t>Sammanfattning</w:t>
      </w:r>
      <w:bookmarkEnd w:id="1"/>
      <w:bookmarkEnd w:id="2"/>
    </w:p>
    <w:p w:rsidR="002401D0" w:rsidRDefault="002401D0">
      <w:pPr>
        <w:pStyle w:val="Rubrikmellanrum"/>
      </w:pPr>
    </w:p>
    <w:p w:rsidR="002401D0" w:rsidRDefault="00727BB6">
      <w:pPr>
        <w:pStyle w:val="RubrikB"/>
      </w:pPr>
      <w:bookmarkStart w:id="3" w:name="_Toc529800933"/>
      <w:bookmarkStart w:id="4" w:name="_Toc3356820"/>
      <w:r>
        <w:t>Landskapsregeringens</w:t>
      </w:r>
      <w:r w:rsidR="002401D0">
        <w:t xml:space="preserve"> förslag</w:t>
      </w:r>
      <w:bookmarkEnd w:id="3"/>
      <w:bookmarkEnd w:id="4"/>
    </w:p>
    <w:p w:rsidR="002401D0" w:rsidRDefault="002401D0">
      <w:pPr>
        <w:pStyle w:val="Rubrikmellanrum"/>
      </w:pPr>
    </w:p>
    <w:p w:rsidR="00083571" w:rsidRPr="00EA51DC" w:rsidRDefault="00083571" w:rsidP="00083571">
      <w:pPr>
        <w:pStyle w:val="ANormal"/>
      </w:pPr>
      <w:r w:rsidRPr="00EA51DC">
        <w:t>Landskapsregeringen föreslår att lagtinget antar en landskapslag om än</w:t>
      </w:r>
      <w:r w:rsidRPr="00EA51DC">
        <w:t>d</w:t>
      </w:r>
      <w:r w:rsidRPr="00EA51DC">
        <w:t>ring av jaktlagen för landskapet Åland.</w:t>
      </w:r>
    </w:p>
    <w:p w:rsidR="00083571" w:rsidRDefault="00083571" w:rsidP="00083571">
      <w:pPr>
        <w:pStyle w:val="ANormal"/>
      </w:pPr>
      <w:r>
        <w:tab/>
        <w:t>Enligt förslaget skulle jakt tillåtas på fredat eller fridlyst vilt för att fö</w:t>
      </w:r>
      <w:r>
        <w:t>r</w:t>
      </w:r>
      <w:r>
        <w:t>hindra allvarlig skada på egendom eller för att trygga människors hälsa e</w:t>
      </w:r>
      <w:r>
        <w:t>l</w:t>
      </w:r>
      <w:r>
        <w:t>ler säkerhet. Jakten skulle få bedrivas endast om det inte finns någon annan lämplig lösning och jakten inte skulle försvåra upprätthållandet av en gyn</w:t>
      </w:r>
      <w:r>
        <w:t>n</w:t>
      </w:r>
      <w:r>
        <w:t>sam bevarandestatus hos bestånden av de berörda arterna i deras naturliga utbredningsområden. Bestämmelser om vilka viltarter som skulle omfattas av jakten och under vilka tider jakten skulle få bedrivas skulle intas i lan</w:t>
      </w:r>
      <w:r>
        <w:t>d</w:t>
      </w:r>
      <w:r>
        <w:t>skapsförordning.</w:t>
      </w:r>
    </w:p>
    <w:p w:rsidR="00083571" w:rsidRDefault="00083571" w:rsidP="00083571">
      <w:pPr>
        <w:pStyle w:val="ANormal"/>
      </w:pPr>
      <w:r>
        <w:tab/>
      </w:r>
      <w:r w:rsidRPr="00EA51DC">
        <w:t>Avsikten med förslaget är att undanröja de brister som Republikens pr</w:t>
      </w:r>
      <w:r w:rsidRPr="00EA51DC">
        <w:t>e</w:t>
      </w:r>
      <w:r w:rsidRPr="00EA51DC">
        <w:t xml:space="preserve">sident den 5 oktober 2018 påtalade vid sin lagstiftningskontroll av </w:t>
      </w:r>
      <w:r>
        <w:t xml:space="preserve">den av </w:t>
      </w:r>
      <w:r w:rsidRPr="00EA51DC">
        <w:t xml:space="preserve">lagtinget den 13 juni 2018 antagna landskapslagen om ändring av jaktlagen för landskapet Åland och som medförde att lagen i dess helhet </w:t>
      </w:r>
      <w:proofErr w:type="gramStart"/>
      <w:r w:rsidRPr="00EA51DC">
        <w:t>förordnades</w:t>
      </w:r>
      <w:proofErr w:type="gramEnd"/>
      <w:r w:rsidRPr="00EA51DC">
        <w:t xml:space="preserve"> att förfalla.</w:t>
      </w:r>
    </w:p>
    <w:p w:rsidR="00083571" w:rsidRPr="00EA51DC" w:rsidRDefault="00083571" w:rsidP="00083571">
      <w:pPr>
        <w:pStyle w:val="ANormal"/>
      </w:pPr>
      <w:r>
        <w:tab/>
        <w:t>Samtidigt föreslås att en bestämmelse om jakt under exceptionella fö</w:t>
      </w:r>
      <w:r>
        <w:t>r</w:t>
      </w:r>
      <w:r>
        <w:t>hållanden intas i jaktlagen för landskapet Åland.</w:t>
      </w:r>
    </w:p>
    <w:p w:rsidR="00083571" w:rsidRPr="00EA51DC" w:rsidRDefault="00083571" w:rsidP="00083571">
      <w:pPr>
        <w:pStyle w:val="ANormal"/>
      </w:pPr>
      <w:r w:rsidRPr="00EA51DC">
        <w:tab/>
        <w:t>Avsikten är att den föreslagna lagen skulle träda i kraft så snart som möjligt.</w:t>
      </w:r>
    </w:p>
    <w:p w:rsidR="002401D0" w:rsidRDefault="002401D0">
      <w:pPr>
        <w:pStyle w:val="ANormal"/>
      </w:pPr>
    </w:p>
    <w:p w:rsidR="002401D0" w:rsidRDefault="002401D0">
      <w:pPr>
        <w:pStyle w:val="RubrikB"/>
      </w:pPr>
      <w:bookmarkStart w:id="5" w:name="_Toc529800934"/>
      <w:bookmarkStart w:id="6" w:name="_Toc3356821"/>
      <w:r>
        <w:t>Utskottets förslag</w:t>
      </w:r>
      <w:bookmarkEnd w:id="5"/>
      <w:bookmarkEnd w:id="6"/>
    </w:p>
    <w:p w:rsidR="002401D0" w:rsidRDefault="002401D0">
      <w:pPr>
        <w:pStyle w:val="Rubrikmellanrum"/>
      </w:pPr>
    </w:p>
    <w:p w:rsidR="002401D0" w:rsidRDefault="00715887">
      <w:pPr>
        <w:pStyle w:val="ANormal"/>
      </w:pPr>
      <w:r>
        <w:t xml:space="preserve">Utskottet föreslår att </w:t>
      </w:r>
      <w:r w:rsidR="00C90BA4">
        <w:t>lagförslaget antas i oförändrad lydelse</w:t>
      </w:r>
      <w:r w:rsidR="00EB78EA">
        <w:t xml:space="preserve"> och hänvisar till sina tidigare framförda synpunkter i betänkande nr 11/2017-2018</w:t>
      </w:r>
      <w:r w:rsidR="005B7A30">
        <w:t xml:space="preserve"> över </w:t>
      </w:r>
      <w:r w:rsidR="009E52CA">
        <w:t>landskapsregeringens lagförslag nr 20/2017-2018 gällande akut skyddsjakt på eget initiativ</w:t>
      </w:r>
      <w:r w:rsidR="00C90BA4">
        <w:t>.</w:t>
      </w:r>
      <w:r w:rsidR="005B7A30">
        <w:t xml:space="preserve"> </w:t>
      </w:r>
      <w:r w:rsidR="0079762C">
        <w:t xml:space="preserve">Ifråga om lagförslagets förhållande till grundlagen </w:t>
      </w:r>
      <w:r w:rsidR="005B7A30">
        <w:t>har u</w:t>
      </w:r>
      <w:r w:rsidR="005B7A30">
        <w:t>t</w:t>
      </w:r>
      <w:r w:rsidR="005B7A30">
        <w:t xml:space="preserve">skottet </w:t>
      </w:r>
      <w:proofErr w:type="spellStart"/>
      <w:r w:rsidR="005B7A30">
        <w:t>inbegärt</w:t>
      </w:r>
      <w:proofErr w:type="spellEnd"/>
      <w:r w:rsidR="005B7A30">
        <w:t xml:space="preserve"> ett utlåtande från lag- och kulturutskottet. Utskottet </w:t>
      </w:r>
      <w:r w:rsidR="0079762C">
        <w:t>hänv</w:t>
      </w:r>
      <w:r w:rsidR="0079762C">
        <w:t>i</w:t>
      </w:r>
      <w:r w:rsidR="0079762C">
        <w:t>sa</w:t>
      </w:r>
      <w:r w:rsidR="005B7A30">
        <w:t xml:space="preserve">r till denna del </w:t>
      </w:r>
      <w:r w:rsidR="0079762C">
        <w:t>till bifogat utlåtande av lag- och kulturutskottet</w:t>
      </w:r>
      <w:r w:rsidR="00EB78EA">
        <w:t xml:space="preserve">. </w:t>
      </w:r>
    </w:p>
    <w:p w:rsidR="002401D0" w:rsidRDefault="002401D0">
      <w:pPr>
        <w:pStyle w:val="ANormal"/>
      </w:pPr>
    </w:p>
    <w:p w:rsidR="002401D0" w:rsidRDefault="002401D0">
      <w:pPr>
        <w:pStyle w:val="RubrikA"/>
      </w:pPr>
      <w:bookmarkStart w:id="7" w:name="_Toc529800936"/>
      <w:bookmarkStart w:id="8" w:name="_Toc3356822"/>
      <w:r>
        <w:t>Ärendets behandling</w:t>
      </w:r>
      <w:bookmarkEnd w:id="7"/>
      <w:bookmarkEnd w:id="8"/>
    </w:p>
    <w:p w:rsidR="002401D0" w:rsidRDefault="002401D0">
      <w:pPr>
        <w:pStyle w:val="Rubrikmellanrum"/>
      </w:pPr>
    </w:p>
    <w:p w:rsidR="00727BB6" w:rsidRDefault="00727BB6" w:rsidP="00727BB6">
      <w:pPr>
        <w:pStyle w:val="ANormal"/>
      </w:pPr>
      <w:r>
        <w:t>Lagtinget har den 5 december 2018</w:t>
      </w:r>
      <w:r w:rsidRPr="009A273F">
        <w:t xml:space="preserve"> </w:t>
      </w:r>
      <w:proofErr w:type="spellStart"/>
      <w:r w:rsidRPr="009A273F">
        <w:t>inbegärt</w:t>
      </w:r>
      <w:proofErr w:type="spellEnd"/>
      <w:r w:rsidRPr="009A273F">
        <w:t xml:space="preserve"> </w:t>
      </w:r>
      <w:r>
        <w:t>social- och miljöutskottets</w:t>
      </w:r>
      <w:r w:rsidRPr="009A273F">
        <w:t xml:space="preserve"> yt</w:t>
      </w:r>
      <w:r w:rsidRPr="009A273F">
        <w:t>t</w:t>
      </w:r>
      <w:r w:rsidRPr="009A273F">
        <w:t>rande i ärendet.</w:t>
      </w:r>
    </w:p>
    <w:p w:rsidR="00FA1D02" w:rsidRDefault="00FA1D02" w:rsidP="00727BB6">
      <w:pPr>
        <w:pStyle w:val="ANormal"/>
      </w:pPr>
      <w:r>
        <w:tab/>
        <w:t xml:space="preserve">Utskottet har i ärendet hört </w:t>
      </w:r>
      <w:proofErr w:type="spellStart"/>
      <w:r>
        <w:t>vicelantrådet</w:t>
      </w:r>
      <w:proofErr w:type="spellEnd"/>
      <w:r>
        <w:t xml:space="preserve"> Camilla Gunell, jaktförvaltaren Robin Juslin, naturvårdsintendenten Hanna Kondelin och lagberedaren Hans Selander.</w:t>
      </w:r>
    </w:p>
    <w:p w:rsidR="00727BB6" w:rsidRDefault="00727BB6" w:rsidP="00727BB6">
      <w:pPr>
        <w:pStyle w:val="ANormal"/>
      </w:pPr>
      <w:r>
        <w:lastRenderedPageBreak/>
        <w:tab/>
        <w:t xml:space="preserve">Utskottet har </w:t>
      </w:r>
      <w:r w:rsidR="00597FF3">
        <w:t xml:space="preserve">den 11 december 2018 </w:t>
      </w:r>
      <w:proofErr w:type="spellStart"/>
      <w:r w:rsidR="00597FF3">
        <w:t>inbegärt</w:t>
      </w:r>
      <w:proofErr w:type="spellEnd"/>
      <w:r w:rsidR="00597FF3">
        <w:t xml:space="preserve"> ett utlåtande från lag- och kulturutskottet</w:t>
      </w:r>
      <w:r w:rsidR="005B7A30">
        <w:t xml:space="preserve"> </w:t>
      </w:r>
      <w:r w:rsidR="00597FF3">
        <w:t>över lagförslagets förhållande till grundlagen.</w:t>
      </w:r>
      <w:r w:rsidR="00EB78EA">
        <w:t xml:space="preserve"> Utlåtandet b</w:t>
      </w:r>
      <w:r w:rsidR="00EB78EA">
        <w:t>i</w:t>
      </w:r>
      <w:r w:rsidR="00EB78EA">
        <w:t>fogas.</w:t>
      </w:r>
    </w:p>
    <w:p w:rsidR="00727BB6" w:rsidRPr="00D91EE7" w:rsidRDefault="00727BB6" w:rsidP="00727BB6">
      <w:pPr>
        <w:pStyle w:val="ANormal"/>
      </w:pPr>
      <w:r>
        <w:tab/>
      </w:r>
      <w:r w:rsidRPr="009A273F">
        <w:t xml:space="preserve">I ärendets avgörande behandling deltog ordföranden </w:t>
      </w:r>
      <w:r w:rsidRPr="00D91EE7">
        <w:t xml:space="preserve">Carina Aaltonen, </w:t>
      </w:r>
    </w:p>
    <w:p w:rsidR="00727BB6" w:rsidRPr="00D91EE7" w:rsidRDefault="00727BB6" w:rsidP="00727BB6">
      <w:pPr>
        <w:pStyle w:val="ANormal"/>
      </w:pPr>
      <w:r w:rsidRPr="00D91EE7">
        <w:t>viceordföranden Mikael Lindholm</w:t>
      </w:r>
      <w:r>
        <w:t xml:space="preserve"> samt </w:t>
      </w:r>
      <w:r w:rsidRPr="00D91EE7">
        <w:t xml:space="preserve">ledamöterna </w:t>
      </w:r>
      <w:r>
        <w:t xml:space="preserve">Fredrik </w:t>
      </w:r>
      <w:proofErr w:type="gramStart"/>
      <w:r>
        <w:t xml:space="preserve">Fredlund, </w:t>
      </w:r>
      <w:r w:rsidRPr="00D91EE7">
        <w:t xml:space="preserve"> </w:t>
      </w:r>
      <w:r>
        <w:t>Annette</w:t>
      </w:r>
      <w:proofErr w:type="gramEnd"/>
      <w:r>
        <w:t xml:space="preserve"> Holmberg-Jansson, </w:t>
      </w:r>
      <w:r w:rsidRPr="00D91EE7">
        <w:t>Torsten Sundblom och Pernilla Söderlund.</w:t>
      </w:r>
    </w:p>
    <w:p w:rsidR="002401D0" w:rsidRDefault="002401D0">
      <w:pPr>
        <w:pStyle w:val="ANormal"/>
      </w:pPr>
    </w:p>
    <w:p w:rsidR="002401D0" w:rsidRDefault="002401D0">
      <w:pPr>
        <w:pStyle w:val="RubrikA"/>
      </w:pPr>
      <w:bookmarkStart w:id="9" w:name="_Toc529800937"/>
      <w:bookmarkStart w:id="10" w:name="_Toc3356823"/>
      <w:r>
        <w:t>Utskottets förslag</w:t>
      </w:r>
      <w:bookmarkEnd w:id="9"/>
      <w:bookmarkEnd w:id="10"/>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proofErr w:type="gramStart"/>
      <w:r>
        <w:t>att lagtinget</w:t>
      </w:r>
      <w:r w:rsidR="00727BB6">
        <w:t xml:space="preserve"> antar lagförslaget i </w:t>
      </w:r>
      <w:r w:rsidR="00B458AA">
        <w:t>oförändrad lydelse.</w:t>
      </w:r>
      <w:proofErr w:type="gramEnd"/>
    </w:p>
    <w:p w:rsidR="00083571" w:rsidRDefault="00083571" w:rsidP="00B458AA">
      <w:pPr>
        <w:pStyle w:val="ANormal"/>
      </w:pPr>
      <w:r>
        <w:tab/>
      </w:r>
    </w:p>
    <w:p w:rsidR="00B458AA" w:rsidRPr="00EA51DC" w:rsidRDefault="00083571" w:rsidP="00B458AA">
      <w:pPr>
        <w:pStyle w:val="ANormal"/>
      </w:pPr>
      <w:r>
        <w:tab/>
      </w:r>
    </w:p>
    <w:p w:rsidR="002401D0" w:rsidRDefault="00083571">
      <w:pPr>
        <w:pStyle w:val="ANormal"/>
      </w:pPr>
      <w:r w:rsidRPr="00EA51DC">
        <w:tab/>
      </w: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B458AA">
            <w:pPr>
              <w:pStyle w:val="ANormal"/>
              <w:keepNext/>
            </w:pPr>
            <w:r>
              <w:t xml:space="preserve">Mariehamn den </w:t>
            </w:r>
            <w:r w:rsidR="00B458AA">
              <w:t xml:space="preserve">14 mars </w:t>
            </w:r>
            <w:r w:rsidR="00727BB6">
              <w:t>201</w:t>
            </w:r>
            <w:r w:rsidR="00B458AA">
              <w:t>9</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727BB6">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727BB6">
            <w:pPr>
              <w:pStyle w:val="ANormal"/>
              <w:keepNext/>
            </w:pPr>
            <w:r>
              <w:t>Carina Strand</w:t>
            </w:r>
          </w:p>
        </w:tc>
      </w:tr>
    </w:tbl>
    <w:p w:rsidR="002401D0" w:rsidRDefault="002401D0">
      <w:pPr>
        <w:pStyle w:val="ANormal"/>
      </w:pPr>
    </w:p>
    <w:p w:rsidR="00006A7B" w:rsidRDefault="00006A7B">
      <w:pPr>
        <w:pStyle w:val="ANormal"/>
      </w:pPr>
    </w:p>
    <w:p w:rsidR="00006A7B" w:rsidRDefault="00006A7B">
      <w:pPr>
        <w:pStyle w:val="ANormal"/>
      </w:pPr>
    </w:p>
    <w:p w:rsidR="00006A7B" w:rsidRDefault="00006A7B">
      <w:pPr>
        <w:pStyle w:val="ANormal"/>
        <w:sectPr w:rsidR="00006A7B">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006A7B">
        <w:trPr>
          <w:cantSplit/>
          <w:trHeight w:val="20"/>
        </w:trPr>
        <w:tc>
          <w:tcPr>
            <w:tcW w:w="861" w:type="dxa"/>
            <w:vMerge w:val="restart"/>
          </w:tcPr>
          <w:p w:rsidR="00006A7B" w:rsidRDefault="00006A7B">
            <w:pPr>
              <w:pStyle w:val="xLedtext"/>
              <w:rPr>
                <w:noProof/>
              </w:rPr>
            </w:pPr>
            <w:r>
              <w:lastRenderedPageBreak/>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54pt;mso-wrap-edited:f" wrapcoords="-408 0 -408 21316 21600 21316 21600 0 -408 0" o:allowoverlap="f">
                  <v:imagedata r:id="rId15" o:title="LSvapen"/>
                </v:shape>
              </w:pict>
            </w:r>
          </w:p>
        </w:tc>
        <w:tc>
          <w:tcPr>
            <w:tcW w:w="8736" w:type="dxa"/>
            <w:gridSpan w:val="3"/>
            <w:vAlign w:val="bottom"/>
          </w:tcPr>
          <w:p w:rsidR="00006A7B" w:rsidRDefault="00006A7B">
            <w:pPr>
              <w:pStyle w:val="xMellanrum"/>
            </w:pPr>
            <w:r>
              <w:pict>
                <v:shape id="_x0000_i1026" type="#_x0000_t75" style="width:3.65pt;height:3.65pt">
                  <v:imagedata r:id="rId16" o:title="5x5px"/>
                </v:shape>
              </w:pict>
            </w:r>
          </w:p>
        </w:tc>
      </w:tr>
      <w:tr w:rsidR="00006A7B">
        <w:trPr>
          <w:cantSplit/>
          <w:trHeight w:val="299"/>
        </w:trPr>
        <w:tc>
          <w:tcPr>
            <w:tcW w:w="861" w:type="dxa"/>
            <w:vMerge/>
          </w:tcPr>
          <w:p w:rsidR="00006A7B" w:rsidRDefault="00006A7B">
            <w:pPr>
              <w:pStyle w:val="xLedtext"/>
            </w:pPr>
          </w:p>
        </w:tc>
        <w:tc>
          <w:tcPr>
            <w:tcW w:w="4448" w:type="dxa"/>
            <w:vAlign w:val="bottom"/>
          </w:tcPr>
          <w:p w:rsidR="00006A7B" w:rsidRDefault="00006A7B">
            <w:pPr>
              <w:pStyle w:val="xAvsandare1"/>
            </w:pPr>
            <w:r>
              <w:t>Ålands lagting</w:t>
            </w:r>
          </w:p>
        </w:tc>
        <w:tc>
          <w:tcPr>
            <w:tcW w:w="4288" w:type="dxa"/>
            <w:gridSpan w:val="2"/>
            <w:vAlign w:val="bottom"/>
          </w:tcPr>
          <w:p w:rsidR="00006A7B" w:rsidRDefault="00006A7B" w:rsidP="004F0E8D">
            <w:pPr>
              <w:pStyle w:val="xDokTypNr"/>
            </w:pPr>
            <w:r>
              <w:t>UTLÅTANDE 2018-2019</w:t>
            </w:r>
          </w:p>
        </w:tc>
      </w:tr>
      <w:tr w:rsidR="00006A7B">
        <w:trPr>
          <w:cantSplit/>
          <w:trHeight w:val="238"/>
        </w:trPr>
        <w:tc>
          <w:tcPr>
            <w:tcW w:w="861" w:type="dxa"/>
            <w:vMerge/>
          </w:tcPr>
          <w:p w:rsidR="00006A7B" w:rsidRDefault="00006A7B">
            <w:pPr>
              <w:pStyle w:val="xLedtext"/>
            </w:pPr>
          </w:p>
        </w:tc>
        <w:tc>
          <w:tcPr>
            <w:tcW w:w="4448" w:type="dxa"/>
            <w:vAlign w:val="bottom"/>
          </w:tcPr>
          <w:p w:rsidR="00006A7B" w:rsidRDefault="00006A7B">
            <w:pPr>
              <w:pStyle w:val="xLedtext"/>
            </w:pPr>
          </w:p>
        </w:tc>
        <w:tc>
          <w:tcPr>
            <w:tcW w:w="1725" w:type="dxa"/>
            <w:vAlign w:val="bottom"/>
          </w:tcPr>
          <w:p w:rsidR="00006A7B" w:rsidRDefault="00006A7B">
            <w:pPr>
              <w:pStyle w:val="xLedtext"/>
            </w:pPr>
            <w:r>
              <w:t>Datum</w:t>
            </w:r>
          </w:p>
        </w:tc>
        <w:tc>
          <w:tcPr>
            <w:tcW w:w="2563" w:type="dxa"/>
            <w:vAlign w:val="bottom"/>
          </w:tcPr>
          <w:p w:rsidR="00006A7B" w:rsidRDefault="00006A7B">
            <w:pPr>
              <w:pStyle w:val="xLedtext"/>
            </w:pPr>
          </w:p>
        </w:tc>
      </w:tr>
      <w:tr w:rsidR="00006A7B">
        <w:trPr>
          <w:cantSplit/>
          <w:trHeight w:val="238"/>
        </w:trPr>
        <w:tc>
          <w:tcPr>
            <w:tcW w:w="861" w:type="dxa"/>
            <w:vMerge/>
          </w:tcPr>
          <w:p w:rsidR="00006A7B" w:rsidRDefault="00006A7B">
            <w:pPr>
              <w:pStyle w:val="xAvsandare2"/>
            </w:pPr>
          </w:p>
        </w:tc>
        <w:tc>
          <w:tcPr>
            <w:tcW w:w="4448" w:type="dxa"/>
            <w:vAlign w:val="center"/>
          </w:tcPr>
          <w:p w:rsidR="00006A7B" w:rsidRDefault="00006A7B">
            <w:pPr>
              <w:pStyle w:val="xAvsandare2"/>
            </w:pPr>
            <w:r>
              <w:t>Lag- och kulturutskottet</w:t>
            </w:r>
          </w:p>
        </w:tc>
        <w:tc>
          <w:tcPr>
            <w:tcW w:w="1725" w:type="dxa"/>
            <w:vAlign w:val="center"/>
          </w:tcPr>
          <w:p w:rsidR="00006A7B" w:rsidRDefault="00006A7B" w:rsidP="00D67C45">
            <w:pPr>
              <w:pStyle w:val="xDatum1"/>
            </w:pPr>
            <w:r>
              <w:t>2019-03-06</w:t>
            </w:r>
          </w:p>
        </w:tc>
        <w:tc>
          <w:tcPr>
            <w:tcW w:w="2563" w:type="dxa"/>
            <w:vAlign w:val="center"/>
          </w:tcPr>
          <w:p w:rsidR="00006A7B" w:rsidRDefault="00006A7B">
            <w:pPr>
              <w:pStyle w:val="xBeteckning1"/>
            </w:pPr>
          </w:p>
        </w:tc>
      </w:tr>
      <w:tr w:rsidR="00006A7B">
        <w:trPr>
          <w:cantSplit/>
          <w:trHeight w:val="238"/>
        </w:trPr>
        <w:tc>
          <w:tcPr>
            <w:tcW w:w="861" w:type="dxa"/>
            <w:vMerge/>
          </w:tcPr>
          <w:p w:rsidR="00006A7B" w:rsidRDefault="00006A7B">
            <w:pPr>
              <w:pStyle w:val="xLedtext"/>
            </w:pPr>
          </w:p>
        </w:tc>
        <w:tc>
          <w:tcPr>
            <w:tcW w:w="4448" w:type="dxa"/>
            <w:vAlign w:val="bottom"/>
          </w:tcPr>
          <w:p w:rsidR="00006A7B" w:rsidRDefault="00006A7B">
            <w:pPr>
              <w:pStyle w:val="xLedtext"/>
            </w:pPr>
          </w:p>
        </w:tc>
        <w:tc>
          <w:tcPr>
            <w:tcW w:w="1725" w:type="dxa"/>
            <w:vAlign w:val="bottom"/>
          </w:tcPr>
          <w:p w:rsidR="00006A7B" w:rsidRDefault="00006A7B">
            <w:pPr>
              <w:pStyle w:val="xLedtext"/>
            </w:pPr>
          </w:p>
        </w:tc>
        <w:tc>
          <w:tcPr>
            <w:tcW w:w="2563" w:type="dxa"/>
            <w:vAlign w:val="bottom"/>
          </w:tcPr>
          <w:p w:rsidR="00006A7B" w:rsidRDefault="00006A7B">
            <w:pPr>
              <w:pStyle w:val="xLedtext"/>
            </w:pPr>
          </w:p>
        </w:tc>
      </w:tr>
      <w:tr w:rsidR="00006A7B">
        <w:trPr>
          <w:cantSplit/>
          <w:trHeight w:val="238"/>
        </w:trPr>
        <w:tc>
          <w:tcPr>
            <w:tcW w:w="861" w:type="dxa"/>
            <w:vMerge/>
            <w:tcBorders>
              <w:bottom w:val="single" w:sz="4" w:space="0" w:color="auto"/>
            </w:tcBorders>
          </w:tcPr>
          <w:p w:rsidR="00006A7B" w:rsidRDefault="00006A7B">
            <w:pPr>
              <w:pStyle w:val="xAvsandare3"/>
            </w:pPr>
          </w:p>
        </w:tc>
        <w:tc>
          <w:tcPr>
            <w:tcW w:w="4448" w:type="dxa"/>
            <w:tcBorders>
              <w:bottom w:val="single" w:sz="4" w:space="0" w:color="auto"/>
            </w:tcBorders>
            <w:vAlign w:val="center"/>
          </w:tcPr>
          <w:p w:rsidR="00006A7B" w:rsidRDefault="00006A7B">
            <w:pPr>
              <w:pStyle w:val="xAvsandare3"/>
            </w:pPr>
          </w:p>
        </w:tc>
        <w:tc>
          <w:tcPr>
            <w:tcW w:w="1725" w:type="dxa"/>
            <w:tcBorders>
              <w:bottom w:val="single" w:sz="4" w:space="0" w:color="auto"/>
            </w:tcBorders>
            <w:vAlign w:val="center"/>
          </w:tcPr>
          <w:p w:rsidR="00006A7B" w:rsidRDefault="00006A7B">
            <w:pPr>
              <w:pStyle w:val="xDatum2"/>
            </w:pPr>
          </w:p>
        </w:tc>
        <w:tc>
          <w:tcPr>
            <w:tcW w:w="2563" w:type="dxa"/>
            <w:tcBorders>
              <w:bottom w:val="single" w:sz="4" w:space="0" w:color="auto"/>
            </w:tcBorders>
            <w:vAlign w:val="center"/>
          </w:tcPr>
          <w:p w:rsidR="00006A7B" w:rsidRDefault="00006A7B">
            <w:pPr>
              <w:pStyle w:val="xBeteckning2"/>
            </w:pPr>
          </w:p>
        </w:tc>
      </w:tr>
      <w:tr w:rsidR="00006A7B">
        <w:trPr>
          <w:cantSplit/>
          <w:trHeight w:val="238"/>
        </w:trPr>
        <w:tc>
          <w:tcPr>
            <w:tcW w:w="861" w:type="dxa"/>
            <w:tcBorders>
              <w:top w:val="single" w:sz="4" w:space="0" w:color="auto"/>
            </w:tcBorders>
            <w:vAlign w:val="bottom"/>
          </w:tcPr>
          <w:p w:rsidR="00006A7B" w:rsidRDefault="00006A7B">
            <w:pPr>
              <w:pStyle w:val="xLedtext"/>
            </w:pPr>
          </w:p>
        </w:tc>
        <w:tc>
          <w:tcPr>
            <w:tcW w:w="4448" w:type="dxa"/>
            <w:tcBorders>
              <w:top w:val="single" w:sz="4" w:space="0" w:color="auto"/>
            </w:tcBorders>
            <w:vAlign w:val="bottom"/>
          </w:tcPr>
          <w:p w:rsidR="00006A7B" w:rsidRDefault="00006A7B">
            <w:pPr>
              <w:pStyle w:val="xLedtext"/>
            </w:pPr>
          </w:p>
        </w:tc>
        <w:tc>
          <w:tcPr>
            <w:tcW w:w="4288" w:type="dxa"/>
            <w:gridSpan w:val="2"/>
            <w:tcBorders>
              <w:top w:val="single" w:sz="4" w:space="0" w:color="auto"/>
            </w:tcBorders>
            <w:vAlign w:val="bottom"/>
          </w:tcPr>
          <w:p w:rsidR="00006A7B" w:rsidRDefault="00006A7B">
            <w:pPr>
              <w:pStyle w:val="xLedtext"/>
            </w:pPr>
          </w:p>
        </w:tc>
      </w:tr>
      <w:tr w:rsidR="00006A7B">
        <w:trPr>
          <w:cantSplit/>
          <w:trHeight w:val="238"/>
        </w:trPr>
        <w:tc>
          <w:tcPr>
            <w:tcW w:w="861" w:type="dxa"/>
          </w:tcPr>
          <w:p w:rsidR="00006A7B" w:rsidRDefault="00006A7B">
            <w:pPr>
              <w:pStyle w:val="xCelltext"/>
            </w:pPr>
          </w:p>
        </w:tc>
        <w:tc>
          <w:tcPr>
            <w:tcW w:w="4448" w:type="dxa"/>
            <w:vMerge w:val="restart"/>
          </w:tcPr>
          <w:p w:rsidR="00006A7B" w:rsidRDefault="00006A7B" w:rsidP="00FD5887">
            <w:pPr>
              <w:pStyle w:val="xMottagare1"/>
            </w:pPr>
            <w:r>
              <w:t>Till social- och miljöutsko</w:t>
            </w:r>
            <w:r>
              <w:t>t</w:t>
            </w:r>
            <w:r>
              <w:t>tet</w:t>
            </w:r>
          </w:p>
        </w:tc>
        <w:tc>
          <w:tcPr>
            <w:tcW w:w="4288" w:type="dxa"/>
            <w:gridSpan w:val="2"/>
            <w:vMerge w:val="restart"/>
          </w:tcPr>
          <w:p w:rsidR="00006A7B" w:rsidRDefault="00006A7B">
            <w:pPr>
              <w:pStyle w:val="xMottagare1"/>
              <w:tabs>
                <w:tab w:val="left" w:pos="2349"/>
              </w:tabs>
            </w:pPr>
          </w:p>
        </w:tc>
      </w:tr>
      <w:tr w:rsidR="00006A7B">
        <w:trPr>
          <w:cantSplit/>
          <w:trHeight w:val="238"/>
        </w:trPr>
        <w:tc>
          <w:tcPr>
            <w:tcW w:w="861" w:type="dxa"/>
          </w:tcPr>
          <w:p w:rsidR="00006A7B" w:rsidRDefault="00006A7B">
            <w:pPr>
              <w:pStyle w:val="xCelltext"/>
            </w:pPr>
          </w:p>
        </w:tc>
        <w:tc>
          <w:tcPr>
            <w:tcW w:w="4448" w:type="dxa"/>
            <w:vMerge/>
            <w:vAlign w:val="center"/>
          </w:tcPr>
          <w:p w:rsidR="00006A7B" w:rsidRDefault="00006A7B">
            <w:pPr>
              <w:pStyle w:val="xCelltext"/>
            </w:pPr>
          </w:p>
        </w:tc>
        <w:tc>
          <w:tcPr>
            <w:tcW w:w="4288" w:type="dxa"/>
            <w:gridSpan w:val="2"/>
            <w:vMerge/>
            <w:vAlign w:val="center"/>
          </w:tcPr>
          <w:p w:rsidR="00006A7B" w:rsidRDefault="00006A7B">
            <w:pPr>
              <w:pStyle w:val="xCelltext"/>
            </w:pPr>
          </w:p>
        </w:tc>
      </w:tr>
      <w:tr w:rsidR="00006A7B">
        <w:trPr>
          <w:cantSplit/>
          <w:trHeight w:val="238"/>
        </w:trPr>
        <w:tc>
          <w:tcPr>
            <w:tcW w:w="861" w:type="dxa"/>
          </w:tcPr>
          <w:p w:rsidR="00006A7B" w:rsidRDefault="00006A7B">
            <w:pPr>
              <w:pStyle w:val="xCelltext"/>
            </w:pPr>
          </w:p>
        </w:tc>
        <w:tc>
          <w:tcPr>
            <w:tcW w:w="4448" w:type="dxa"/>
            <w:vMerge/>
            <w:vAlign w:val="center"/>
          </w:tcPr>
          <w:p w:rsidR="00006A7B" w:rsidRDefault="00006A7B">
            <w:pPr>
              <w:pStyle w:val="xCelltext"/>
            </w:pPr>
          </w:p>
        </w:tc>
        <w:tc>
          <w:tcPr>
            <w:tcW w:w="4288" w:type="dxa"/>
            <w:gridSpan w:val="2"/>
            <w:vMerge/>
            <w:vAlign w:val="center"/>
          </w:tcPr>
          <w:p w:rsidR="00006A7B" w:rsidRDefault="00006A7B">
            <w:pPr>
              <w:pStyle w:val="xCelltext"/>
            </w:pPr>
          </w:p>
        </w:tc>
      </w:tr>
      <w:tr w:rsidR="00006A7B">
        <w:trPr>
          <w:cantSplit/>
          <w:trHeight w:val="238"/>
        </w:trPr>
        <w:tc>
          <w:tcPr>
            <w:tcW w:w="861" w:type="dxa"/>
          </w:tcPr>
          <w:p w:rsidR="00006A7B" w:rsidRDefault="00006A7B">
            <w:pPr>
              <w:pStyle w:val="xCelltext"/>
            </w:pPr>
          </w:p>
        </w:tc>
        <w:tc>
          <w:tcPr>
            <w:tcW w:w="4448" w:type="dxa"/>
            <w:vMerge/>
            <w:vAlign w:val="center"/>
          </w:tcPr>
          <w:p w:rsidR="00006A7B" w:rsidRDefault="00006A7B">
            <w:pPr>
              <w:pStyle w:val="xCelltext"/>
            </w:pPr>
          </w:p>
        </w:tc>
        <w:tc>
          <w:tcPr>
            <w:tcW w:w="4288" w:type="dxa"/>
            <w:gridSpan w:val="2"/>
            <w:vMerge/>
            <w:vAlign w:val="center"/>
          </w:tcPr>
          <w:p w:rsidR="00006A7B" w:rsidRDefault="00006A7B">
            <w:pPr>
              <w:pStyle w:val="xCelltext"/>
            </w:pPr>
          </w:p>
        </w:tc>
      </w:tr>
      <w:tr w:rsidR="00006A7B">
        <w:trPr>
          <w:cantSplit/>
          <w:trHeight w:val="238"/>
        </w:trPr>
        <w:tc>
          <w:tcPr>
            <w:tcW w:w="861" w:type="dxa"/>
          </w:tcPr>
          <w:p w:rsidR="00006A7B" w:rsidRDefault="00006A7B">
            <w:pPr>
              <w:pStyle w:val="xCelltext"/>
            </w:pPr>
          </w:p>
        </w:tc>
        <w:tc>
          <w:tcPr>
            <w:tcW w:w="4448" w:type="dxa"/>
            <w:vMerge/>
            <w:vAlign w:val="center"/>
          </w:tcPr>
          <w:p w:rsidR="00006A7B" w:rsidRDefault="00006A7B">
            <w:pPr>
              <w:pStyle w:val="xCelltext"/>
            </w:pPr>
          </w:p>
        </w:tc>
        <w:tc>
          <w:tcPr>
            <w:tcW w:w="4288" w:type="dxa"/>
            <w:gridSpan w:val="2"/>
            <w:vMerge/>
            <w:vAlign w:val="center"/>
          </w:tcPr>
          <w:p w:rsidR="00006A7B" w:rsidRDefault="00006A7B">
            <w:pPr>
              <w:pStyle w:val="xCelltext"/>
            </w:pPr>
          </w:p>
        </w:tc>
      </w:tr>
    </w:tbl>
    <w:p w:rsidR="00006A7B" w:rsidRDefault="00006A7B">
      <w:pPr>
        <w:rPr>
          <w:b/>
          <w:bCs/>
        </w:rPr>
        <w:sectPr w:rsidR="00006A7B" w:rsidSect="00006A7B">
          <w:footerReference w:type="even" r:id="rId17"/>
          <w:type w:val="oddPage"/>
          <w:pgSz w:w="11906" w:h="16838" w:code="9"/>
          <w:pgMar w:top="567" w:right="1134" w:bottom="1134" w:left="1134" w:header="737" w:footer="737" w:gutter="0"/>
          <w:cols w:space="720"/>
          <w:formProt w:val="0"/>
          <w:titlePg/>
          <w:docGrid w:linePitch="224"/>
        </w:sectPr>
      </w:pPr>
    </w:p>
    <w:p w:rsidR="00006A7B" w:rsidRDefault="00006A7B">
      <w:pPr>
        <w:pStyle w:val="ArendeOverRubrik"/>
      </w:pPr>
      <w:r>
        <w:lastRenderedPageBreak/>
        <w:t>Lag- och kulturutskottets utlåtande</w:t>
      </w:r>
    </w:p>
    <w:p w:rsidR="00006A7B" w:rsidRPr="00D33147" w:rsidRDefault="00006A7B" w:rsidP="00342D07">
      <w:pPr>
        <w:rPr>
          <w:rFonts w:ascii="Arial" w:hAnsi="Arial" w:cs="Arial"/>
          <w:b/>
          <w:bCs/>
          <w:sz w:val="26"/>
          <w:szCs w:val="26"/>
          <w:lang w:val="sv-FI"/>
        </w:rPr>
      </w:pPr>
      <w:r w:rsidRPr="00D67C45">
        <w:rPr>
          <w:rFonts w:ascii="Arial" w:hAnsi="Arial" w:cs="Arial"/>
          <w:b/>
          <w:bCs/>
          <w:sz w:val="26"/>
          <w:szCs w:val="26"/>
          <w:lang w:val="sv-FI"/>
        </w:rPr>
        <w:t>Landskapsregeringens lagförsl</w:t>
      </w:r>
      <w:r>
        <w:rPr>
          <w:rFonts w:ascii="Arial" w:hAnsi="Arial" w:cs="Arial"/>
          <w:b/>
          <w:bCs/>
          <w:sz w:val="26"/>
          <w:szCs w:val="26"/>
          <w:lang w:val="sv-FI"/>
        </w:rPr>
        <w:t>ag gällande utvidgad skyddsjakt</w:t>
      </w:r>
    </w:p>
    <w:p w:rsidR="00006A7B" w:rsidRDefault="00EA6129" w:rsidP="00006A7B">
      <w:pPr>
        <w:pStyle w:val="ArendeUnderRubrik"/>
        <w:numPr>
          <w:ilvl w:val="0"/>
          <w:numId w:val="23"/>
        </w:numPr>
      </w:pPr>
      <w:hyperlink r:id="rId18" w:history="1">
        <w:r w:rsidRPr="00EA6129">
          <w:rPr>
            <w:rStyle w:val="Hyperlnk"/>
          </w:rPr>
          <w:t>Landskapsregeringens l</w:t>
        </w:r>
        <w:r w:rsidR="00006A7B" w:rsidRPr="00EA6129">
          <w:rPr>
            <w:rStyle w:val="Hyperlnk"/>
          </w:rPr>
          <w:t>agförslag nr 6/2018-2019</w:t>
        </w:r>
      </w:hyperlink>
      <w:bookmarkStart w:id="11" w:name="_GoBack"/>
      <w:bookmarkEnd w:id="11"/>
    </w:p>
    <w:p w:rsidR="00006A7B" w:rsidRDefault="00006A7B">
      <w:pPr>
        <w:pStyle w:val="ANormal"/>
      </w:pPr>
    </w:p>
    <w:p w:rsidR="00006A7B" w:rsidRDefault="00006A7B">
      <w:pPr>
        <w:pStyle w:val="Innehll1"/>
      </w:pPr>
      <w:r>
        <w:t>INNEHÅLL</w:t>
      </w:r>
    </w:p>
    <w:p w:rsidR="00006A7B" w:rsidRPr="004220A9" w:rsidRDefault="00006A7B">
      <w:pPr>
        <w:pStyle w:val="Innehll1"/>
        <w:rPr>
          <w:rFonts w:ascii="Calibri" w:hAnsi="Calibri"/>
          <w:sz w:val="22"/>
          <w:szCs w:val="22"/>
          <w:lang w:val="sv-FI" w:eastAsia="sv-FI"/>
        </w:rPr>
      </w:pPr>
      <w:r>
        <w:fldChar w:fldCharType="begin"/>
      </w:r>
      <w:r>
        <w:instrText xml:space="preserve"> TOC \o "1-1" \h \z \t "Rubrik 2;2;Rubrik 3;3;RubrikB;2;RubrikC;3" </w:instrText>
      </w:r>
      <w:r>
        <w:fldChar w:fldCharType="separate"/>
      </w:r>
      <w:hyperlink w:anchor="_Toc536521503" w:history="1">
        <w:r w:rsidRPr="005F11CE">
          <w:rPr>
            <w:rStyle w:val="Hyperlnk"/>
          </w:rPr>
          <w:t>Bakgrund</w:t>
        </w:r>
        <w:r>
          <w:rPr>
            <w:webHidden/>
          </w:rPr>
          <w:tab/>
        </w:r>
        <w:r>
          <w:rPr>
            <w:webHidden/>
          </w:rPr>
          <w:fldChar w:fldCharType="begin"/>
        </w:r>
        <w:r>
          <w:rPr>
            <w:webHidden/>
          </w:rPr>
          <w:instrText xml:space="preserve"> PAGEREF _Toc536521503 \h </w:instrText>
        </w:r>
        <w:r>
          <w:rPr>
            <w:webHidden/>
          </w:rPr>
        </w:r>
        <w:r>
          <w:rPr>
            <w:webHidden/>
          </w:rPr>
          <w:fldChar w:fldCharType="separate"/>
        </w:r>
        <w:r>
          <w:rPr>
            <w:webHidden/>
          </w:rPr>
          <w:t>1</w:t>
        </w:r>
        <w:r>
          <w:rPr>
            <w:webHidden/>
          </w:rPr>
          <w:fldChar w:fldCharType="end"/>
        </w:r>
      </w:hyperlink>
    </w:p>
    <w:p w:rsidR="00006A7B" w:rsidRPr="004220A9" w:rsidRDefault="00006A7B">
      <w:pPr>
        <w:pStyle w:val="Innehll1"/>
        <w:rPr>
          <w:rFonts w:ascii="Calibri" w:hAnsi="Calibri"/>
          <w:sz w:val="22"/>
          <w:szCs w:val="22"/>
          <w:lang w:val="sv-FI" w:eastAsia="sv-FI"/>
        </w:rPr>
      </w:pPr>
      <w:hyperlink w:anchor="_Toc536521504" w:history="1">
        <w:r w:rsidRPr="005F11CE">
          <w:rPr>
            <w:rStyle w:val="Hyperlnk"/>
          </w:rPr>
          <w:t>Utskottets synpunkter</w:t>
        </w:r>
        <w:r>
          <w:rPr>
            <w:webHidden/>
          </w:rPr>
          <w:tab/>
        </w:r>
        <w:r>
          <w:rPr>
            <w:webHidden/>
          </w:rPr>
          <w:fldChar w:fldCharType="begin"/>
        </w:r>
        <w:r>
          <w:rPr>
            <w:webHidden/>
          </w:rPr>
          <w:instrText xml:space="preserve"> PAGEREF _Toc536521504 \h </w:instrText>
        </w:r>
        <w:r>
          <w:rPr>
            <w:webHidden/>
          </w:rPr>
        </w:r>
        <w:r>
          <w:rPr>
            <w:webHidden/>
          </w:rPr>
          <w:fldChar w:fldCharType="separate"/>
        </w:r>
        <w:r>
          <w:rPr>
            <w:webHidden/>
          </w:rPr>
          <w:t>1</w:t>
        </w:r>
        <w:r>
          <w:rPr>
            <w:webHidden/>
          </w:rPr>
          <w:fldChar w:fldCharType="end"/>
        </w:r>
      </w:hyperlink>
    </w:p>
    <w:p w:rsidR="00006A7B" w:rsidRPr="004220A9" w:rsidRDefault="00006A7B">
      <w:pPr>
        <w:pStyle w:val="Innehll1"/>
        <w:rPr>
          <w:rFonts w:ascii="Calibri" w:hAnsi="Calibri"/>
          <w:sz w:val="22"/>
          <w:szCs w:val="22"/>
          <w:lang w:val="sv-FI" w:eastAsia="sv-FI"/>
        </w:rPr>
      </w:pPr>
      <w:hyperlink w:anchor="_Toc536521505" w:history="1">
        <w:r w:rsidRPr="005F11CE">
          <w:rPr>
            <w:rStyle w:val="Hyperlnk"/>
          </w:rPr>
          <w:t>Ärendets behandling</w:t>
        </w:r>
        <w:r>
          <w:rPr>
            <w:webHidden/>
          </w:rPr>
          <w:tab/>
        </w:r>
        <w:r>
          <w:rPr>
            <w:webHidden/>
          </w:rPr>
          <w:fldChar w:fldCharType="begin"/>
        </w:r>
        <w:r>
          <w:rPr>
            <w:webHidden/>
          </w:rPr>
          <w:instrText xml:space="preserve"> PAGEREF _Toc536521505 \h </w:instrText>
        </w:r>
        <w:r>
          <w:rPr>
            <w:webHidden/>
          </w:rPr>
        </w:r>
        <w:r>
          <w:rPr>
            <w:webHidden/>
          </w:rPr>
          <w:fldChar w:fldCharType="separate"/>
        </w:r>
        <w:r>
          <w:rPr>
            <w:webHidden/>
          </w:rPr>
          <w:t>4</w:t>
        </w:r>
        <w:r>
          <w:rPr>
            <w:webHidden/>
          </w:rPr>
          <w:fldChar w:fldCharType="end"/>
        </w:r>
      </w:hyperlink>
    </w:p>
    <w:p w:rsidR="00006A7B" w:rsidRPr="004220A9" w:rsidRDefault="00006A7B">
      <w:pPr>
        <w:pStyle w:val="Innehll1"/>
        <w:rPr>
          <w:rFonts w:ascii="Calibri" w:hAnsi="Calibri"/>
          <w:sz w:val="22"/>
          <w:szCs w:val="22"/>
          <w:lang w:val="sv-FI" w:eastAsia="sv-FI"/>
        </w:rPr>
      </w:pPr>
      <w:hyperlink w:anchor="_Toc536521506" w:history="1">
        <w:r w:rsidRPr="005F11CE">
          <w:rPr>
            <w:rStyle w:val="Hyperlnk"/>
          </w:rPr>
          <w:t>Utskottets förslag</w:t>
        </w:r>
        <w:r>
          <w:rPr>
            <w:webHidden/>
          </w:rPr>
          <w:tab/>
        </w:r>
        <w:r>
          <w:rPr>
            <w:webHidden/>
          </w:rPr>
          <w:fldChar w:fldCharType="begin"/>
        </w:r>
        <w:r>
          <w:rPr>
            <w:webHidden/>
          </w:rPr>
          <w:instrText xml:space="preserve"> PAGEREF _Toc536521506 \h </w:instrText>
        </w:r>
        <w:r>
          <w:rPr>
            <w:webHidden/>
          </w:rPr>
        </w:r>
        <w:r>
          <w:rPr>
            <w:webHidden/>
          </w:rPr>
          <w:fldChar w:fldCharType="separate"/>
        </w:r>
        <w:r>
          <w:rPr>
            <w:webHidden/>
          </w:rPr>
          <w:t>4</w:t>
        </w:r>
        <w:r>
          <w:rPr>
            <w:webHidden/>
          </w:rPr>
          <w:fldChar w:fldCharType="end"/>
        </w:r>
      </w:hyperlink>
    </w:p>
    <w:p w:rsidR="00006A7B" w:rsidRDefault="00006A7B">
      <w:pPr>
        <w:pStyle w:val="ANormal"/>
        <w:rPr>
          <w:rFonts w:ascii="Verdana" w:hAnsi="Verdana"/>
          <w:noProof/>
          <w:sz w:val="16"/>
          <w:szCs w:val="36"/>
        </w:rPr>
      </w:pPr>
      <w:r>
        <w:rPr>
          <w:rFonts w:ascii="Verdana" w:hAnsi="Verdana"/>
          <w:noProof/>
          <w:sz w:val="16"/>
          <w:szCs w:val="36"/>
        </w:rPr>
        <w:fldChar w:fldCharType="end"/>
      </w:r>
    </w:p>
    <w:p w:rsidR="00006A7B" w:rsidRDefault="00006A7B" w:rsidP="00DC2EF6">
      <w:pPr>
        <w:pStyle w:val="anormal0"/>
      </w:pPr>
      <w:r>
        <w:t>S</w:t>
      </w:r>
      <w:r w:rsidRPr="00D67C45">
        <w:t xml:space="preserve">ocial- och miljöutskottet </w:t>
      </w:r>
      <w:r>
        <w:t>har med stöd av 52 § 1 mom. arbetsordningen för Ålands lagting anhållit om lag- och kulturutskottets utlåtande över lagfö</w:t>
      </w:r>
      <w:r>
        <w:t>r</w:t>
      </w:r>
      <w:r>
        <w:t>slagets förhållande till grundlagen.</w:t>
      </w:r>
    </w:p>
    <w:p w:rsidR="00006A7B" w:rsidRDefault="00006A7B" w:rsidP="00317244">
      <w:pPr>
        <w:pStyle w:val="anormal0"/>
      </w:pPr>
      <w:r>
        <w:t> </w:t>
      </w:r>
      <w:r w:rsidRPr="00FE2222">
        <w:t xml:space="preserve"> </w:t>
      </w:r>
    </w:p>
    <w:p w:rsidR="00006A7B" w:rsidRDefault="00006A7B" w:rsidP="00F97197">
      <w:pPr>
        <w:pStyle w:val="RubrikA"/>
      </w:pPr>
      <w:bookmarkStart w:id="12" w:name="_Toc529800935"/>
      <w:bookmarkStart w:id="13" w:name="_Toc536521503"/>
      <w:r>
        <w:t>Bakgrund</w:t>
      </w:r>
      <w:bookmarkStart w:id="14" w:name="_Toc314755009"/>
      <w:bookmarkStart w:id="15" w:name="_Toc314753406"/>
      <w:bookmarkStart w:id="16" w:name="_Toc314752844"/>
      <w:bookmarkStart w:id="17" w:name="_Toc279748925"/>
      <w:bookmarkStart w:id="18" w:name="_Toc279733747"/>
      <w:bookmarkStart w:id="19" w:name="_Toc279661186"/>
      <w:bookmarkStart w:id="20" w:name="_Toc279655450"/>
      <w:bookmarkEnd w:id="12"/>
      <w:bookmarkEnd w:id="13"/>
      <w:bookmarkEnd w:id="14"/>
      <w:bookmarkEnd w:id="15"/>
      <w:bookmarkEnd w:id="16"/>
      <w:bookmarkEnd w:id="17"/>
      <w:bookmarkEnd w:id="18"/>
      <w:bookmarkEnd w:id="19"/>
    </w:p>
    <w:p w:rsidR="00006A7B" w:rsidRDefault="00006A7B" w:rsidP="004F0E8D">
      <w:pPr>
        <w:pStyle w:val="Rubrikmellanrum"/>
      </w:pPr>
    </w:p>
    <w:bookmarkEnd w:id="20"/>
    <w:p w:rsidR="00006A7B" w:rsidRPr="00D67C45" w:rsidRDefault="00006A7B" w:rsidP="00D67C45">
      <w:pPr>
        <w:pStyle w:val="ANormal"/>
        <w:rPr>
          <w:lang w:val="sv-FI"/>
        </w:rPr>
      </w:pPr>
      <w:r w:rsidRPr="004F0E8D">
        <w:t>I lag</w:t>
      </w:r>
      <w:r>
        <w:t>förslaget</w:t>
      </w:r>
      <w:r w:rsidRPr="004F0E8D">
        <w:t xml:space="preserve"> föreslås att </w:t>
      </w:r>
      <w:r w:rsidRPr="00D67C45">
        <w:t>lagtinget antar en landskapslag om ändring av</w:t>
      </w:r>
      <w:r>
        <w:t xml:space="preserve"> jaktlagen för landskapet Åland så att</w:t>
      </w:r>
      <w:r w:rsidRPr="00D67C45">
        <w:t xml:space="preserve"> jakt tillåts på fredat eller fridlyst vilt för att förhindra allvarlig skada på egendom eller för att trygga människors hälsa eller säkerhet. Jakten skulle få bedrivas endast om det inte finns n</w:t>
      </w:r>
      <w:r w:rsidRPr="00D67C45">
        <w:t>å</w:t>
      </w:r>
      <w:r w:rsidRPr="00D67C45">
        <w:t>gon annan lämplig lösning och jakten inte skulle försvåra upprätthålla</w:t>
      </w:r>
      <w:r w:rsidRPr="00D67C45">
        <w:t>n</w:t>
      </w:r>
      <w:r w:rsidRPr="00D67C45">
        <w:t>det av en gynnsam bevarandestatus hos bestånden. Bestämmelser om vilka viltarter som skulle omfattas av jak</w:t>
      </w:r>
      <w:r>
        <w:t>ten</w:t>
      </w:r>
      <w:r w:rsidRPr="00D67C45">
        <w:t xml:space="preserve"> </w:t>
      </w:r>
      <w:r>
        <w:t xml:space="preserve">tas </w:t>
      </w:r>
      <w:r w:rsidRPr="00D67C45">
        <w:t>in i landskapsföror</w:t>
      </w:r>
      <w:r w:rsidRPr="00D67C45">
        <w:t>d</w:t>
      </w:r>
      <w:r w:rsidRPr="00D67C45">
        <w:t>ning.</w:t>
      </w:r>
    </w:p>
    <w:p w:rsidR="00006A7B" w:rsidRPr="00D67C45" w:rsidRDefault="00006A7B" w:rsidP="00D67C45">
      <w:pPr>
        <w:pStyle w:val="ANormal"/>
        <w:rPr>
          <w:lang w:val="sv-FI"/>
        </w:rPr>
      </w:pPr>
      <w:r w:rsidRPr="00D67C45">
        <w:t xml:space="preserve">     Avsikten med förslaget är att undanröja de brister som </w:t>
      </w:r>
      <w:r>
        <w:t>r</w:t>
      </w:r>
      <w:r w:rsidRPr="00D67C45">
        <w:t>epublikens pr</w:t>
      </w:r>
      <w:r w:rsidRPr="00D67C45">
        <w:t>e</w:t>
      </w:r>
      <w:r w:rsidRPr="00D67C45">
        <w:t>sident den 5 oktober 2018 påtalade vid sin lagstiftningskontroll av den än</w:t>
      </w:r>
      <w:r w:rsidRPr="00D67C45">
        <w:t>d</w:t>
      </w:r>
      <w:r w:rsidRPr="00D67C45">
        <w:t xml:space="preserve">ring av jaktlagen </w:t>
      </w:r>
      <w:r>
        <w:t>som</w:t>
      </w:r>
      <w:r w:rsidRPr="00D67C45">
        <w:t xml:space="preserve"> lagtinget </w:t>
      </w:r>
      <w:r>
        <w:t xml:space="preserve">antog </w:t>
      </w:r>
      <w:r w:rsidRPr="00D67C45">
        <w:t>den 13 juni 2018 och som me</w:t>
      </w:r>
      <w:r w:rsidRPr="00D67C45">
        <w:t>d</w:t>
      </w:r>
      <w:r w:rsidRPr="00D67C45">
        <w:t xml:space="preserve">förde att lagen i dess helhet </w:t>
      </w:r>
      <w:proofErr w:type="gramStart"/>
      <w:r w:rsidRPr="00D67C45">
        <w:t>förordnades</w:t>
      </w:r>
      <w:proofErr w:type="gramEnd"/>
      <w:r w:rsidRPr="00D67C45">
        <w:t xml:space="preserve"> att fö</w:t>
      </w:r>
      <w:r w:rsidRPr="00D67C45">
        <w:t>r</w:t>
      </w:r>
      <w:r w:rsidRPr="00D67C45">
        <w:t>falla.</w:t>
      </w:r>
    </w:p>
    <w:p w:rsidR="00006A7B" w:rsidRPr="00D67C45" w:rsidRDefault="00006A7B" w:rsidP="00D67C45">
      <w:pPr>
        <w:pStyle w:val="ANormal"/>
        <w:rPr>
          <w:lang w:val="sv-FI"/>
        </w:rPr>
      </w:pPr>
      <w:r w:rsidRPr="00D67C45">
        <w:t>     Samtidigt föreslås att en bestämmelse om jakt under exceptionella fö</w:t>
      </w:r>
      <w:r w:rsidRPr="00D67C45">
        <w:t>r</w:t>
      </w:r>
      <w:r>
        <w:t xml:space="preserve">hållanden </w:t>
      </w:r>
      <w:r w:rsidRPr="00D67C45">
        <w:t>tas</w:t>
      </w:r>
      <w:r>
        <w:t xml:space="preserve"> in</w:t>
      </w:r>
      <w:r w:rsidRPr="00D67C45">
        <w:t xml:space="preserve"> i jaktlagen för landskapet Åland.</w:t>
      </w:r>
    </w:p>
    <w:p w:rsidR="00006A7B" w:rsidRDefault="00006A7B" w:rsidP="00A869BC">
      <w:pPr>
        <w:pStyle w:val="ANormal"/>
      </w:pPr>
    </w:p>
    <w:p w:rsidR="00006A7B" w:rsidRDefault="00006A7B" w:rsidP="00CD1AB4">
      <w:pPr>
        <w:pStyle w:val="RubrikD"/>
      </w:pPr>
      <w:r>
        <w:t>Tidigare lagförslag</w:t>
      </w:r>
    </w:p>
    <w:p w:rsidR="00006A7B" w:rsidRDefault="00006A7B" w:rsidP="00CD1AB4">
      <w:pPr>
        <w:pStyle w:val="Rubrikmellanrum"/>
      </w:pPr>
    </w:p>
    <w:p w:rsidR="00006A7B" w:rsidRDefault="00006A7B" w:rsidP="00A869BC">
      <w:pPr>
        <w:pStyle w:val="ANormal"/>
      </w:pPr>
      <w:r>
        <w:t xml:space="preserve">Lagtinget </w:t>
      </w:r>
      <w:r w:rsidRPr="00D67C45">
        <w:t xml:space="preserve">antog den 13 juni 2018 </w:t>
      </w:r>
      <w:r>
        <w:t xml:space="preserve">en ändring av jaktlagen. Lagen </w:t>
      </w:r>
      <w:r w:rsidRPr="003E3B51">
        <w:t>inne</w:t>
      </w:r>
      <w:r>
        <w:t xml:space="preserve">höll </w:t>
      </w:r>
      <w:r w:rsidRPr="00D67C45">
        <w:t>nya bestämmelser om akut skyddsjakt av björn, varg eller lodjur på eget ini</w:t>
      </w:r>
      <w:r>
        <w:t>tiativ</w:t>
      </w:r>
      <w:r w:rsidRPr="003E3B51">
        <w:t>.</w:t>
      </w:r>
      <w:r>
        <w:t xml:space="preserve"> L</w:t>
      </w:r>
      <w:r w:rsidRPr="00A869BC">
        <w:t xml:space="preserve">andskapslagen </w:t>
      </w:r>
      <w:proofErr w:type="gramStart"/>
      <w:r w:rsidRPr="00A869BC">
        <w:t>förordnades</w:t>
      </w:r>
      <w:proofErr w:type="gramEnd"/>
      <w:r w:rsidRPr="00A869BC">
        <w:t xml:space="preserve"> att förfalla i sin helhet på basen av utlåtand</w:t>
      </w:r>
      <w:r>
        <w:t>en från Ålandsdelegationen och H</w:t>
      </w:r>
      <w:r w:rsidRPr="00A869BC">
        <w:t>ögsta domstolen</w:t>
      </w:r>
      <w:r>
        <w:t xml:space="preserve"> eftersom försl</w:t>
      </w:r>
      <w:r>
        <w:t>a</w:t>
      </w:r>
      <w:r>
        <w:t>get konstaterades utgöra en behörighetsöversskridning. I lagförslaget red</w:t>
      </w:r>
      <w:r>
        <w:t>o</w:t>
      </w:r>
      <w:r>
        <w:t>görs för framför allt högsta domstolens synpunkter.</w:t>
      </w:r>
    </w:p>
    <w:p w:rsidR="00006A7B" w:rsidRDefault="00006A7B" w:rsidP="00A869BC">
      <w:pPr>
        <w:pStyle w:val="ANormal"/>
      </w:pPr>
    </w:p>
    <w:p w:rsidR="00006A7B" w:rsidRDefault="00006A7B" w:rsidP="00CD1AB4">
      <w:pPr>
        <w:pStyle w:val="Rubrikmellanrum"/>
      </w:pPr>
    </w:p>
    <w:p w:rsidR="00006A7B" w:rsidRPr="00590DED" w:rsidRDefault="00006A7B" w:rsidP="00590DED">
      <w:pPr>
        <w:pStyle w:val="RubrikA"/>
      </w:pPr>
      <w:bookmarkStart w:id="21" w:name="_Toc536521504"/>
      <w:r w:rsidRPr="00590DED">
        <w:t>Utskottets synpunkter</w:t>
      </w:r>
      <w:bookmarkEnd w:id="21"/>
    </w:p>
    <w:p w:rsidR="00006A7B" w:rsidRDefault="00006A7B" w:rsidP="00CD1AB4">
      <w:pPr>
        <w:pStyle w:val="Rubrikmellanrum"/>
      </w:pPr>
    </w:p>
    <w:p w:rsidR="00006A7B" w:rsidRDefault="00006A7B" w:rsidP="00CD1AB4">
      <w:pPr>
        <w:pStyle w:val="ANormal"/>
      </w:pPr>
      <w:r w:rsidRPr="00CD1AB4">
        <w:t xml:space="preserve">Utskottet konstaterar inledningsvis att </w:t>
      </w:r>
      <w:r>
        <w:t xml:space="preserve">lag- och kulturutskottet är lagtingets auktoritativa organ för </w:t>
      </w:r>
      <w:proofErr w:type="gramStart"/>
      <w:r>
        <w:t>utrönande</w:t>
      </w:r>
      <w:proofErr w:type="gramEnd"/>
      <w:r>
        <w:t xml:space="preserve"> av gränserna för lagtingets behörighet på motsvarande sätt som riksdagens grundlagsutskott är för </w:t>
      </w:r>
      <w:proofErr w:type="spellStart"/>
      <w:r>
        <w:t>rikdagslagarna</w:t>
      </w:r>
      <w:proofErr w:type="spellEnd"/>
      <w:r>
        <w:t xml:space="preserve">. </w:t>
      </w:r>
    </w:p>
    <w:p w:rsidR="00006A7B" w:rsidRDefault="00006A7B" w:rsidP="00B44B15">
      <w:pPr>
        <w:pStyle w:val="ANormal"/>
        <w:rPr>
          <w:szCs w:val="22"/>
          <w:lang w:val="sv-FI"/>
        </w:rPr>
      </w:pPr>
      <w:r>
        <w:tab/>
      </w:r>
      <w:r>
        <w:rPr>
          <w:szCs w:val="22"/>
          <w:lang w:val="sv-FI"/>
        </w:rPr>
        <w:t xml:space="preserve"> </w:t>
      </w:r>
    </w:p>
    <w:p w:rsidR="00006A7B" w:rsidRDefault="00006A7B" w:rsidP="00590DED">
      <w:pPr>
        <w:pStyle w:val="RubrikD"/>
        <w:rPr>
          <w:lang w:val="sv-FI"/>
        </w:rPr>
      </w:pPr>
      <w:r>
        <w:rPr>
          <w:lang w:val="sv-FI"/>
        </w:rPr>
        <w:t>Allmänt om förhållandet till grundlagen</w:t>
      </w:r>
    </w:p>
    <w:p w:rsidR="00006A7B" w:rsidRPr="00590DED" w:rsidRDefault="00006A7B" w:rsidP="00590DED">
      <w:pPr>
        <w:pStyle w:val="Rubrikmellanrum"/>
        <w:rPr>
          <w:lang w:val="sv-FI"/>
        </w:rPr>
      </w:pPr>
    </w:p>
    <w:p w:rsidR="00006A7B" w:rsidRDefault="00006A7B" w:rsidP="00B44B15">
      <w:pPr>
        <w:pStyle w:val="ANormal"/>
        <w:rPr>
          <w:szCs w:val="22"/>
        </w:rPr>
      </w:pPr>
      <w:r>
        <w:rPr>
          <w:szCs w:val="22"/>
          <w:lang w:val="sv-FI"/>
        </w:rPr>
        <w:t>Enligt självstyrelselagens 21 § kan l</w:t>
      </w:r>
      <w:r w:rsidRPr="00B44B15">
        <w:rPr>
          <w:szCs w:val="22"/>
        </w:rPr>
        <w:t>andskapsregeringen med stöd av ett bemyndigande i landskapslag utfärda landskapsförordningar. Genom lan</w:t>
      </w:r>
      <w:r w:rsidRPr="00B44B15">
        <w:rPr>
          <w:szCs w:val="22"/>
        </w:rPr>
        <w:t>d</w:t>
      </w:r>
      <w:r w:rsidRPr="00B44B15">
        <w:rPr>
          <w:szCs w:val="22"/>
        </w:rPr>
        <w:t>skapslag ska dock utfärdas bestämmelser om grunderna för individens rä</w:t>
      </w:r>
      <w:r w:rsidRPr="00B44B15">
        <w:rPr>
          <w:szCs w:val="22"/>
        </w:rPr>
        <w:t>t</w:t>
      </w:r>
      <w:r w:rsidRPr="00B44B15">
        <w:rPr>
          <w:szCs w:val="22"/>
        </w:rPr>
        <w:lastRenderedPageBreak/>
        <w:t>tigheter och skyldigheter samt om frågor som enligt grundlagen eller själ</w:t>
      </w:r>
      <w:r w:rsidRPr="00B44B15">
        <w:rPr>
          <w:szCs w:val="22"/>
        </w:rPr>
        <w:t>v</w:t>
      </w:r>
      <w:r w:rsidRPr="00B44B15">
        <w:rPr>
          <w:szCs w:val="22"/>
        </w:rPr>
        <w:t>styrelselagen i övrigt hör till området för lag.</w:t>
      </w:r>
      <w:r w:rsidRPr="00B44B15">
        <w:rPr>
          <w:szCs w:val="22"/>
          <w:lang w:val="sv-FI"/>
        </w:rPr>
        <w:t xml:space="preserve"> </w:t>
      </w:r>
      <w:r>
        <w:rPr>
          <w:szCs w:val="22"/>
          <w:lang w:val="sv-FI"/>
        </w:rPr>
        <w:t xml:space="preserve">Bestämmelsen motsvarar grundlagens 80 § 1 mom. enligt vilken </w:t>
      </w:r>
      <w:r>
        <w:rPr>
          <w:szCs w:val="22"/>
        </w:rPr>
        <w:t>r</w:t>
      </w:r>
      <w:r w:rsidRPr="00B44B15">
        <w:rPr>
          <w:szCs w:val="22"/>
        </w:rPr>
        <w:t>epublikens president, statsrådet och ministerierna</w:t>
      </w:r>
      <w:r>
        <w:rPr>
          <w:szCs w:val="22"/>
        </w:rPr>
        <w:t xml:space="preserve"> kan</w:t>
      </w:r>
      <w:r w:rsidRPr="00B44B15">
        <w:rPr>
          <w:szCs w:val="22"/>
        </w:rPr>
        <w:t xml:space="preserve"> utfärda förordningar med stöd av ett bemyndigande i grundlag</w:t>
      </w:r>
      <w:r>
        <w:rPr>
          <w:szCs w:val="22"/>
        </w:rPr>
        <w:t>en</w:t>
      </w:r>
      <w:r w:rsidRPr="00B44B15">
        <w:rPr>
          <w:szCs w:val="22"/>
        </w:rPr>
        <w:t xml:space="preserve"> eller i någon annan lag. </w:t>
      </w:r>
    </w:p>
    <w:p w:rsidR="00006A7B" w:rsidRDefault="00006A7B" w:rsidP="00B44B15">
      <w:pPr>
        <w:pStyle w:val="ANormal"/>
        <w:rPr>
          <w:szCs w:val="22"/>
        </w:rPr>
      </w:pPr>
      <w:r>
        <w:rPr>
          <w:szCs w:val="22"/>
        </w:rPr>
        <w:tab/>
        <w:t xml:space="preserve">Enligt </w:t>
      </w:r>
      <w:r w:rsidRPr="00B44B15">
        <w:rPr>
          <w:szCs w:val="22"/>
          <w:lang w:val="sv-FI"/>
        </w:rPr>
        <w:t xml:space="preserve">grundlagens 80 § </w:t>
      </w:r>
      <w:r>
        <w:rPr>
          <w:szCs w:val="22"/>
          <w:lang w:val="sv-FI"/>
        </w:rPr>
        <w:t>2</w:t>
      </w:r>
      <w:r w:rsidRPr="00B44B15">
        <w:rPr>
          <w:szCs w:val="22"/>
          <w:lang w:val="sv-FI"/>
        </w:rPr>
        <w:t xml:space="preserve"> mom.</w:t>
      </w:r>
      <w:r>
        <w:rPr>
          <w:szCs w:val="22"/>
          <w:lang w:val="sv-FI"/>
        </w:rPr>
        <w:t xml:space="preserve"> kan </w:t>
      </w:r>
      <w:r>
        <w:rPr>
          <w:szCs w:val="22"/>
        </w:rPr>
        <w:t>ä</w:t>
      </w:r>
      <w:r w:rsidRPr="00B44B15">
        <w:rPr>
          <w:szCs w:val="22"/>
        </w:rPr>
        <w:t>ven andra myndigheter g</w:t>
      </w:r>
      <w:r w:rsidRPr="00B44B15">
        <w:rPr>
          <w:szCs w:val="22"/>
        </w:rPr>
        <w:t>e</w:t>
      </w:r>
      <w:r w:rsidRPr="00B44B15">
        <w:rPr>
          <w:szCs w:val="22"/>
        </w:rPr>
        <w:t>nom lag bem</w:t>
      </w:r>
      <w:r>
        <w:rPr>
          <w:szCs w:val="22"/>
        </w:rPr>
        <w:t>yndigas att utfärda rättsnormer</w:t>
      </w:r>
      <w:r w:rsidRPr="00B44B15">
        <w:rPr>
          <w:szCs w:val="22"/>
        </w:rPr>
        <w:t>. Tillämpningsområdet för ett sådant bemyndigande ska vara exakt avgränsat.</w:t>
      </w:r>
      <w:r>
        <w:rPr>
          <w:szCs w:val="22"/>
        </w:rPr>
        <w:t xml:space="preserve"> Denna bestämmelse saknar mo</w:t>
      </w:r>
      <w:r>
        <w:rPr>
          <w:szCs w:val="22"/>
        </w:rPr>
        <w:t>t</w:t>
      </w:r>
      <w:r>
        <w:rPr>
          <w:szCs w:val="22"/>
        </w:rPr>
        <w:t>svarighet i självstyrelselagen eftersom rättsnormer inom lagtingets behöri</w:t>
      </w:r>
      <w:r>
        <w:rPr>
          <w:szCs w:val="22"/>
        </w:rPr>
        <w:t>g</w:t>
      </w:r>
      <w:r>
        <w:rPr>
          <w:szCs w:val="22"/>
        </w:rPr>
        <w:t>het inte kan utfärdas av andra myndigheter än lagtinget (landskapslagar) och landskapsregeringen (landskapsförordningar). Enligt utskottets up</w:t>
      </w:r>
      <w:r>
        <w:rPr>
          <w:szCs w:val="22"/>
        </w:rPr>
        <w:t>p</w:t>
      </w:r>
      <w:r>
        <w:rPr>
          <w:szCs w:val="22"/>
        </w:rPr>
        <w:t xml:space="preserve">fattning tar kravet i </w:t>
      </w:r>
      <w:r w:rsidRPr="00322CAC">
        <w:rPr>
          <w:szCs w:val="22"/>
          <w:lang w:val="sv-FI"/>
        </w:rPr>
        <w:t>grundlagens 80 § 2 mom.</w:t>
      </w:r>
      <w:r>
        <w:rPr>
          <w:szCs w:val="22"/>
          <w:lang w:val="sv-FI"/>
        </w:rPr>
        <w:t xml:space="preserve"> om exakt avgränsning sikte på rätt</w:t>
      </w:r>
      <w:r>
        <w:rPr>
          <w:szCs w:val="22"/>
          <w:lang w:val="sv-FI"/>
        </w:rPr>
        <w:t>s</w:t>
      </w:r>
      <w:r>
        <w:rPr>
          <w:szCs w:val="22"/>
          <w:lang w:val="sv-FI"/>
        </w:rPr>
        <w:t>normer på en lägre myndighetsnivå än den som anges i 80 § 1 mom. I 2 mom. anges nämligen att t</w:t>
      </w:r>
      <w:r w:rsidRPr="00322CAC">
        <w:rPr>
          <w:szCs w:val="22"/>
        </w:rPr>
        <w:t xml:space="preserve">illämpningsområdet för </w:t>
      </w:r>
      <w:r w:rsidRPr="00322CAC">
        <w:rPr>
          <w:i/>
          <w:szCs w:val="22"/>
        </w:rPr>
        <w:t xml:space="preserve">ett sådant </w:t>
      </w:r>
      <w:r w:rsidRPr="009E4B28">
        <w:rPr>
          <w:szCs w:val="22"/>
        </w:rPr>
        <w:t>bemynd</w:t>
      </w:r>
      <w:r w:rsidRPr="009E4B28">
        <w:rPr>
          <w:szCs w:val="22"/>
        </w:rPr>
        <w:t>i</w:t>
      </w:r>
      <w:r w:rsidRPr="009E4B28">
        <w:rPr>
          <w:szCs w:val="22"/>
        </w:rPr>
        <w:t>gande</w:t>
      </w:r>
      <w:r w:rsidRPr="00322CAC">
        <w:rPr>
          <w:szCs w:val="22"/>
        </w:rPr>
        <w:t xml:space="preserve"> ska vara exakt a</w:t>
      </w:r>
      <w:r w:rsidRPr="00322CAC">
        <w:rPr>
          <w:szCs w:val="22"/>
        </w:rPr>
        <w:t>v</w:t>
      </w:r>
      <w:r w:rsidRPr="00322CAC">
        <w:rPr>
          <w:szCs w:val="22"/>
        </w:rPr>
        <w:t>gränsat.</w:t>
      </w:r>
    </w:p>
    <w:p w:rsidR="00006A7B" w:rsidRDefault="00006A7B" w:rsidP="00B44B15">
      <w:pPr>
        <w:pStyle w:val="ANormal"/>
        <w:rPr>
          <w:szCs w:val="22"/>
          <w:lang w:val="sv-FI"/>
        </w:rPr>
      </w:pPr>
      <w:r>
        <w:rPr>
          <w:szCs w:val="22"/>
        </w:rPr>
        <w:tab/>
        <w:t xml:space="preserve">Enligt utskottets uppfattning utgör såldes ett </w:t>
      </w:r>
      <w:r w:rsidRPr="009E4B28">
        <w:rPr>
          <w:szCs w:val="22"/>
        </w:rPr>
        <w:t>delegeringsstadgande</w:t>
      </w:r>
      <w:r>
        <w:rPr>
          <w:szCs w:val="22"/>
        </w:rPr>
        <w:t xml:space="preserve"> som</w:t>
      </w:r>
      <w:r w:rsidRPr="009E4B28">
        <w:rPr>
          <w:szCs w:val="22"/>
        </w:rPr>
        <w:t xml:space="preserve"> inte uppfyller de krav som självstyrelselagen och grundlagen</w:t>
      </w:r>
      <w:r>
        <w:rPr>
          <w:szCs w:val="22"/>
        </w:rPr>
        <w:t xml:space="preserve"> 80 § 1 mom.</w:t>
      </w:r>
      <w:r w:rsidRPr="009E4B28">
        <w:rPr>
          <w:szCs w:val="22"/>
        </w:rPr>
        <w:t xml:space="preserve"> uppställer</w:t>
      </w:r>
      <w:r>
        <w:rPr>
          <w:szCs w:val="22"/>
        </w:rPr>
        <w:t xml:space="preserve">, </w:t>
      </w:r>
      <w:r w:rsidRPr="009E4B28">
        <w:rPr>
          <w:szCs w:val="22"/>
        </w:rPr>
        <w:t>en behörighetsöve</w:t>
      </w:r>
      <w:r w:rsidRPr="009E4B28">
        <w:rPr>
          <w:szCs w:val="22"/>
        </w:rPr>
        <w:t>r</w:t>
      </w:r>
      <w:r w:rsidRPr="009E4B28">
        <w:rPr>
          <w:szCs w:val="22"/>
        </w:rPr>
        <w:t>skridning.</w:t>
      </w:r>
    </w:p>
    <w:p w:rsidR="00006A7B" w:rsidRDefault="00006A7B" w:rsidP="00B44B15">
      <w:pPr>
        <w:pStyle w:val="ANormal"/>
        <w:rPr>
          <w:szCs w:val="22"/>
          <w:lang w:val="sv-FI"/>
        </w:rPr>
      </w:pPr>
    </w:p>
    <w:p w:rsidR="00006A7B" w:rsidRDefault="00006A7B" w:rsidP="00590DED">
      <w:pPr>
        <w:pStyle w:val="RubrikD"/>
        <w:rPr>
          <w:lang w:val="sv-FI"/>
        </w:rPr>
      </w:pPr>
      <w:r>
        <w:rPr>
          <w:lang w:val="sv-FI"/>
        </w:rPr>
        <w:t>Allmänt om f</w:t>
      </w:r>
      <w:r w:rsidRPr="00590DED">
        <w:rPr>
          <w:lang w:val="sv-FI"/>
        </w:rPr>
        <w:t>örhållandet till EU-rätten</w:t>
      </w:r>
    </w:p>
    <w:p w:rsidR="00006A7B" w:rsidRDefault="00006A7B" w:rsidP="00590DED">
      <w:pPr>
        <w:pStyle w:val="Rubrikmellanrum"/>
        <w:rPr>
          <w:lang w:val="sv-FI"/>
        </w:rPr>
      </w:pPr>
    </w:p>
    <w:p w:rsidR="00006A7B" w:rsidRDefault="00006A7B" w:rsidP="00590DED">
      <w:pPr>
        <w:pStyle w:val="ANormal"/>
      </w:pPr>
      <w:r w:rsidRPr="00590DED">
        <w:t xml:space="preserve">Högsta domstolen har </w:t>
      </w:r>
      <w:r>
        <w:t xml:space="preserve">utvecklat en </w:t>
      </w:r>
      <w:r w:rsidRPr="00590DED">
        <w:t xml:space="preserve">praxis </w:t>
      </w:r>
      <w:r>
        <w:t>där u</w:t>
      </w:r>
      <w:r w:rsidRPr="00590DED">
        <w:t xml:space="preserve">tgångspunkten </w:t>
      </w:r>
      <w:r>
        <w:t>är</w:t>
      </w:r>
      <w:r w:rsidRPr="00590DED">
        <w:t xml:space="preserve"> att ett fö</w:t>
      </w:r>
      <w:r w:rsidRPr="00590DED">
        <w:t>r</w:t>
      </w:r>
      <w:r w:rsidRPr="00590DED">
        <w:t>dragsbrott innebär ett ingrepp i förhållande till utländska makter</w:t>
      </w:r>
      <w:r>
        <w:t xml:space="preserve"> vilket riksdagen har</w:t>
      </w:r>
      <w:r w:rsidRPr="00590DED">
        <w:t xml:space="preserve"> lagstiftningsbehörighet </w:t>
      </w:r>
      <w:r>
        <w:t>över e</w:t>
      </w:r>
      <w:r w:rsidRPr="00590DED">
        <w:t>nligt 27 § 4 punkten självst</w:t>
      </w:r>
      <w:r w:rsidRPr="00590DED">
        <w:t>y</w:t>
      </w:r>
      <w:r w:rsidRPr="00590DED">
        <w:t>relselagen</w:t>
      </w:r>
      <w:r>
        <w:t xml:space="preserve">. </w:t>
      </w:r>
      <w:r w:rsidRPr="00590DED">
        <w:t xml:space="preserve">Stadganden i en landskapslag har </w:t>
      </w:r>
      <w:r>
        <w:t xml:space="preserve">dock </w:t>
      </w:r>
      <w:proofErr w:type="gramStart"/>
      <w:r w:rsidRPr="00590DED">
        <w:t>förordnats</w:t>
      </w:r>
      <w:proofErr w:type="gramEnd"/>
      <w:r w:rsidRPr="00590DED">
        <w:t xml:space="preserve"> förfalla </w:t>
      </w:r>
      <w:r>
        <w:t xml:space="preserve">enbart </w:t>
      </w:r>
      <w:r w:rsidRPr="00590DED">
        <w:t>om det varit uppenbart att de skulle leda till en konflikt mellan unionens lagstiftning och landskapslagstiftning</w:t>
      </w:r>
      <w:r>
        <w:t>en eftersom</w:t>
      </w:r>
      <w:r w:rsidRPr="00590DED">
        <w:t xml:space="preserve"> det i sista hand är EU-domstolen som tolkar gemenskapsrätten.</w:t>
      </w:r>
    </w:p>
    <w:p w:rsidR="00006A7B" w:rsidRDefault="00006A7B" w:rsidP="00590DED">
      <w:pPr>
        <w:pStyle w:val="ANormal"/>
      </w:pPr>
      <w:r>
        <w:tab/>
        <w:t>E</w:t>
      </w:r>
      <w:r w:rsidRPr="00D26944">
        <w:t xml:space="preserve">ftersom det är EU-domstolen som har tolkningsmonopol i fråga om gemenskapsrätten </w:t>
      </w:r>
      <w:r>
        <w:t>anser utskottet att Högsta domstolens principiella stäl</w:t>
      </w:r>
      <w:r>
        <w:t>l</w:t>
      </w:r>
      <w:r>
        <w:t>ningstagande innebär en extensiv tolkning av självstyrelselagens 19 §. Högsta domstolens praxis kan i teorin innebära att den nationella bedö</w:t>
      </w:r>
      <w:r>
        <w:t>m</w:t>
      </w:r>
      <w:r>
        <w:t>ningen av förenligheten med unionsrätten inte överensstämmer med EU-domstolens och i de fall den nationella bedömningen är att lagstiftningen inte är förenlig med unionsrätten undandras lagen EU-domstolens prö</w:t>
      </w:r>
      <w:r>
        <w:t>v</w:t>
      </w:r>
      <w:r>
        <w:t>ning. Samtidigt konstaterar utskottet att den situation som uppstår om EU-domstolen finner att ett stadgande i en lag som antagits av lagtinget står i konflikt med unionens lagstiftning inte på något sätt är oreglerad e</w:t>
      </w:r>
      <w:r>
        <w:t>f</w:t>
      </w:r>
      <w:r>
        <w:t xml:space="preserve">tersom det i självstyrelselagens 59 d § finns bestämmelser </w:t>
      </w:r>
      <w:r w:rsidRPr="009A0B5A">
        <w:t>om landskapets natio</w:t>
      </w:r>
      <w:r w:rsidRPr="009A0B5A">
        <w:t>n</w:t>
      </w:r>
      <w:r w:rsidRPr="009A0B5A">
        <w:t>ella a</w:t>
      </w:r>
      <w:r w:rsidRPr="009A0B5A">
        <w:t>n</w:t>
      </w:r>
      <w:r w:rsidRPr="009A0B5A">
        <w:t>svar</w:t>
      </w:r>
      <w:r>
        <w:t>.</w:t>
      </w:r>
    </w:p>
    <w:p w:rsidR="00006A7B" w:rsidRDefault="00006A7B" w:rsidP="00590DED">
      <w:pPr>
        <w:pStyle w:val="ANormal"/>
      </w:pPr>
    </w:p>
    <w:p w:rsidR="00006A7B" w:rsidRDefault="00006A7B" w:rsidP="00B37209">
      <w:pPr>
        <w:pStyle w:val="RubrikD"/>
        <w:rPr>
          <w:lang w:val="sv-FI"/>
        </w:rPr>
      </w:pPr>
      <w:r w:rsidRPr="00B37209">
        <w:rPr>
          <w:lang w:val="sv-FI"/>
        </w:rPr>
        <w:t xml:space="preserve">Skillnaden mellan föreliggande lagförslag och </w:t>
      </w:r>
      <w:r>
        <w:rPr>
          <w:lang w:val="sv-FI"/>
        </w:rPr>
        <w:t xml:space="preserve">det </w:t>
      </w:r>
      <w:r w:rsidRPr="00B37209">
        <w:rPr>
          <w:lang w:val="sv-FI"/>
        </w:rPr>
        <w:t>föregående</w:t>
      </w:r>
    </w:p>
    <w:p w:rsidR="00006A7B" w:rsidRDefault="00006A7B" w:rsidP="00B37209">
      <w:pPr>
        <w:pStyle w:val="Rubrikmellanrum"/>
        <w:rPr>
          <w:lang w:val="sv-FI"/>
        </w:rPr>
      </w:pPr>
    </w:p>
    <w:p w:rsidR="00006A7B" w:rsidRPr="009A0B5A" w:rsidRDefault="00006A7B" w:rsidP="009A0B5A">
      <w:pPr>
        <w:pStyle w:val="ANormal"/>
        <w:rPr>
          <w:lang w:val="sv-FI"/>
        </w:rPr>
      </w:pPr>
      <w:r>
        <w:t>I det tidigare lagförslaget föreslogs att en ny</w:t>
      </w:r>
      <w:r w:rsidRPr="00B37209">
        <w:t xml:space="preserve"> 30 a §</w:t>
      </w:r>
      <w:r>
        <w:t xml:space="preserve"> fogas till jaktlagen. P</w:t>
      </w:r>
      <w:r>
        <w:t>a</w:t>
      </w:r>
      <w:r>
        <w:t>ragrafen gav</w:t>
      </w:r>
      <w:r w:rsidRPr="00B37209">
        <w:t xml:space="preserve"> ägare av tamdjur </w:t>
      </w:r>
      <w:r>
        <w:t xml:space="preserve">en </w:t>
      </w:r>
      <w:r w:rsidRPr="00B37209">
        <w:t>rättighet att på eget bevåg</w:t>
      </w:r>
      <w:r>
        <w:t xml:space="preserve"> </w:t>
      </w:r>
      <w:r w:rsidRPr="00B37209">
        <w:t xml:space="preserve">vidta åtgärder vid pågående eller omedelbart förestående angrepp på tamdjur utan att landskapsregeringen på förhand fattat beslut om detta. </w:t>
      </w:r>
      <w:r>
        <w:t xml:space="preserve">Vidare föreslogs en </w:t>
      </w:r>
      <w:r w:rsidRPr="00B37209">
        <w:t xml:space="preserve">ny 30 b § </w:t>
      </w:r>
      <w:r>
        <w:t xml:space="preserve">som berättigade </w:t>
      </w:r>
      <w:r w:rsidRPr="00B37209">
        <w:t>landskapsregeringen att begränsa möjlighete</w:t>
      </w:r>
      <w:r w:rsidRPr="00B37209">
        <w:t>r</w:t>
      </w:r>
      <w:r w:rsidRPr="00B37209">
        <w:t xml:space="preserve">na </w:t>
      </w:r>
      <w:r>
        <w:t xml:space="preserve">till jakt </w:t>
      </w:r>
      <w:r w:rsidRPr="00B37209">
        <w:t>enligt 30 a §</w:t>
      </w:r>
      <w:r>
        <w:t xml:space="preserve"> </w:t>
      </w:r>
      <w:r w:rsidRPr="00B37209">
        <w:t xml:space="preserve">om möjligheten att döda rovdjur </w:t>
      </w:r>
      <w:r>
        <w:t>f</w:t>
      </w:r>
      <w:r w:rsidRPr="00B37209">
        <w:t>örsvårar upprätthå</w:t>
      </w:r>
      <w:r w:rsidRPr="00B37209">
        <w:t>l</w:t>
      </w:r>
      <w:r w:rsidRPr="00B37209">
        <w:t>landet av en gynnsam bevarandestatus</w:t>
      </w:r>
      <w:r>
        <w:t>. Högsta domstolen ansåg att försl</w:t>
      </w:r>
      <w:r>
        <w:t>a</w:t>
      </w:r>
      <w:r>
        <w:t xml:space="preserve">get först gav </w:t>
      </w:r>
      <w:r w:rsidRPr="00B37209">
        <w:t xml:space="preserve">ägare av tamdjur </w:t>
      </w:r>
      <w:r>
        <w:t xml:space="preserve">lagstadgade </w:t>
      </w:r>
      <w:r w:rsidRPr="00B37209">
        <w:t>rättigheter</w:t>
      </w:r>
      <w:r>
        <w:t xml:space="preserve"> men sedan gav lan</w:t>
      </w:r>
      <w:r>
        <w:t>d</w:t>
      </w:r>
      <w:r>
        <w:t>skapsregeringen möjlighet att inskränka dessa rättigheter med den enda b</w:t>
      </w:r>
      <w:r>
        <w:t>e</w:t>
      </w:r>
      <w:r>
        <w:t xml:space="preserve">gränsningen att </w:t>
      </w:r>
      <w:r w:rsidRPr="00D92502">
        <w:t xml:space="preserve">behovet av att upprätthålla en gynnsam bevarandestatus </w:t>
      </w:r>
      <w:r>
        <w:t>p</w:t>
      </w:r>
      <w:r>
        <w:t>å</w:t>
      </w:r>
      <w:r>
        <w:t xml:space="preserve">kallar en inskränkning. Lagen bedömdes därför </w:t>
      </w:r>
      <w:r w:rsidRPr="00B37209">
        <w:t xml:space="preserve">inte </w:t>
      </w:r>
      <w:r>
        <w:t xml:space="preserve">innehålla </w:t>
      </w:r>
      <w:r w:rsidRPr="00B37209">
        <w:t>tillräckligt grundläggande bestämmelser för att utfärda begränsningar av de lagsta</w:t>
      </w:r>
      <w:r w:rsidRPr="00B37209">
        <w:t>d</w:t>
      </w:r>
      <w:r w:rsidRPr="00B37209">
        <w:t>gade rättigheter</w:t>
      </w:r>
      <w:r>
        <w:t>na. D</w:t>
      </w:r>
      <w:r w:rsidRPr="00B37209">
        <w:t xml:space="preserve">ärtill </w:t>
      </w:r>
      <w:r>
        <w:t>var det</w:t>
      </w:r>
      <w:r w:rsidRPr="00B37209">
        <w:t xml:space="preserve"> </w:t>
      </w:r>
      <w:proofErr w:type="gramStart"/>
      <w:r w:rsidRPr="00B37209">
        <w:t>problematisk</w:t>
      </w:r>
      <w:proofErr w:type="gramEnd"/>
      <w:r w:rsidRPr="00B37209">
        <w:t xml:space="preserve"> </w:t>
      </w:r>
      <w:r>
        <w:t>att</w:t>
      </w:r>
      <w:r w:rsidRPr="00B37209">
        <w:t xml:space="preserve"> landskapsregeringen bemyndiga</w:t>
      </w:r>
      <w:r>
        <w:t>de</w:t>
      </w:r>
      <w:r w:rsidRPr="00B37209">
        <w:t>s att avvika från landskapslagens bestämmelser</w:t>
      </w:r>
      <w:r>
        <w:t xml:space="preserve"> varför </w:t>
      </w:r>
      <w:r w:rsidRPr="00B37209">
        <w:t xml:space="preserve">Högsta domstolen </w:t>
      </w:r>
      <w:r>
        <w:t xml:space="preserve">ansåg </w:t>
      </w:r>
      <w:r w:rsidRPr="00B37209">
        <w:t>att landskapslagen</w:t>
      </w:r>
      <w:r>
        <w:t xml:space="preserve"> </w:t>
      </w:r>
      <w:r w:rsidRPr="00B37209">
        <w:t>utg</w:t>
      </w:r>
      <w:r>
        <w:t xml:space="preserve">jorde en </w:t>
      </w:r>
      <w:r w:rsidRPr="00B37209">
        <w:t>behörighetsöverskridning.</w:t>
      </w:r>
      <w:r>
        <w:t xml:space="preserve"> </w:t>
      </w:r>
      <w:r>
        <w:lastRenderedPageBreak/>
        <w:t xml:space="preserve">Lagen var också problematisk eftersom </w:t>
      </w:r>
      <w:r w:rsidRPr="009A0B5A">
        <w:t xml:space="preserve">habitatdirektivet </w:t>
      </w:r>
      <w:r>
        <w:t xml:space="preserve">som förbjuder </w:t>
      </w:r>
      <w:r w:rsidRPr="009A0B5A">
        <w:t xml:space="preserve">jakt på stora rovdjur </w:t>
      </w:r>
      <w:r>
        <w:t xml:space="preserve">ger </w:t>
      </w:r>
      <w:r w:rsidRPr="009A0B5A">
        <w:t xml:space="preserve">möjlighet till undantag </w:t>
      </w:r>
      <w:r>
        <w:t>bara om</w:t>
      </w:r>
      <w:r w:rsidRPr="009A0B5A">
        <w:t xml:space="preserve"> undantaget inte försv</w:t>
      </w:r>
      <w:r w:rsidRPr="009A0B5A">
        <w:t>å</w:t>
      </w:r>
      <w:r w:rsidRPr="009A0B5A">
        <w:t xml:space="preserve">rar upprätthållandet av en gynnsam bevarandestatus. </w:t>
      </w:r>
      <w:r>
        <w:t>Högsta domstolen a</w:t>
      </w:r>
      <w:r>
        <w:t>n</w:t>
      </w:r>
      <w:r>
        <w:t>såg att o</w:t>
      </w:r>
      <w:r w:rsidRPr="009A0B5A">
        <w:t xml:space="preserve">m </w:t>
      </w:r>
      <w:r>
        <w:t xml:space="preserve">bestämmelsen som gjorde det möjligt att </w:t>
      </w:r>
      <w:r w:rsidRPr="009A0B5A">
        <w:t xml:space="preserve">begränsa skyddsjakten </w:t>
      </w:r>
      <w:r>
        <w:t xml:space="preserve">förfaller, </w:t>
      </w:r>
      <w:r w:rsidRPr="009A0B5A">
        <w:t xml:space="preserve">leder </w:t>
      </w:r>
      <w:r>
        <w:t xml:space="preserve">det </w:t>
      </w:r>
      <w:r w:rsidRPr="009A0B5A">
        <w:t>till en konflikt mellan unionens lagstiftning och lan</w:t>
      </w:r>
      <w:r w:rsidRPr="009A0B5A">
        <w:t>d</w:t>
      </w:r>
      <w:r w:rsidRPr="009A0B5A">
        <w:t>skapslagstiftning</w:t>
      </w:r>
      <w:r>
        <w:t>en</w:t>
      </w:r>
      <w:r w:rsidRPr="009A0B5A">
        <w:t>.</w:t>
      </w:r>
    </w:p>
    <w:p w:rsidR="00006A7B" w:rsidRDefault="00006A7B" w:rsidP="009A0B5A">
      <w:pPr>
        <w:pStyle w:val="ANormal"/>
      </w:pPr>
      <w:r>
        <w:tab/>
      </w:r>
      <w:r w:rsidRPr="00A022ED">
        <w:t xml:space="preserve">Den </w:t>
      </w:r>
      <w:r>
        <w:t xml:space="preserve">föreliggande landskapslagen har en annan struktur än </w:t>
      </w:r>
      <w:r w:rsidRPr="00A022ED">
        <w:t>den äldre l</w:t>
      </w:r>
      <w:r w:rsidRPr="00A022ED">
        <w:t>a</w:t>
      </w:r>
      <w:r w:rsidRPr="00A022ED">
        <w:t>gen</w:t>
      </w:r>
      <w:r>
        <w:t xml:space="preserve"> som förföll</w:t>
      </w:r>
      <w:r w:rsidRPr="00A022ED">
        <w:t>.</w:t>
      </w:r>
      <w:r>
        <w:t xml:space="preserve"> </w:t>
      </w:r>
      <w:r w:rsidRPr="00A022ED">
        <w:t xml:space="preserve">Enligt förslaget skulle de grundläggande bestämmelserna tas in på </w:t>
      </w:r>
      <w:proofErr w:type="spellStart"/>
      <w:r w:rsidRPr="00A022ED">
        <w:t>lagnivå</w:t>
      </w:r>
      <w:proofErr w:type="spellEnd"/>
      <w:r w:rsidRPr="00A022ED">
        <w:t xml:space="preserve"> medan bestämmelser av mer teknisk karaktär lyfts in på förordningsnivå</w:t>
      </w:r>
      <w:r>
        <w:t xml:space="preserve"> på motsvarande sätt som i exempelvis </w:t>
      </w:r>
      <w:r w:rsidRPr="00A022ED">
        <w:t>20 och 28 </w:t>
      </w:r>
      <w:proofErr w:type="gramStart"/>
      <w:r w:rsidRPr="00A022ED">
        <w:t>§§</w:t>
      </w:r>
      <w:proofErr w:type="gramEnd"/>
      <w:r w:rsidRPr="00A022ED">
        <w:t xml:space="preserve"> i jak</w:t>
      </w:r>
      <w:r w:rsidRPr="00A022ED">
        <w:t>t</w:t>
      </w:r>
      <w:r w:rsidRPr="00A022ED">
        <w:t>lagen.</w:t>
      </w:r>
      <w:r>
        <w:t xml:space="preserve"> Problematiken med att landskapsregeringen gavs rättigheter att i</w:t>
      </w:r>
      <w:r>
        <w:t>n</w:t>
      </w:r>
      <w:r>
        <w:t xml:space="preserve">skränka en lagstadgad rättighet föreligger således inte i detta lagförslag. </w:t>
      </w:r>
    </w:p>
    <w:p w:rsidR="00006A7B" w:rsidRPr="00B37209" w:rsidRDefault="00006A7B" w:rsidP="00B37209">
      <w:pPr>
        <w:pStyle w:val="ANormal"/>
        <w:rPr>
          <w:lang w:val="sv-FI"/>
        </w:rPr>
      </w:pPr>
    </w:p>
    <w:p w:rsidR="00006A7B" w:rsidRDefault="00006A7B" w:rsidP="00FD5887">
      <w:pPr>
        <w:pStyle w:val="RubrikD"/>
        <w:rPr>
          <w:lang w:val="sv-FI"/>
        </w:rPr>
      </w:pPr>
      <w:r w:rsidRPr="00FD5887">
        <w:rPr>
          <w:lang w:val="sv-FI"/>
        </w:rPr>
        <w:t xml:space="preserve">Förordningsfullmakten </w:t>
      </w:r>
      <w:r>
        <w:rPr>
          <w:lang w:val="sv-FI"/>
        </w:rPr>
        <w:t>i föreliggande lagförslag</w:t>
      </w:r>
    </w:p>
    <w:p w:rsidR="00006A7B" w:rsidRDefault="00006A7B" w:rsidP="00FD5887">
      <w:pPr>
        <w:pStyle w:val="Rubrikmellanrum"/>
        <w:rPr>
          <w:lang w:val="sv-FI"/>
        </w:rPr>
      </w:pPr>
    </w:p>
    <w:p w:rsidR="00006A7B" w:rsidRDefault="00006A7B" w:rsidP="00FD5887">
      <w:pPr>
        <w:pStyle w:val="ANormal"/>
      </w:pPr>
      <w:r w:rsidRPr="00FD5887">
        <w:t>Enligt lagförslagets 28 a § får jakt bedrivas på fredat eller fridlyst vilt för att förhindra allvarlig skada på egendom eller för att trygga människors hälsa eller säkerhet under förutsättning att det inte finns någon annan läm</w:t>
      </w:r>
      <w:r w:rsidRPr="00FD5887">
        <w:t>p</w:t>
      </w:r>
      <w:r w:rsidRPr="00FD5887">
        <w:t>lig lösning och jakten inte försvårar upprätthållandet av en gynnsam bev</w:t>
      </w:r>
      <w:r w:rsidRPr="00FD5887">
        <w:t>a</w:t>
      </w:r>
      <w:r w:rsidRPr="00FD5887">
        <w:t>randestatus hos bestånden av de berörda arterna i deras naturliga utbre</w:t>
      </w:r>
      <w:r w:rsidRPr="00FD5887">
        <w:t>d</w:t>
      </w:r>
      <w:r w:rsidRPr="00FD5887">
        <w:t>ningsområde. Bestämmelser om vilka vilta</w:t>
      </w:r>
      <w:r w:rsidRPr="00FD5887">
        <w:t>r</w:t>
      </w:r>
      <w:r w:rsidRPr="00FD5887">
        <w:t xml:space="preserve">ter som får jagas och vilken tid på året som jakt får bedrivas på </w:t>
      </w:r>
      <w:proofErr w:type="gramStart"/>
      <w:r w:rsidRPr="00FD5887">
        <w:t>ifrågavarande</w:t>
      </w:r>
      <w:proofErr w:type="gramEnd"/>
      <w:r w:rsidRPr="00FD5887">
        <w:t xml:space="preserve"> arter utfärdas genom lan</w:t>
      </w:r>
      <w:r w:rsidRPr="00FD5887">
        <w:t>d</w:t>
      </w:r>
      <w:r w:rsidRPr="00FD5887">
        <w:t>skapsföror</w:t>
      </w:r>
      <w:r w:rsidRPr="00FD5887">
        <w:t>d</w:t>
      </w:r>
      <w:r w:rsidRPr="00FD5887">
        <w:t>ning.</w:t>
      </w:r>
    </w:p>
    <w:p w:rsidR="00006A7B" w:rsidRDefault="00006A7B" w:rsidP="00FD5887">
      <w:pPr>
        <w:pStyle w:val="ANormal"/>
      </w:pPr>
      <w:r>
        <w:tab/>
        <w:t>Utskottet konstaterar att förordningsfullmakten torde vara oproblem</w:t>
      </w:r>
      <w:r>
        <w:t>a</w:t>
      </w:r>
      <w:r>
        <w:t>tisk i relation till självstyrelselagens 21 § 1 mom. eftersom grunderna för rätten till jakt regleras i lagen medan det i förordning enbart kan anges vad dessa grunder innebär i praktiken.</w:t>
      </w:r>
    </w:p>
    <w:p w:rsidR="00006A7B" w:rsidRDefault="00006A7B" w:rsidP="00FD5887">
      <w:pPr>
        <w:pStyle w:val="ANormal"/>
      </w:pPr>
    </w:p>
    <w:p w:rsidR="00006A7B" w:rsidRPr="00FD5887" w:rsidRDefault="00006A7B" w:rsidP="00FD5887">
      <w:pPr>
        <w:pStyle w:val="RubrikD"/>
        <w:rPr>
          <w:lang w:val="sv-FI"/>
        </w:rPr>
      </w:pPr>
      <w:r w:rsidRPr="00FD5887">
        <w:rPr>
          <w:lang w:val="sv-FI"/>
        </w:rPr>
        <w:t>Skyddet av äganderätten</w:t>
      </w:r>
    </w:p>
    <w:p w:rsidR="00006A7B" w:rsidRDefault="00006A7B" w:rsidP="00FD5887">
      <w:pPr>
        <w:pStyle w:val="ANormal"/>
        <w:rPr>
          <w:lang w:val="sv-FI"/>
        </w:rPr>
      </w:pPr>
    </w:p>
    <w:p w:rsidR="00006A7B" w:rsidRDefault="00006A7B" w:rsidP="00FD5887">
      <w:pPr>
        <w:pStyle w:val="ANormal"/>
      </w:pPr>
      <w:r>
        <w:t>Enligt 15 § i grundlagen är vars och ens rätt till egendom tryggad. I</w:t>
      </w:r>
      <w:r>
        <w:t>n</w:t>
      </w:r>
      <w:r>
        <w:t>skränkningar i äganderätten är dock möjliga under vissa förutsättningar. I</w:t>
      </w:r>
      <w:r>
        <w:t>n</w:t>
      </w:r>
      <w:r>
        <w:t xml:space="preserve">skränkningar kan ske genom lag, de ska vara </w:t>
      </w:r>
      <w:r w:rsidRPr="00FD5887">
        <w:t>noga avgränsade och exakt definierade, grunderna för inskränkningar</w:t>
      </w:r>
      <w:r>
        <w:t>na</w:t>
      </w:r>
      <w:r w:rsidRPr="00FD5887">
        <w:t xml:space="preserve"> ska vara acceptabla, de ska uppfylla proportionalitetskraven, inte utgöra inskränkningar av kärnan i egendomsskyddet och inte stå i strid med internationella människorättsfö</w:t>
      </w:r>
      <w:r w:rsidRPr="00FD5887">
        <w:t>r</w:t>
      </w:r>
      <w:r w:rsidRPr="00FD5887">
        <w:t>pli</w:t>
      </w:r>
      <w:r w:rsidRPr="00FD5887">
        <w:t>k</w:t>
      </w:r>
      <w:r w:rsidRPr="00FD5887">
        <w:t>telser.</w:t>
      </w:r>
    </w:p>
    <w:p w:rsidR="00006A7B" w:rsidRDefault="00006A7B" w:rsidP="00FD5887">
      <w:pPr>
        <w:pStyle w:val="ANormal"/>
      </w:pPr>
      <w:r>
        <w:tab/>
        <w:t>Enligt lagförslagets 28a § 4 mom. får j</w:t>
      </w:r>
      <w:r w:rsidRPr="00FD5887">
        <w:t>akt enligt paragraf</w:t>
      </w:r>
      <w:r>
        <w:t>en</w:t>
      </w:r>
      <w:r w:rsidRPr="00FD5887">
        <w:t xml:space="preserve"> bedrivas oberoende av att jakträtten på området tillkommer annan eller om jakt inte annars skulle få utövas där.</w:t>
      </w:r>
      <w:r>
        <w:t xml:space="preserve"> Utskottet konstaterar här att två intressen står mot varandra, rätten till jakt på egen mark och rätten till skydd av egendom genom jakt. Enligt utskottets uppfattning uppfyller lagförslaget kriterierna för inskränkningar i egendomsskyddet. Lagförslaget balanserar väl de två egendomsintressen som står mot varandra eftersom det enbart handlar om </w:t>
      </w:r>
      <w:r w:rsidRPr="00FD5887">
        <w:t>jakt för att förhindra allvarlig skada på egendom eller för att trygga männ</w:t>
      </w:r>
      <w:r w:rsidRPr="00FD5887">
        <w:t>i</w:t>
      </w:r>
      <w:r w:rsidRPr="00FD5887">
        <w:t>skors hälsa eller säkerhet</w:t>
      </w:r>
      <w:r>
        <w:t xml:space="preserve"> samtidigt som stränga villkor också i övrigt för</w:t>
      </w:r>
      <w:r>
        <w:t>e</w:t>
      </w:r>
      <w:r>
        <w:t>ligger för ja</w:t>
      </w:r>
      <w:r>
        <w:t>k</w:t>
      </w:r>
      <w:r>
        <w:t>tens bedrivande.</w:t>
      </w:r>
    </w:p>
    <w:p w:rsidR="00006A7B" w:rsidRDefault="00006A7B" w:rsidP="00FD5887">
      <w:pPr>
        <w:pStyle w:val="ANormal"/>
      </w:pPr>
    </w:p>
    <w:p w:rsidR="00006A7B" w:rsidRPr="00F44DE4" w:rsidRDefault="00006A7B" w:rsidP="00F44DE4">
      <w:pPr>
        <w:pStyle w:val="RubrikD"/>
        <w:rPr>
          <w:lang w:val="sv-FI"/>
        </w:rPr>
      </w:pPr>
      <w:r w:rsidRPr="00F44DE4">
        <w:rPr>
          <w:lang w:val="sv-FI"/>
        </w:rPr>
        <w:t xml:space="preserve">Förenligheten med habitatdirektivet </w:t>
      </w:r>
    </w:p>
    <w:p w:rsidR="00006A7B" w:rsidRDefault="00006A7B" w:rsidP="00FD5887">
      <w:pPr>
        <w:pStyle w:val="ANormal"/>
      </w:pPr>
    </w:p>
    <w:p w:rsidR="00006A7B" w:rsidRDefault="00006A7B" w:rsidP="00FD5887">
      <w:pPr>
        <w:pStyle w:val="ANormal"/>
      </w:pPr>
      <w:r w:rsidRPr="00F44DE4">
        <w:t>Direktivet om bevarande av livsmiljöer samt vilda djur och växter (92/43/EEG), det s.k. habitatdire</w:t>
      </w:r>
      <w:r w:rsidRPr="00F44DE4">
        <w:t>k</w:t>
      </w:r>
      <w:r w:rsidRPr="00F44DE4">
        <w:t>tivet</w:t>
      </w:r>
      <w:r>
        <w:t xml:space="preserve"> förbjuder </w:t>
      </w:r>
      <w:r w:rsidRPr="009A0B5A">
        <w:t xml:space="preserve">jakt på stora rovdjur </w:t>
      </w:r>
      <w:r>
        <w:t xml:space="preserve">men ger </w:t>
      </w:r>
      <w:r w:rsidRPr="009A0B5A">
        <w:t xml:space="preserve">möjlighet till undantag </w:t>
      </w:r>
      <w:r>
        <w:t xml:space="preserve">under förutsättning att </w:t>
      </w:r>
      <w:r w:rsidRPr="009A0B5A">
        <w:t>undantaget inte försvårar upprätthållandet av en gynnsam bevarandestatus.</w:t>
      </w:r>
      <w:r>
        <w:t xml:space="preserve"> Utskottet konstaterar att </w:t>
      </w:r>
      <w:r w:rsidRPr="00F44DE4">
        <w:t>28a § föreslås få en ordalydelse som närmare åte</w:t>
      </w:r>
      <w:r w:rsidRPr="00F44DE4">
        <w:t>r</w:t>
      </w:r>
      <w:r w:rsidRPr="00F44DE4">
        <w:t>speglar formuleringarna i artikel 16.1 punkterna b och c i habitatdirektivet varför bestämmelsen inte</w:t>
      </w:r>
      <w:r>
        <w:t xml:space="preserve"> torde </w:t>
      </w:r>
      <w:r w:rsidRPr="00590DED">
        <w:t>leda till en konflikt mellan unionens lagstif</w:t>
      </w:r>
      <w:r w:rsidRPr="00590DED">
        <w:t>t</w:t>
      </w:r>
      <w:r w:rsidRPr="00590DED">
        <w:t>ning</w:t>
      </w:r>
      <w:r>
        <w:t xml:space="preserve">. </w:t>
      </w:r>
      <w:r w:rsidRPr="00F44DE4">
        <w:t xml:space="preserve">   </w:t>
      </w:r>
    </w:p>
    <w:p w:rsidR="00006A7B" w:rsidRDefault="00006A7B" w:rsidP="00590DED">
      <w:pPr>
        <w:pStyle w:val="ANormal"/>
      </w:pPr>
    </w:p>
    <w:p w:rsidR="00006A7B" w:rsidRDefault="00006A7B" w:rsidP="00C17DA6">
      <w:pPr>
        <w:pStyle w:val="RubrikD"/>
        <w:rPr>
          <w:lang w:val="sv-FI"/>
        </w:rPr>
      </w:pPr>
      <w:r w:rsidRPr="00C17DA6">
        <w:rPr>
          <w:lang w:val="sv-FI"/>
        </w:rPr>
        <w:t>Utskottets principiella inställning</w:t>
      </w:r>
    </w:p>
    <w:p w:rsidR="00006A7B" w:rsidRDefault="00006A7B" w:rsidP="00C17DA6">
      <w:pPr>
        <w:pStyle w:val="Rubrikmellanrum"/>
        <w:rPr>
          <w:lang w:val="sv-FI"/>
        </w:rPr>
      </w:pPr>
    </w:p>
    <w:p w:rsidR="00006A7B" w:rsidRDefault="00006A7B" w:rsidP="00CD1AB4">
      <w:pPr>
        <w:pStyle w:val="ANormal"/>
      </w:pPr>
      <w:r>
        <w:t xml:space="preserve">Utskottets principiella inställning är det enda sättet att </w:t>
      </w:r>
      <w:proofErr w:type="gramStart"/>
      <w:r>
        <w:t>utröna</w:t>
      </w:r>
      <w:proofErr w:type="gramEnd"/>
      <w:r>
        <w:t xml:space="preserve"> lagstiftning</w:t>
      </w:r>
      <w:r>
        <w:t>s</w:t>
      </w:r>
      <w:r>
        <w:t>behörighetens förhållande till självstyrelselagen och grundlagen i oklara fall är att lagtinget antar lagar som får genomgå lagstiftningskontroll. En försiktighet från lagtingets sida i det här avseendet innebär en frivillig i</w:t>
      </w:r>
      <w:r>
        <w:t>n</w:t>
      </w:r>
      <w:r>
        <w:t>skränkning i lagstiftningsbehörighe</w:t>
      </w:r>
      <w:r>
        <w:t>t</w:t>
      </w:r>
      <w:r>
        <w:t xml:space="preserve">en.  </w:t>
      </w:r>
    </w:p>
    <w:p w:rsidR="00006A7B" w:rsidRPr="004F0E8D" w:rsidRDefault="00006A7B" w:rsidP="004F0E8D">
      <w:pPr>
        <w:pStyle w:val="anormal0"/>
      </w:pPr>
    </w:p>
    <w:p w:rsidR="00006A7B" w:rsidRDefault="00006A7B">
      <w:pPr>
        <w:pStyle w:val="RubrikA"/>
      </w:pPr>
      <w:bookmarkStart w:id="22" w:name="_Toc536521505"/>
      <w:r>
        <w:t>Ärendets behandling</w:t>
      </w:r>
      <w:bookmarkEnd w:id="22"/>
    </w:p>
    <w:p w:rsidR="00006A7B" w:rsidRDefault="00006A7B" w:rsidP="00F93EB4">
      <w:pPr>
        <w:pStyle w:val="Rubrikmellanrum"/>
      </w:pPr>
    </w:p>
    <w:p w:rsidR="00006A7B" w:rsidRDefault="00006A7B" w:rsidP="007D19EE">
      <w:pPr>
        <w:pStyle w:val="ANormal"/>
      </w:pPr>
      <w:r>
        <w:t>Social- och miljöutskottet har med stöd av 52 § 1 mom. arbetsordningen för Ålands lagting anhållit om lag- och kulturutskottets utlåtande över lagmo</w:t>
      </w:r>
      <w:r>
        <w:t>t</w:t>
      </w:r>
      <w:r>
        <w:t>ionen.</w:t>
      </w:r>
    </w:p>
    <w:p w:rsidR="00006A7B" w:rsidRPr="00342D07" w:rsidRDefault="00006A7B">
      <w:pPr>
        <w:pStyle w:val="ANormal"/>
      </w:pPr>
      <w:r w:rsidRPr="007D19EE">
        <w:tab/>
        <w:t xml:space="preserve">Utskottet har i ärendet </w:t>
      </w:r>
      <w:r w:rsidRPr="003A1EF2">
        <w:t>hört</w:t>
      </w:r>
      <w:r>
        <w:t xml:space="preserve"> lagberedningschefen Lars Karlsson och la</w:t>
      </w:r>
      <w:r>
        <w:t>g</w:t>
      </w:r>
      <w:r>
        <w:t xml:space="preserve">beredaren Hans Selander. </w:t>
      </w:r>
    </w:p>
    <w:p w:rsidR="00006A7B" w:rsidRDefault="00006A7B" w:rsidP="004F0E8D">
      <w:pPr>
        <w:pStyle w:val="ANormal"/>
      </w:pPr>
      <w:r>
        <w:tab/>
      </w:r>
      <w:r w:rsidRPr="00BB2F55">
        <w:t>I ärendets avgörande behandling deltog ordföranden Harry Jansson, viceordföranden Roger Eriksson, ledamöterna Brage Eklund, Bert Häg</w:t>
      </w:r>
      <w:r w:rsidRPr="00BB2F55">
        <w:t>g</w:t>
      </w:r>
      <w:r w:rsidRPr="00BB2F55">
        <w:t>blom, M</w:t>
      </w:r>
      <w:r>
        <w:t xml:space="preserve">ikael </w:t>
      </w:r>
      <w:proofErr w:type="spellStart"/>
      <w:r>
        <w:t>Staffas</w:t>
      </w:r>
      <w:proofErr w:type="spellEnd"/>
      <w:r>
        <w:t xml:space="preserve"> och Tony Wikström samt ersättaren Tage Silander.</w:t>
      </w:r>
    </w:p>
    <w:p w:rsidR="00006A7B" w:rsidRDefault="00006A7B" w:rsidP="004F0E8D">
      <w:pPr>
        <w:pStyle w:val="ANormal"/>
      </w:pPr>
    </w:p>
    <w:p w:rsidR="00006A7B" w:rsidRDefault="00006A7B">
      <w:pPr>
        <w:pStyle w:val="ANormal"/>
      </w:pPr>
    </w:p>
    <w:p w:rsidR="00006A7B" w:rsidRDefault="00006A7B">
      <w:pPr>
        <w:pStyle w:val="RubrikA"/>
      </w:pPr>
      <w:bookmarkStart w:id="23" w:name="_Toc536521506"/>
      <w:r>
        <w:t>Utskottets förslag</w:t>
      </w:r>
      <w:bookmarkEnd w:id="23"/>
    </w:p>
    <w:p w:rsidR="00006A7B" w:rsidRDefault="00006A7B">
      <w:pPr>
        <w:pStyle w:val="Rubrikmellanrum"/>
      </w:pPr>
    </w:p>
    <w:p w:rsidR="00006A7B" w:rsidRDefault="00006A7B">
      <w:pPr>
        <w:pStyle w:val="ANormal"/>
      </w:pPr>
      <w:r>
        <w:t>Med hänvisning till det anförda föreslår utskottet</w:t>
      </w:r>
    </w:p>
    <w:p w:rsidR="00006A7B" w:rsidRDefault="00006A7B">
      <w:pPr>
        <w:pStyle w:val="ANormal"/>
      </w:pPr>
    </w:p>
    <w:p w:rsidR="00006A7B" w:rsidRDefault="00006A7B">
      <w:pPr>
        <w:pStyle w:val="Klam"/>
      </w:pPr>
      <w:r>
        <w:t>att social- och miljöutskottet vid uppgörande av sitt betänkande beaktar vad som anförts i detta utlåtande.</w:t>
      </w:r>
    </w:p>
    <w:p w:rsidR="00006A7B" w:rsidRPr="00C024E5" w:rsidRDefault="00006A7B" w:rsidP="00C024E5">
      <w:pPr>
        <w:pStyle w:val="ANormal"/>
      </w:pPr>
    </w:p>
    <w:p w:rsidR="00006A7B" w:rsidRDefault="00006A7B">
      <w:pPr>
        <w:pStyle w:val="ANormal"/>
        <w:jc w:val="center"/>
      </w:pPr>
      <w:hyperlink w:anchor="_top" w:tooltip="Klicka för att gå till toppen av dokumentet" w:history="1">
        <w:r>
          <w:rPr>
            <w:rStyle w:val="Hyperlnk"/>
          </w:rPr>
          <w:t>__________________</w:t>
        </w:r>
      </w:hyperlink>
    </w:p>
    <w:p w:rsidR="00006A7B" w:rsidRDefault="00006A7B">
      <w:pPr>
        <w:pStyle w:val="ANormal"/>
      </w:pPr>
    </w:p>
    <w:p w:rsidR="00006A7B" w:rsidRDefault="00006A7B">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06A7B">
        <w:trPr>
          <w:cantSplit/>
        </w:trPr>
        <w:tc>
          <w:tcPr>
            <w:tcW w:w="7931" w:type="dxa"/>
            <w:gridSpan w:val="2"/>
          </w:tcPr>
          <w:tbl>
            <w:tblPr>
              <w:tblW w:w="7931" w:type="dxa"/>
              <w:tblCellMar>
                <w:left w:w="0" w:type="dxa"/>
                <w:right w:w="0" w:type="dxa"/>
              </w:tblCellMar>
              <w:tblLook w:val="0000" w:firstRow="0" w:lastRow="0" w:firstColumn="0" w:lastColumn="0" w:noHBand="0" w:noVBand="0"/>
            </w:tblPr>
            <w:tblGrid>
              <w:gridCol w:w="4454"/>
              <w:gridCol w:w="3477"/>
            </w:tblGrid>
            <w:tr w:rsidR="00006A7B" w:rsidTr="00CD1AB4">
              <w:trPr>
                <w:cantSplit/>
              </w:trPr>
              <w:tc>
                <w:tcPr>
                  <w:tcW w:w="7931" w:type="dxa"/>
                  <w:gridSpan w:val="2"/>
                </w:tcPr>
                <w:p w:rsidR="00006A7B" w:rsidRDefault="00006A7B" w:rsidP="00FD5887">
                  <w:pPr>
                    <w:pStyle w:val="ANormal"/>
                    <w:keepNext/>
                  </w:pPr>
                  <w:r>
                    <w:t>Mariehamn den 6 mars 2019</w:t>
                  </w:r>
                </w:p>
              </w:tc>
            </w:tr>
            <w:tr w:rsidR="00006A7B" w:rsidTr="00CD1AB4">
              <w:tc>
                <w:tcPr>
                  <w:tcW w:w="4454" w:type="dxa"/>
                  <w:vAlign w:val="bottom"/>
                </w:tcPr>
                <w:p w:rsidR="00006A7B" w:rsidRDefault="00006A7B" w:rsidP="00CD1AB4">
                  <w:pPr>
                    <w:pStyle w:val="ANormal"/>
                    <w:keepNext/>
                  </w:pPr>
                </w:p>
                <w:p w:rsidR="00006A7B" w:rsidRDefault="00006A7B" w:rsidP="00CD1AB4">
                  <w:pPr>
                    <w:pStyle w:val="ANormal"/>
                    <w:keepNext/>
                  </w:pPr>
                </w:p>
                <w:p w:rsidR="00006A7B" w:rsidRDefault="00006A7B" w:rsidP="00CD1AB4">
                  <w:pPr>
                    <w:pStyle w:val="ANormal"/>
                    <w:keepNext/>
                  </w:pPr>
                  <w:r>
                    <w:t>Ordförande</w:t>
                  </w:r>
                </w:p>
              </w:tc>
              <w:tc>
                <w:tcPr>
                  <w:tcW w:w="3477" w:type="dxa"/>
                  <w:vAlign w:val="bottom"/>
                </w:tcPr>
                <w:p w:rsidR="00006A7B" w:rsidRDefault="00006A7B" w:rsidP="00CD1AB4">
                  <w:pPr>
                    <w:pStyle w:val="ANormal"/>
                    <w:keepNext/>
                  </w:pPr>
                </w:p>
                <w:p w:rsidR="00006A7B" w:rsidRDefault="00006A7B" w:rsidP="00CD1AB4">
                  <w:pPr>
                    <w:pStyle w:val="ANormal"/>
                    <w:keepNext/>
                  </w:pPr>
                </w:p>
                <w:p w:rsidR="00006A7B" w:rsidRDefault="00006A7B" w:rsidP="00CD1AB4">
                  <w:pPr>
                    <w:pStyle w:val="ANormal"/>
                    <w:keepNext/>
                  </w:pPr>
                  <w:r>
                    <w:t>Harry Jansson</w:t>
                  </w:r>
                </w:p>
              </w:tc>
            </w:tr>
            <w:tr w:rsidR="00006A7B" w:rsidTr="00CD1AB4">
              <w:tc>
                <w:tcPr>
                  <w:tcW w:w="4454" w:type="dxa"/>
                  <w:vAlign w:val="bottom"/>
                </w:tcPr>
                <w:p w:rsidR="00006A7B" w:rsidRDefault="00006A7B" w:rsidP="00CD1AB4">
                  <w:pPr>
                    <w:pStyle w:val="ANormal"/>
                    <w:keepNext/>
                  </w:pPr>
                </w:p>
                <w:p w:rsidR="00006A7B" w:rsidRDefault="00006A7B" w:rsidP="00CD1AB4">
                  <w:pPr>
                    <w:pStyle w:val="ANormal"/>
                    <w:keepNext/>
                  </w:pPr>
                </w:p>
                <w:p w:rsidR="00006A7B" w:rsidRDefault="00006A7B" w:rsidP="00CD1AB4">
                  <w:pPr>
                    <w:pStyle w:val="ANormal"/>
                    <w:keepNext/>
                  </w:pPr>
                  <w:r>
                    <w:t>Sekreterare</w:t>
                  </w:r>
                </w:p>
              </w:tc>
              <w:tc>
                <w:tcPr>
                  <w:tcW w:w="3477" w:type="dxa"/>
                  <w:vAlign w:val="bottom"/>
                </w:tcPr>
                <w:p w:rsidR="00006A7B" w:rsidRDefault="00006A7B" w:rsidP="00CD1AB4">
                  <w:pPr>
                    <w:pStyle w:val="ANormal"/>
                    <w:keepNext/>
                  </w:pPr>
                </w:p>
                <w:p w:rsidR="00006A7B" w:rsidRDefault="00006A7B" w:rsidP="00CD1AB4">
                  <w:pPr>
                    <w:pStyle w:val="ANormal"/>
                    <w:keepNext/>
                  </w:pPr>
                </w:p>
                <w:p w:rsidR="00006A7B" w:rsidRDefault="00006A7B" w:rsidP="00CD1AB4">
                  <w:pPr>
                    <w:pStyle w:val="ANormal"/>
                    <w:keepNext/>
                  </w:pPr>
                  <w:r>
                    <w:t>Susanne Eriksson</w:t>
                  </w:r>
                </w:p>
              </w:tc>
            </w:tr>
          </w:tbl>
          <w:p w:rsidR="00006A7B" w:rsidRDefault="00006A7B">
            <w:pPr>
              <w:pStyle w:val="ANormal"/>
              <w:keepNext/>
            </w:pPr>
          </w:p>
        </w:tc>
      </w:tr>
      <w:tr w:rsidR="00006A7B">
        <w:tc>
          <w:tcPr>
            <w:tcW w:w="4454" w:type="dxa"/>
            <w:vAlign w:val="bottom"/>
          </w:tcPr>
          <w:p w:rsidR="00006A7B" w:rsidRDefault="00006A7B">
            <w:pPr>
              <w:pStyle w:val="ANormal"/>
              <w:keepNext/>
            </w:pPr>
          </w:p>
          <w:p w:rsidR="00006A7B" w:rsidRDefault="00006A7B">
            <w:pPr>
              <w:pStyle w:val="ANormal"/>
              <w:keepNext/>
            </w:pPr>
          </w:p>
          <w:p w:rsidR="00006A7B" w:rsidRDefault="00006A7B">
            <w:pPr>
              <w:pStyle w:val="ANormal"/>
              <w:keepNext/>
            </w:pPr>
          </w:p>
        </w:tc>
        <w:tc>
          <w:tcPr>
            <w:tcW w:w="3477" w:type="dxa"/>
            <w:vAlign w:val="bottom"/>
          </w:tcPr>
          <w:p w:rsidR="00006A7B" w:rsidRDefault="00006A7B">
            <w:pPr>
              <w:pStyle w:val="ANormal"/>
              <w:keepNext/>
              <w:rPr>
                <w:lang w:val="en-GB"/>
              </w:rPr>
            </w:pPr>
          </w:p>
        </w:tc>
      </w:tr>
      <w:tr w:rsidR="00006A7B">
        <w:tc>
          <w:tcPr>
            <w:tcW w:w="4454" w:type="dxa"/>
            <w:vAlign w:val="bottom"/>
          </w:tcPr>
          <w:p w:rsidR="00006A7B" w:rsidRDefault="00006A7B">
            <w:pPr>
              <w:pStyle w:val="ANormal"/>
              <w:keepNext/>
              <w:rPr>
                <w:lang w:val="en-GB"/>
              </w:rPr>
            </w:pPr>
          </w:p>
          <w:p w:rsidR="00006A7B" w:rsidRDefault="00006A7B">
            <w:pPr>
              <w:pStyle w:val="ANormal"/>
              <w:keepNext/>
              <w:rPr>
                <w:lang w:val="en-GB"/>
              </w:rPr>
            </w:pPr>
          </w:p>
          <w:p w:rsidR="00006A7B" w:rsidRDefault="00006A7B">
            <w:pPr>
              <w:pStyle w:val="ANormal"/>
              <w:keepNext/>
            </w:pPr>
          </w:p>
        </w:tc>
        <w:tc>
          <w:tcPr>
            <w:tcW w:w="3477" w:type="dxa"/>
            <w:vAlign w:val="bottom"/>
          </w:tcPr>
          <w:p w:rsidR="00006A7B" w:rsidRDefault="00006A7B">
            <w:pPr>
              <w:pStyle w:val="ANormal"/>
              <w:keepNext/>
            </w:pPr>
          </w:p>
        </w:tc>
      </w:tr>
    </w:tbl>
    <w:p w:rsidR="00006A7B" w:rsidRDefault="00006A7B">
      <w:pPr>
        <w:pStyle w:val="ANormal"/>
      </w:pPr>
    </w:p>
    <w:p w:rsidR="00006A7B" w:rsidRDefault="00006A7B">
      <w:pPr>
        <w:pStyle w:val="ANormal"/>
      </w:pPr>
    </w:p>
    <w:sectPr w:rsidR="00006A7B">
      <w:headerReference w:type="even" r:id="rId19"/>
      <w:headerReference w:type="default" r:id="rId20"/>
      <w:footerReference w:type="default" r:id="rId2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B6" w:rsidRDefault="00727BB6">
      <w:r>
        <w:separator/>
      </w:r>
    </w:p>
  </w:endnote>
  <w:endnote w:type="continuationSeparator" w:id="0">
    <w:p w:rsidR="00727BB6" w:rsidRDefault="007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rPr>
        <w:lang w:val="fi-FI"/>
      </w:rPr>
    </w:pPr>
    <w:r>
      <w:fldChar w:fldCharType="begin"/>
    </w:r>
    <w:r>
      <w:rPr>
        <w:lang w:val="fi-FI"/>
      </w:rPr>
      <w:instrText xml:space="preserve"> FILENAME  \* MERGEFORMAT </w:instrText>
    </w:r>
    <w:r>
      <w:fldChar w:fldCharType="separate"/>
    </w:r>
    <w:r w:rsidR="002A0065">
      <w:rPr>
        <w:noProof/>
        <w:lang w:val="fi-FI"/>
      </w:rPr>
      <w:t>SMU520182019.docx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A7B" w:rsidRDefault="00006A7B">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5A" w:rsidRDefault="00EA612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B6" w:rsidRDefault="00727BB6">
      <w:r>
        <w:separator/>
      </w:r>
    </w:p>
  </w:footnote>
  <w:footnote w:type="continuationSeparator" w:id="0">
    <w:p w:rsidR="00727BB6" w:rsidRDefault="0072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A6129">
      <w:rPr>
        <w:rStyle w:val="Sidnummer"/>
        <w:noProof/>
      </w:rPr>
      <w:t>2</w:t>
    </w:r>
    <w:r>
      <w:rPr>
        <w:rStyle w:val="Sidnummer"/>
      </w:rPr>
      <w:fldChar w:fldCharType="end"/>
    </w:r>
  </w:p>
  <w:p w:rsidR="002401D0" w:rsidRDefault="002401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458AA">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5A" w:rsidRDefault="00EA612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9A0B5A" w:rsidRDefault="00EA6129">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5A" w:rsidRDefault="00EA612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B6"/>
    <w:rsid w:val="00006A7B"/>
    <w:rsid w:val="00015E9C"/>
    <w:rsid w:val="00051556"/>
    <w:rsid w:val="0005174F"/>
    <w:rsid w:val="00083571"/>
    <w:rsid w:val="000B2DC9"/>
    <w:rsid w:val="000F7417"/>
    <w:rsid w:val="0015337C"/>
    <w:rsid w:val="001F6314"/>
    <w:rsid w:val="002401D0"/>
    <w:rsid w:val="002A0065"/>
    <w:rsid w:val="002C51D1"/>
    <w:rsid w:val="0036359C"/>
    <w:rsid w:val="004F780E"/>
    <w:rsid w:val="00597FF3"/>
    <w:rsid w:val="005B7A30"/>
    <w:rsid w:val="006B2E9E"/>
    <w:rsid w:val="00715887"/>
    <w:rsid w:val="00723B93"/>
    <w:rsid w:val="00727BB6"/>
    <w:rsid w:val="00746DEE"/>
    <w:rsid w:val="0079762C"/>
    <w:rsid w:val="00811D50"/>
    <w:rsid w:val="00817B04"/>
    <w:rsid w:val="00957C36"/>
    <w:rsid w:val="009D73B2"/>
    <w:rsid w:val="009E52CA"/>
    <w:rsid w:val="009F7CE2"/>
    <w:rsid w:val="00B32E91"/>
    <w:rsid w:val="00B36A8F"/>
    <w:rsid w:val="00B458AA"/>
    <w:rsid w:val="00B90DEC"/>
    <w:rsid w:val="00C37CE2"/>
    <w:rsid w:val="00C90BA4"/>
    <w:rsid w:val="00CB087E"/>
    <w:rsid w:val="00CF700E"/>
    <w:rsid w:val="00DC45B2"/>
    <w:rsid w:val="00EA58F0"/>
    <w:rsid w:val="00EA6129"/>
    <w:rsid w:val="00EB78EA"/>
    <w:rsid w:val="00FA1D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B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2C51D1"/>
    <w:rPr>
      <w:rFonts w:ascii="Tahoma" w:hAnsi="Tahoma" w:cs="Tahoma"/>
      <w:sz w:val="16"/>
      <w:szCs w:val="16"/>
    </w:rPr>
  </w:style>
  <w:style w:type="character" w:customStyle="1" w:styleId="BallongtextChar">
    <w:name w:val="Ballongtext Char"/>
    <w:basedOn w:val="Standardstycketeckensnitt"/>
    <w:link w:val="Ballongtext"/>
    <w:rsid w:val="002C51D1"/>
    <w:rPr>
      <w:rFonts w:ascii="Tahoma" w:hAnsi="Tahoma" w:cs="Tahoma"/>
      <w:sz w:val="16"/>
      <w:szCs w:val="16"/>
      <w:lang w:val="sv-SE" w:eastAsia="sv-SE"/>
    </w:rPr>
  </w:style>
  <w:style w:type="paragraph" w:customStyle="1" w:styleId="anormal0">
    <w:name w:val="anormal"/>
    <w:basedOn w:val="Normal"/>
    <w:rsid w:val="00006A7B"/>
    <w:pPr>
      <w:jc w:val="both"/>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BB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2C51D1"/>
    <w:rPr>
      <w:rFonts w:ascii="Tahoma" w:hAnsi="Tahoma" w:cs="Tahoma"/>
      <w:sz w:val="16"/>
      <w:szCs w:val="16"/>
    </w:rPr>
  </w:style>
  <w:style w:type="character" w:customStyle="1" w:styleId="BallongtextChar">
    <w:name w:val="Ballongtext Char"/>
    <w:basedOn w:val="Standardstycketeckensnitt"/>
    <w:link w:val="Ballongtext"/>
    <w:rsid w:val="002C51D1"/>
    <w:rPr>
      <w:rFonts w:ascii="Tahoma" w:hAnsi="Tahoma" w:cs="Tahoma"/>
      <w:sz w:val="16"/>
      <w:szCs w:val="16"/>
      <w:lang w:val="sv-SE" w:eastAsia="sv-SE"/>
    </w:rPr>
  </w:style>
  <w:style w:type="paragraph" w:customStyle="1" w:styleId="anormal0">
    <w:name w:val="anormal"/>
    <w:basedOn w:val="Normal"/>
    <w:rsid w:val="00006A7B"/>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lf0620182019.htm" TargetMode="Externa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6</Pages>
  <Words>1801</Words>
  <Characters>12633</Characters>
  <Application>Microsoft Office Word</Application>
  <DocSecurity>0</DocSecurity>
  <Lines>105</Lines>
  <Paragraphs>28</Paragraphs>
  <ScaleCrop>false</ScaleCrop>
  <HeadingPairs>
    <vt:vector size="2" baseType="variant">
      <vt:variant>
        <vt:lpstr>Rubrik</vt:lpstr>
      </vt:variant>
      <vt:variant>
        <vt:i4>1</vt:i4>
      </vt:variant>
    </vt:vector>
  </HeadingPairs>
  <TitlesOfParts>
    <vt:vector size="1" baseType="lpstr">
      <vt:lpstr>Social- och miljöutskottets betänkande nr 5/2018-2019</vt:lpstr>
    </vt:vector>
  </TitlesOfParts>
  <Company>Ålands lagting</Company>
  <LinksUpToDate>false</LinksUpToDate>
  <CharactersWithSpaces>14406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5/2018-2019</dc:title>
  <dc:creator>Jessica Laaksonen</dc:creator>
  <cp:lastModifiedBy>Jessica Laaksonen</cp:lastModifiedBy>
  <cp:revision>3</cp:revision>
  <cp:lastPrinted>2019-03-14T07:10:00Z</cp:lastPrinted>
  <dcterms:created xsi:type="dcterms:W3CDTF">2019-03-14T09:31:00Z</dcterms:created>
  <dcterms:modified xsi:type="dcterms:W3CDTF">2019-03-14T09:32:00Z</dcterms:modified>
</cp:coreProperties>
</file>